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DC0549E" w14:textId="77777777" w:rsidR="00015AF1" w:rsidRPr="00531789" w:rsidRDefault="00015AF1" w:rsidP="00015AF1">
      <w:pPr>
        <w:spacing w:line="360" w:lineRule="auto"/>
        <w:jc w:val="center"/>
        <w:rPr>
          <w:rFonts w:ascii="Cambria" w:hAnsi="Cambria"/>
          <w:b/>
          <w:sz w:val="44"/>
          <w:szCs w:val="44"/>
        </w:rPr>
      </w:pPr>
    </w:p>
    <w:p w14:paraId="7582BC93" w14:textId="77777777" w:rsidR="00DF4522" w:rsidRPr="00531789" w:rsidRDefault="00DF4522" w:rsidP="00DF4522">
      <w:pPr>
        <w:spacing w:line="360" w:lineRule="auto"/>
        <w:jc w:val="center"/>
        <w:rPr>
          <w:rFonts w:ascii="Cambria" w:hAnsi="Cambria"/>
          <w:sz w:val="44"/>
          <w:szCs w:val="44"/>
        </w:rPr>
      </w:pPr>
      <w:bookmarkStart w:id="0" w:name="_Toc322267599"/>
      <w:bookmarkStart w:id="1" w:name="_Toc322267721"/>
      <w:bookmarkStart w:id="2" w:name="_Toc322267885"/>
      <w:r w:rsidRPr="00531789">
        <w:rPr>
          <w:rFonts w:ascii="Cambria" w:hAnsi="Cambria"/>
          <w:sz w:val="44"/>
          <w:szCs w:val="44"/>
        </w:rPr>
        <w:t>WHY DO SOME PLANTS</w:t>
      </w:r>
    </w:p>
    <w:p w14:paraId="33894AEA" w14:textId="77777777" w:rsidR="00DF4522" w:rsidRPr="00531789" w:rsidRDefault="00DF4522" w:rsidP="00DF4522">
      <w:pPr>
        <w:spacing w:line="360" w:lineRule="auto"/>
        <w:jc w:val="center"/>
        <w:rPr>
          <w:rFonts w:ascii="Cambria" w:hAnsi="Cambria"/>
          <w:sz w:val="44"/>
          <w:szCs w:val="44"/>
        </w:rPr>
      </w:pPr>
      <w:r w:rsidRPr="00531789">
        <w:rPr>
          <w:rFonts w:ascii="Cambria" w:hAnsi="Cambria"/>
          <w:sz w:val="44"/>
          <w:szCs w:val="44"/>
        </w:rPr>
        <w:t>GROW FASTER THAN OTHERS?</w:t>
      </w:r>
    </w:p>
    <w:p w14:paraId="350BC20F" w14:textId="77777777" w:rsidR="00DF4522" w:rsidRPr="00531789" w:rsidRDefault="00DF4522" w:rsidP="00DF4522">
      <w:pPr>
        <w:spacing w:line="360" w:lineRule="auto"/>
        <w:jc w:val="center"/>
        <w:rPr>
          <w:rFonts w:ascii="Cambria" w:hAnsi="Cambria"/>
          <w:sz w:val="20"/>
          <w:szCs w:val="20"/>
        </w:rPr>
      </w:pPr>
    </w:p>
    <w:p w14:paraId="1F208521" w14:textId="77777777" w:rsidR="00DF4522" w:rsidRPr="00531789" w:rsidRDefault="00DF4522" w:rsidP="00DF4522">
      <w:pPr>
        <w:spacing w:line="360" w:lineRule="auto"/>
        <w:jc w:val="center"/>
        <w:rPr>
          <w:rFonts w:ascii="Cambria" w:hAnsi="Cambria"/>
          <w:sz w:val="32"/>
          <w:szCs w:val="32"/>
        </w:rPr>
      </w:pPr>
      <w:r w:rsidRPr="00531789">
        <w:rPr>
          <w:rFonts w:ascii="Cambria" w:hAnsi="Cambria"/>
          <w:sz w:val="32"/>
          <w:szCs w:val="32"/>
        </w:rPr>
        <w:t>A SOURCE-SINK PERSPECTIVE</w:t>
      </w:r>
    </w:p>
    <w:p w14:paraId="3DA007FF" w14:textId="77777777" w:rsidR="00DF4522" w:rsidRPr="00531789" w:rsidRDefault="00DF4522" w:rsidP="00DF4522">
      <w:pPr>
        <w:spacing w:line="360" w:lineRule="auto"/>
        <w:jc w:val="center"/>
        <w:rPr>
          <w:rFonts w:ascii="Cambria" w:hAnsi="Cambria"/>
          <w:sz w:val="32"/>
          <w:szCs w:val="32"/>
        </w:rPr>
      </w:pPr>
    </w:p>
    <w:p w14:paraId="3F5FA6A4" w14:textId="77777777" w:rsidR="00DF4522" w:rsidRPr="00531789" w:rsidRDefault="00DF4522" w:rsidP="00DF4522">
      <w:pPr>
        <w:spacing w:line="360" w:lineRule="auto"/>
        <w:jc w:val="center"/>
        <w:rPr>
          <w:rFonts w:ascii="Cambria" w:hAnsi="Cambria"/>
          <w:sz w:val="32"/>
          <w:szCs w:val="32"/>
        </w:rPr>
      </w:pPr>
    </w:p>
    <w:p w14:paraId="5388B5B9" w14:textId="77777777" w:rsidR="00DF4522" w:rsidRPr="00531789" w:rsidRDefault="00DF4522" w:rsidP="00DF4522">
      <w:pPr>
        <w:spacing w:line="360" w:lineRule="auto"/>
        <w:jc w:val="center"/>
        <w:rPr>
          <w:rFonts w:ascii="Cambria" w:hAnsi="Cambria"/>
          <w:b/>
          <w:sz w:val="32"/>
          <w:szCs w:val="32"/>
        </w:rPr>
      </w:pPr>
    </w:p>
    <w:p w14:paraId="3EB0535F" w14:textId="77777777" w:rsidR="00DF4522" w:rsidRPr="00531789" w:rsidRDefault="00DF4522" w:rsidP="00DF4522">
      <w:pPr>
        <w:spacing w:line="360" w:lineRule="auto"/>
        <w:jc w:val="center"/>
        <w:rPr>
          <w:rFonts w:ascii="Cambria" w:hAnsi="Cambria"/>
          <w:sz w:val="32"/>
          <w:szCs w:val="32"/>
        </w:rPr>
      </w:pPr>
      <w:r w:rsidRPr="00531789">
        <w:rPr>
          <w:rFonts w:ascii="Cambria" w:hAnsi="Cambria"/>
          <w:sz w:val="32"/>
          <w:szCs w:val="32"/>
        </w:rPr>
        <w:t>Angela Claire White</w:t>
      </w:r>
    </w:p>
    <w:p w14:paraId="0D7B4333" w14:textId="77777777" w:rsidR="00DF4522" w:rsidRPr="00531789" w:rsidRDefault="00DF4522" w:rsidP="00DF4522">
      <w:pPr>
        <w:spacing w:line="360" w:lineRule="auto"/>
        <w:jc w:val="center"/>
        <w:rPr>
          <w:rFonts w:ascii="Cambria" w:hAnsi="Cambria"/>
          <w:sz w:val="32"/>
          <w:szCs w:val="32"/>
        </w:rPr>
      </w:pPr>
    </w:p>
    <w:p w14:paraId="4CCDAD47" w14:textId="77777777" w:rsidR="00DF4522" w:rsidRPr="00531789" w:rsidRDefault="00DF4522" w:rsidP="00DF4522">
      <w:pPr>
        <w:spacing w:line="360" w:lineRule="auto"/>
        <w:jc w:val="center"/>
        <w:rPr>
          <w:rFonts w:ascii="Cambria" w:hAnsi="Cambria"/>
          <w:b/>
          <w:sz w:val="32"/>
          <w:szCs w:val="32"/>
        </w:rPr>
      </w:pPr>
    </w:p>
    <w:p w14:paraId="097D6E03" w14:textId="77777777" w:rsidR="00DF4522" w:rsidRPr="00531789" w:rsidRDefault="00DF4522" w:rsidP="00DF4522">
      <w:pPr>
        <w:spacing w:line="360" w:lineRule="auto"/>
        <w:jc w:val="center"/>
        <w:rPr>
          <w:rFonts w:ascii="Cambria" w:hAnsi="Cambria"/>
          <w:b/>
          <w:sz w:val="32"/>
          <w:szCs w:val="32"/>
        </w:rPr>
      </w:pPr>
    </w:p>
    <w:p w14:paraId="2BF22E2D" w14:textId="77777777" w:rsidR="00DF4522" w:rsidRPr="00531789" w:rsidRDefault="00DF4522" w:rsidP="00DF4522">
      <w:pPr>
        <w:spacing w:line="360" w:lineRule="auto"/>
        <w:jc w:val="center"/>
        <w:rPr>
          <w:rFonts w:ascii="Cambria" w:hAnsi="Cambria"/>
          <w:i/>
          <w:sz w:val="32"/>
          <w:szCs w:val="32"/>
        </w:rPr>
      </w:pPr>
      <w:r w:rsidRPr="00531789">
        <w:rPr>
          <w:rFonts w:ascii="Cambria" w:hAnsi="Cambria"/>
          <w:i/>
          <w:sz w:val="32"/>
          <w:szCs w:val="32"/>
        </w:rPr>
        <w:t>Thesis submitted for the degree of Doctor of Philosophy</w:t>
      </w:r>
    </w:p>
    <w:p w14:paraId="04E239F6" w14:textId="77777777" w:rsidR="00DF4522" w:rsidRPr="00531789" w:rsidRDefault="00DF4522" w:rsidP="00DF4522">
      <w:pPr>
        <w:spacing w:line="360" w:lineRule="auto"/>
        <w:jc w:val="center"/>
        <w:rPr>
          <w:rFonts w:ascii="Cambria" w:hAnsi="Cambria"/>
          <w:sz w:val="32"/>
          <w:szCs w:val="32"/>
        </w:rPr>
      </w:pPr>
    </w:p>
    <w:p w14:paraId="75D63C06" w14:textId="77777777" w:rsidR="00DF4522" w:rsidRPr="00531789" w:rsidRDefault="00DF4522" w:rsidP="00DF4522">
      <w:pPr>
        <w:spacing w:line="360" w:lineRule="auto"/>
        <w:jc w:val="center"/>
        <w:rPr>
          <w:rFonts w:ascii="Cambria" w:hAnsi="Cambria"/>
          <w:sz w:val="32"/>
          <w:szCs w:val="32"/>
        </w:rPr>
      </w:pPr>
    </w:p>
    <w:p w14:paraId="36C9B215" w14:textId="77777777" w:rsidR="00DF4522" w:rsidRPr="00531789" w:rsidRDefault="00DF4522" w:rsidP="00DF4522">
      <w:pPr>
        <w:spacing w:line="360" w:lineRule="auto"/>
        <w:jc w:val="center"/>
        <w:rPr>
          <w:rFonts w:ascii="Cambria" w:hAnsi="Cambria"/>
          <w:sz w:val="32"/>
          <w:szCs w:val="32"/>
        </w:rPr>
      </w:pPr>
    </w:p>
    <w:p w14:paraId="72C1ABDD" w14:textId="77777777" w:rsidR="00DF4522" w:rsidRPr="00531789" w:rsidRDefault="00DF4522" w:rsidP="00DF4522">
      <w:pPr>
        <w:spacing w:line="360" w:lineRule="auto"/>
        <w:jc w:val="center"/>
        <w:rPr>
          <w:rFonts w:ascii="Cambria" w:hAnsi="Cambria"/>
          <w:sz w:val="32"/>
          <w:szCs w:val="32"/>
        </w:rPr>
      </w:pPr>
      <w:r w:rsidRPr="00531789">
        <w:rPr>
          <w:rFonts w:ascii="Cambria" w:hAnsi="Cambria"/>
          <w:sz w:val="32"/>
          <w:szCs w:val="32"/>
        </w:rPr>
        <w:t>University of Sheffield,</w:t>
      </w:r>
    </w:p>
    <w:p w14:paraId="0AEB2E21" w14:textId="77777777" w:rsidR="00DF4522" w:rsidRPr="00531789" w:rsidRDefault="00DF4522" w:rsidP="00DF4522">
      <w:pPr>
        <w:spacing w:line="360" w:lineRule="auto"/>
        <w:jc w:val="center"/>
        <w:rPr>
          <w:rFonts w:ascii="Cambria" w:hAnsi="Cambria"/>
          <w:sz w:val="32"/>
          <w:szCs w:val="32"/>
        </w:rPr>
      </w:pPr>
      <w:r w:rsidRPr="00531789">
        <w:rPr>
          <w:rFonts w:ascii="Cambria" w:hAnsi="Cambria"/>
          <w:sz w:val="32"/>
          <w:szCs w:val="32"/>
        </w:rPr>
        <w:t>Faculty of Science,</w:t>
      </w:r>
    </w:p>
    <w:p w14:paraId="7B5570BE" w14:textId="77777777" w:rsidR="00DF4522" w:rsidRPr="00531789" w:rsidRDefault="00DF4522" w:rsidP="00DF4522">
      <w:pPr>
        <w:spacing w:line="360" w:lineRule="auto"/>
        <w:jc w:val="center"/>
        <w:rPr>
          <w:rFonts w:ascii="Cambria" w:hAnsi="Cambria"/>
          <w:sz w:val="32"/>
          <w:szCs w:val="32"/>
        </w:rPr>
      </w:pPr>
      <w:r w:rsidRPr="00531789">
        <w:rPr>
          <w:rFonts w:ascii="Cambria" w:hAnsi="Cambria"/>
          <w:sz w:val="32"/>
          <w:szCs w:val="32"/>
        </w:rPr>
        <w:t>Department of Animal and Plant Sciences</w:t>
      </w:r>
    </w:p>
    <w:p w14:paraId="17D3112D" w14:textId="77777777" w:rsidR="00DF4522" w:rsidRPr="00531789" w:rsidRDefault="00DF4522" w:rsidP="00DF4522">
      <w:pPr>
        <w:spacing w:line="360" w:lineRule="auto"/>
        <w:jc w:val="center"/>
        <w:rPr>
          <w:rFonts w:ascii="Cambria" w:hAnsi="Cambria"/>
          <w:sz w:val="32"/>
          <w:szCs w:val="32"/>
        </w:rPr>
      </w:pPr>
    </w:p>
    <w:p w14:paraId="1746B169" w14:textId="77777777" w:rsidR="00DF4522" w:rsidRPr="00531789" w:rsidRDefault="00DF4522" w:rsidP="00DF4522">
      <w:pPr>
        <w:spacing w:line="360" w:lineRule="auto"/>
        <w:jc w:val="center"/>
        <w:rPr>
          <w:rFonts w:ascii="Cambria" w:hAnsi="Cambria"/>
          <w:sz w:val="32"/>
          <w:szCs w:val="32"/>
        </w:rPr>
      </w:pPr>
    </w:p>
    <w:p w14:paraId="0E10B641" w14:textId="77777777" w:rsidR="00DF4522" w:rsidRPr="00531789" w:rsidRDefault="00DF4522" w:rsidP="00DF4522">
      <w:pPr>
        <w:spacing w:line="360" w:lineRule="auto"/>
        <w:jc w:val="center"/>
        <w:rPr>
          <w:rFonts w:ascii="Cambria" w:hAnsi="Cambria"/>
          <w:sz w:val="32"/>
          <w:szCs w:val="32"/>
        </w:rPr>
      </w:pPr>
    </w:p>
    <w:p w14:paraId="322C9C6D" w14:textId="3B36B759" w:rsidR="00DF4522" w:rsidRPr="00531789" w:rsidRDefault="00DF4522" w:rsidP="00DF4522">
      <w:pPr>
        <w:spacing w:line="360" w:lineRule="auto"/>
        <w:jc w:val="center"/>
        <w:rPr>
          <w:rFonts w:ascii="Cambria" w:hAnsi="Cambria"/>
          <w:sz w:val="32"/>
          <w:szCs w:val="32"/>
        </w:rPr>
      </w:pPr>
      <w:r w:rsidRPr="00531789">
        <w:rPr>
          <w:rFonts w:ascii="Cambria" w:hAnsi="Cambria"/>
          <w:sz w:val="32"/>
          <w:szCs w:val="32"/>
        </w:rPr>
        <w:t>April 2016</w:t>
      </w:r>
      <w:r w:rsidR="00104212">
        <w:rPr>
          <w:rFonts w:ascii="Cambria" w:hAnsi="Cambria"/>
          <w:sz w:val="32"/>
          <w:szCs w:val="32"/>
        </w:rPr>
        <w:t xml:space="preserve"> – revised July 2016</w:t>
      </w:r>
    </w:p>
    <w:p w14:paraId="7479E001" w14:textId="77777777" w:rsidR="00DF4522" w:rsidRPr="00531789" w:rsidRDefault="00DF4522" w:rsidP="00DF4522">
      <w:pPr>
        <w:spacing w:line="360" w:lineRule="auto"/>
        <w:jc w:val="both"/>
        <w:rPr>
          <w:rFonts w:ascii="Cambria" w:hAnsi="Cambria"/>
          <w:b/>
        </w:rPr>
      </w:pPr>
      <w:r w:rsidRPr="00531789">
        <w:rPr>
          <w:rFonts w:ascii="Cambria" w:hAnsi="Cambria"/>
          <w:b/>
        </w:rPr>
        <w:br w:type="page"/>
      </w:r>
    </w:p>
    <w:p w14:paraId="02938179" w14:textId="77777777" w:rsidR="00DF4522" w:rsidRDefault="00DF4522" w:rsidP="00DF4522">
      <w:pPr>
        <w:pStyle w:val="TOC1"/>
        <w:jc w:val="center"/>
        <w:rPr>
          <w:rFonts w:ascii="Cambria" w:hAnsi="Cambria"/>
          <w:sz w:val="32"/>
          <w:szCs w:val="32"/>
          <w:lang w:eastAsia="en-GB"/>
        </w:rPr>
        <w:sectPr w:rsidR="00DF4522" w:rsidSect="004631DA">
          <w:footerReference w:type="even" r:id="rId9"/>
          <w:footerReference w:type="default" r:id="rId10"/>
          <w:footerReference w:type="first" r:id="rId11"/>
          <w:pgSz w:w="11906" w:h="16838"/>
          <w:pgMar w:top="1418" w:right="1418" w:bottom="1418" w:left="2268" w:header="709" w:footer="709" w:gutter="0"/>
          <w:pgNumType w:fmt="lowerRoman"/>
          <w:cols w:space="708"/>
          <w:titlePg/>
          <w:docGrid w:linePitch="360"/>
        </w:sectPr>
      </w:pPr>
    </w:p>
    <w:p w14:paraId="6FDAC337" w14:textId="77777777" w:rsidR="00DF4522" w:rsidRPr="00531789" w:rsidRDefault="00DF4522" w:rsidP="00DF4522">
      <w:pPr>
        <w:pStyle w:val="TOC1"/>
        <w:jc w:val="center"/>
        <w:rPr>
          <w:rFonts w:ascii="Cambria" w:hAnsi="Cambria"/>
          <w:sz w:val="32"/>
          <w:szCs w:val="32"/>
          <w:lang w:eastAsia="en-GB"/>
        </w:rPr>
      </w:pPr>
    </w:p>
    <w:p w14:paraId="36800108" w14:textId="77777777" w:rsidR="00DF4522" w:rsidRDefault="00DF4522" w:rsidP="00DF4522">
      <w:pPr>
        <w:pStyle w:val="TOC1"/>
        <w:jc w:val="center"/>
        <w:rPr>
          <w:rFonts w:ascii="Cambria" w:hAnsi="Cambria"/>
          <w:color w:val="auto"/>
          <w:sz w:val="32"/>
          <w:szCs w:val="32"/>
          <w:lang w:eastAsia="en-GB"/>
        </w:rPr>
      </w:pPr>
      <w:r>
        <w:rPr>
          <w:rFonts w:ascii="Cambria" w:hAnsi="Cambria"/>
          <w:color w:val="auto"/>
          <w:sz w:val="32"/>
          <w:szCs w:val="32"/>
          <w:lang w:eastAsia="en-GB"/>
        </w:rPr>
        <w:br w:type="page"/>
      </w:r>
    </w:p>
    <w:p w14:paraId="67B4579C" w14:textId="77777777" w:rsidR="00DF4522" w:rsidRDefault="00DF4522" w:rsidP="00DF4522">
      <w:pPr>
        <w:pStyle w:val="TOC1"/>
        <w:jc w:val="center"/>
        <w:rPr>
          <w:rFonts w:ascii="Cambria" w:hAnsi="Cambria"/>
          <w:color w:val="auto"/>
          <w:sz w:val="32"/>
          <w:szCs w:val="32"/>
          <w:lang w:eastAsia="en-GB"/>
        </w:rPr>
        <w:sectPr w:rsidR="00DF4522" w:rsidSect="00340566">
          <w:pgSz w:w="11906" w:h="16838"/>
          <w:pgMar w:top="1418" w:right="1418" w:bottom="1418" w:left="2268" w:header="709" w:footer="709" w:gutter="0"/>
          <w:pgNumType w:fmt="lowerRoman" w:start="1"/>
          <w:cols w:space="708"/>
          <w:titlePg/>
          <w:docGrid w:linePitch="360"/>
        </w:sectPr>
      </w:pPr>
    </w:p>
    <w:p w14:paraId="0C91F55C" w14:textId="77777777" w:rsidR="00DF4522" w:rsidRDefault="00DF4522" w:rsidP="00DF4522">
      <w:pPr>
        <w:pStyle w:val="TOC1"/>
        <w:jc w:val="center"/>
        <w:rPr>
          <w:rFonts w:ascii="Cambria" w:hAnsi="Cambria"/>
          <w:color w:val="auto"/>
          <w:sz w:val="32"/>
          <w:szCs w:val="32"/>
          <w:lang w:eastAsia="en-GB"/>
        </w:rPr>
      </w:pPr>
    </w:p>
    <w:p w14:paraId="567E7D4C" w14:textId="77777777" w:rsidR="00DF4522" w:rsidRPr="00531789" w:rsidRDefault="00DF4522" w:rsidP="00DF4522">
      <w:pPr>
        <w:pStyle w:val="TOC1"/>
        <w:jc w:val="center"/>
        <w:rPr>
          <w:rFonts w:ascii="Cambria" w:hAnsi="Cambria"/>
          <w:color w:val="auto"/>
          <w:sz w:val="32"/>
          <w:szCs w:val="32"/>
          <w:lang w:eastAsia="en-GB"/>
        </w:rPr>
      </w:pPr>
      <w:r w:rsidRPr="00531789">
        <w:rPr>
          <w:rFonts w:ascii="Cambria" w:hAnsi="Cambria"/>
          <w:color w:val="auto"/>
          <w:sz w:val="32"/>
          <w:szCs w:val="32"/>
          <w:lang w:eastAsia="en-GB"/>
        </w:rPr>
        <w:t>Table of Contents</w:t>
      </w:r>
    </w:p>
    <w:p w14:paraId="4D99B343" w14:textId="77777777" w:rsidR="00DF4522" w:rsidRPr="00340566" w:rsidRDefault="00DF4522" w:rsidP="00DF4522">
      <w:pPr>
        <w:spacing w:line="360" w:lineRule="auto"/>
      </w:pPr>
    </w:p>
    <w:p w14:paraId="1C7EE556" w14:textId="77777777" w:rsidR="00DF4522" w:rsidRPr="000055CC" w:rsidRDefault="00DF4522" w:rsidP="006C2303">
      <w:pPr>
        <w:spacing w:line="360" w:lineRule="auto"/>
        <w:rPr>
          <w:rFonts w:ascii="Cambria" w:hAnsi="Cambria"/>
        </w:rPr>
      </w:pPr>
    </w:p>
    <w:p w14:paraId="4B30DF78" w14:textId="77777777" w:rsidR="00DF4522" w:rsidRPr="000055CC" w:rsidRDefault="00DF4522" w:rsidP="006C2303">
      <w:pPr>
        <w:spacing w:line="360" w:lineRule="auto"/>
        <w:rPr>
          <w:rFonts w:ascii="Cambria" w:hAnsi="Cambria"/>
        </w:rPr>
      </w:pPr>
    </w:p>
    <w:p w14:paraId="5319DEF6" w14:textId="77777777" w:rsidR="00F50DFF" w:rsidRDefault="00DF4522" w:rsidP="00F50DFF">
      <w:pPr>
        <w:pStyle w:val="TOC1"/>
        <w:rPr>
          <w:noProof/>
          <w:color w:val="auto"/>
        </w:rPr>
      </w:pPr>
      <w:r w:rsidRPr="00F50DFF">
        <w:rPr>
          <w:rFonts w:ascii="Cambria" w:eastAsiaTheme="majorEastAsia" w:hAnsi="Cambria" w:cstheme="majorBidi"/>
          <w:bCs/>
          <w:color w:val="auto"/>
          <w:lang w:eastAsia="en-GB"/>
        </w:rPr>
        <w:fldChar w:fldCharType="begin"/>
      </w:r>
      <w:r w:rsidRPr="00F50DFF">
        <w:rPr>
          <w:rFonts w:ascii="Cambria" w:eastAsiaTheme="majorEastAsia" w:hAnsi="Cambria" w:cstheme="majorBidi"/>
          <w:bCs/>
          <w:color w:val="auto"/>
          <w:lang w:eastAsia="en-GB"/>
        </w:rPr>
        <w:instrText xml:space="preserve"> TOC \o "1-3" </w:instrText>
      </w:r>
      <w:r w:rsidRPr="00F50DFF">
        <w:rPr>
          <w:rFonts w:ascii="Cambria" w:eastAsiaTheme="majorEastAsia" w:hAnsi="Cambria" w:cstheme="majorBidi"/>
          <w:bCs/>
          <w:color w:val="auto"/>
          <w:lang w:eastAsia="en-GB"/>
        </w:rPr>
        <w:fldChar w:fldCharType="separate"/>
      </w:r>
      <w:r w:rsidR="00F50DFF" w:rsidRPr="00F50DFF">
        <w:rPr>
          <w:rFonts w:ascii="Cambria" w:hAnsi="Cambria"/>
          <w:noProof/>
          <w:color w:val="auto"/>
        </w:rPr>
        <w:t>Acknowledgements</w:t>
      </w:r>
      <w:r w:rsidR="00F50DFF" w:rsidRPr="00F50DFF">
        <w:rPr>
          <w:noProof/>
          <w:color w:val="auto"/>
        </w:rPr>
        <w:tab/>
      </w:r>
      <w:r w:rsidR="00F50DFF" w:rsidRPr="00F50DFF">
        <w:rPr>
          <w:noProof/>
          <w:color w:val="auto"/>
        </w:rPr>
        <w:fldChar w:fldCharType="begin"/>
      </w:r>
      <w:r w:rsidR="00F50DFF" w:rsidRPr="00F50DFF">
        <w:rPr>
          <w:noProof/>
          <w:color w:val="auto"/>
        </w:rPr>
        <w:instrText xml:space="preserve"> PAGEREF _Toc331253000 \h </w:instrText>
      </w:r>
      <w:r w:rsidR="00F50DFF" w:rsidRPr="00F50DFF">
        <w:rPr>
          <w:noProof/>
          <w:color w:val="auto"/>
        </w:rPr>
      </w:r>
      <w:r w:rsidR="00F50DFF" w:rsidRPr="00F50DFF">
        <w:rPr>
          <w:noProof/>
          <w:color w:val="auto"/>
        </w:rPr>
        <w:fldChar w:fldCharType="separate"/>
      </w:r>
      <w:r w:rsidR="00485E23">
        <w:rPr>
          <w:noProof/>
          <w:color w:val="auto"/>
        </w:rPr>
        <w:t>iii</w:t>
      </w:r>
      <w:r w:rsidR="00F50DFF" w:rsidRPr="00F50DFF">
        <w:rPr>
          <w:noProof/>
          <w:color w:val="auto"/>
        </w:rPr>
        <w:fldChar w:fldCharType="end"/>
      </w:r>
    </w:p>
    <w:p w14:paraId="4E9F733B" w14:textId="77777777" w:rsidR="00F50DFF" w:rsidRPr="00F50DFF" w:rsidRDefault="00F50DFF" w:rsidP="00F50DFF"/>
    <w:p w14:paraId="228B7795" w14:textId="77777777" w:rsidR="00F50DFF" w:rsidRDefault="00F50DFF" w:rsidP="00F50DFF">
      <w:pPr>
        <w:pStyle w:val="TOC1"/>
        <w:rPr>
          <w:noProof/>
          <w:color w:val="auto"/>
        </w:rPr>
      </w:pPr>
      <w:r w:rsidRPr="00F50DFF">
        <w:rPr>
          <w:rFonts w:ascii="Cambria" w:hAnsi="Cambria"/>
          <w:noProof/>
          <w:color w:val="auto"/>
        </w:rPr>
        <w:t>Thesis summary</w:t>
      </w:r>
      <w:r w:rsidRPr="00F50DFF">
        <w:rPr>
          <w:noProof/>
          <w:color w:val="auto"/>
        </w:rPr>
        <w:tab/>
      </w:r>
      <w:r w:rsidRPr="00F50DFF">
        <w:rPr>
          <w:noProof/>
          <w:color w:val="auto"/>
        </w:rPr>
        <w:fldChar w:fldCharType="begin"/>
      </w:r>
      <w:r w:rsidRPr="00F50DFF">
        <w:rPr>
          <w:noProof/>
          <w:color w:val="auto"/>
        </w:rPr>
        <w:instrText xml:space="preserve"> PAGEREF _Toc331253001 \h </w:instrText>
      </w:r>
      <w:r w:rsidRPr="00F50DFF">
        <w:rPr>
          <w:noProof/>
          <w:color w:val="auto"/>
        </w:rPr>
      </w:r>
      <w:r w:rsidRPr="00F50DFF">
        <w:rPr>
          <w:noProof/>
          <w:color w:val="auto"/>
        </w:rPr>
        <w:fldChar w:fldCharType="separate"/>
      </w:r>
      <w:r w:rsidR="00485E23">
        <w:rPr>
          <w:noProof/>
          <w:color w:val="auto"/>
        </w:rPr>
        <w:t>v</w:t>
      </w:r>
      <w:r w:rsidRPr="00F50DFF">
        <w:rPr>
          <w:noProof/>
          <w:color w:val="auto"/>
        </w:rPr>
        <w:fldChar w:fldCharType="end"/>
      </w:r>
    </w:p>
    <w:p w14:paraId="79413BEB" w14:textId="77777777" w:rsidR="00F50DFF" w:rsidRPr="00F50DFF" w:rsidRDefault="00F50DFF" w:rsidP="00F50DFF"/>
    <w:p w14:paraId="5B775E67" w14:textId="77777777" w:rsidR="00F50DFF" w:rsidRDefault="00F50DFF" w:rsidP="00F50DFF">
      <w:pPr>
        <w:pStyle w:val="TOC1"/>
        <w:rPr>
          <w:noProof/>
          <w:color w:val="auto"/>
        </w:rPr>
      </w:pPr>
      <w:r w:rsidRPr="00F50DFF">
        <w:rPr>
          <w:rFonts w:ascii="Cambria" w:hAnsi="Cambria"/>
          <w:noProof/>
          <w:color w:val="auto"/>
        </w:rPr>
        <w:t>Chapter 1: General introduction</w:t>
      </w:r>
      <w:r w:rsidRPr="00F50DFF">
        <w:rPr>
          <w:noProof/>
          <w:color w:val="auto"/>
        </w:rPr>
        <w:tab/>
      </w:r>
      <w:r w:rsidRPr="00F50DFF">
        <w:rPr>
          <w:noProof/>
          <w:color w:val="auto"/>
        </w:rPr>
        <w:fldChar w:fldCharType="begin"/>
      </w:r>
      <w:r w:rsidRPr="00F50DFF">
        <w:rPr>
          <w:noProof/>
          <w:color w:val="auto"/>
        </w:rPr>
        <w:instrText xml:space="preserve"> PAGEREF _Toc331253002 \h </w:instrText>
      </w:r>
      <w:r w:rsidRPr="00F50DFF">
        <w:rPr>
          <w:noProof/>
          <w:color w:val="auto"/>
        </w:rPr>
      </w:r>
      <w:r w:rsidRPr="00F50DFF">
        <w:rPr>
          <w:noProof/>
          <w:color w:val="auto"/>
        </w:rPr>
        <w:fldChar w:fldCharType="separate"/>
      </w:r>
      <w:r w:rsidR="00485E23">
        <w:rPr>
          <w:noProof/>
          <w:color w:val="auto"/>
        </w:rPr>
        <w:t>1</w:t>
      </w:r>
      <w:r w:rsidRPr="00F50DFF">
        <w:rPr>
          <w:noProof/>
          <w:color w:val="auto"/>
        </w:rPr>
        <w:fldChar w:fldCharType="end"/>
      </w:r>
    </w:p>
    <w:p w14:paraId="56A498DC" w14:textId="77777777" w:rsidR="00F50DFF" w:rsidRPr="00F50DFF" w:rsidRDefault="00F50DFF" w:rsidP="00F50DFF"/>
    <w:p w14:paraId="0D6D7601" w14:textId="77777777" w:rsidR="00F50DFF" w:rsidRPr="00F50DFF" w:rsidRDefault="00F50DFF" w:rsidP="00F50DFF">
      <w:pPr>
        <w:pStyle w:val="TOC1"/>
        <w:rPr>
          <w:rFonts w:asciiTheme="minorHAnsi" w:hAnsiTheme="minorHAnsi"/>
          <w:b w:val="0"/>
          <w:noProof/>
          <w:color w:val="auto"/>
          <w:lang w:eastAsia="ja-JP"/>
        </w:rPr>
      </w:pPr>
      <w:r w:rsidRPr="00F50DFF">
        <w:rPr>
          <w:rFonts w:ascii="Cambria" w:hAnsi="Cambria"/>
          <w:noProof/>
          <w:color w:val="auto"/>
        </w:rPr>
        <w:t xml:space="preserve">Chapter 2: </w:t>
      </w:r>
      <w:r w:rsidRPr="00F50DFF">
        <w:rPr>
          <w:rFonts w:ascii="Cambria" w:hAnsi="Cambria" w:cs="Arial"/>
          <w:noProof/>
          <w:color w:val="auto"/>
        </w:rPr>
        <w:t>How can we make plants grow faster?  A source-sink perspective on growth rate.</w:t>
      </w:r>
      <w:r w:rsidRPr="00F50DFF">
        <w:rPr>
          <w:noProof/>
          <w:color w:val="auto"/>
        </w:rPr>
        <w:tab/>
      </w:r>
      <w:r w:rsidRPr="00F50DFF">
        <w:rPr>
          <w:noProof/>
          <w:color w:val="auto"/>
        </w:rPr>
        <w:fldChar w:fldCharType="begin"/>
      </w:r>
      <w:r w:rsidRPr="00F50DFF">
        <w:rPr>
          <w:noProof/>
          <w:color w:val="auto"/>
        </w:rPr>
        <w:instrText xml:space="preserve"> PAGEREF _Toc331253003 \h </w:instrText>
      </w:r>
      <w:r w:rsidRPr="00F50DFF">
        <w:rPr>
          <w:noProof/>
          <w:color w:val="auto"/>
        </w:rPr>
      </w:r>
      <w:r w:rsidRPr="00F50DFF">
        <w:rPr>
          <w:noProof/>
          <w:color w:val="auto"/>
        </w:rPr>
        <w:fldChar w:fldCharType="separate"/>
      </w:r>
      <w:r w:rsidR="00485E23">
        <w:rPr>
          <w:noProof/>
          <w:color w:val="auto"/>
        </w:rPr>
        <w:t>5</w:t>
      </w:r>
      <w:r w:rsidRPr="00F50DFF">
        <w:rPr>
          <w:noProof/>
          <w:color w:val="auto"/>
        </w:rPr>
        <w:fldChar w:fldCharType="end"/>
      </w:r>
    </w:p>
    <w:p w14:paraId="3B54BD02" w14:textId="77777777" w:rsidR="00F50DFF" w:rsidRPr="00F50DFF" w:rsidRDefault="00F50DFF" w:rsidP="00F50DFF">
      <w:pPr>
        <w:pStyle w:val="TOC2"/>
        <w:rPr>
          <w:noProof/>
          <w:sz w:val="24"/>
          <w:szCs w:val="24"/>
          <w:lang w:eastAsia="ja-JP"/>
        </w:rPr>
      </w:pPr>
      <w:r w:rsidRPr="00F50DFF">
        <w:rPr>
          <w:rFonts w:ascii="Cambria" w:hAnsi="Cambria" w:cs="Arial"/>
          <w:noProof/>
        </w:rPr>
        <w:t>ABSTRACT</w:t>
      </w:r>
      <w:r w:rsidRPr="00F50DFF">
        <w:rPr>
          <w:noProof/>
        </w:rPr>
        <w:tab/>
      </w:r>
      <w:r w:rsidRPr="00F50DFF">
        <w:rPr>
          <w:noProof/>
        </w:rPr>
        <w:fldChar w:fldCharType="begin"/>
      </w:r>
      <w:r w:rsidRPr="00F50DFF">
        <w:rPr>
          <w:noProof/>
        </w:rPr>
        <w:instrText xml:space="preserve"> PAGEREF _Toc331253004 \h </w:instrText>
      </w:r>
      <w:r w:rsidRPr="00F50DFF">
        <w:rPr>
          <w:noProof/>
        </w:rPr>
      </w:r>
      <w:r w:rsidRPr="00F50DFF">
        <w:rPr>
          <w:noProof/>
        </w:rPr>
        <w:fldChar w:fldCharType="separate"/>
      </w:r>
      <w:r w:rsidR="00485E23">
        <w:rPr>
          <w:noProof/>
        </w:rPr>
        <w:t>5</w:t>
      </w:r>
      <w:r w:rsidRPr="00F50DFF">
        <w:rPr>
          <w:noProof/>
        </w:rPr>
        <w:fldChar w:fldCharType="end"/>
      </w:r>
    </w:p>
    <w:p w14:paraId="3CE3DBDB" w14:textId="77777777" w:rsidR="00F50DFF" w:rsidRPr="00F50DFF" w:rsidRDefault="00F50DFF" w:rsidP="00F50DFF">
      <w:pPr>
        <w:pStyle w:val="TOC2"/>
        <w:rPr>
          <w:noProof/>
          <w:sz w:val="24"/>
          <w:szCs w:val="24"/>
          <w:lang w:eastAsia="ja-JP"/>
        </w:rPr>
      </w:pPr>
      <w:r w:rsidRPr="00F50DFF">
        <w:rPr>
          <w:rFonts w:ascii="Cambria" w:hAnsi="Cambria" w:cs="Arial"/>
          <w:noProof/>
        </w:rPr>
        <w:t>INTRODUCTION</w:t>
      </w:r>
      <w:r w:rsidRPr="00F50DFF">
        <w:rPr>
          <w:noProof/>
        </w:rPr>
        <w:tab/>
      </w:r>
      <w:r w:rsidRPr="00F50DFF">
        <w:rPr>
          <w:noProof/>
        </w:rPr>
        <w:fldChar w:fldCharType="begin"/>
      </w:r>
      <w:r w:rsidRPr="00F50DFF">
        <w:rPr>
          <w:noProof/>
        </w:rPr>
        <w:instrText xml:space="preserve"> PAGEREF _Toc331253005 \h </w:instrText>
      </w:r>
      <w:r w:rsidRPr="00F50DFF">
        <w:rPr>
          <w:noProof/>
        </w:rPr>
      </w:r>
      <w:r w:rsidRPr="00F50DFF">
        <w:rPr>
          <w:noProof/>
        </w:rPr>
        <w:fldChar w:fldCharType="separate"/>
      </w:r>
      <w:r w:rsidR="00485E23">
        <w:rPr>
          <w:noProof/>
        </w:rPr>
        <w:t>6</w:t>
      </w:r>
      <w:r w:rsidRPr="00F50DFF">
        <w:rPr>
          <w:noProof/>
        </w:rPr>
        <w:fldChar w:fldCharType="end"/>
      </w:r>
    </w:p>
    <w:p w14:paraId="0C762A24" w14:textId="77777777" w:rsidR="00F50DFF" w:rsidRPr="00F50DFF" w:rsidRDefault="00F50DFF" w:rsidP="00F50DFF">
      <w:pPr>
        <w:pStyle w:val="TOC2"/>
        <w:rPr>
          <w:noProof/>
          <w:sz w:val="24"/>
          <w:szCs w:val="24"/>
          <w:lang w:eastAsia="ja-JP"/>
        </w:rPr>
      </w:pPr>
      <w:r w:rsidRPr="00F50DFF">
        <w:rPr>
          <w:rFonts w:ascii="Cambria" w:hAnsi="Cambria"/>
          <w:noProof/>
        </w:rPr>
        <w:t>SOURCE AND SINK DEFINITIONS</w:t>
      </w:r>
      <w:r w:rsidRPr="00F50DFF">
        <w:rPr>
          <w:noProof/>
        </w:rPr>
        <w:tab/>
      </w:r>
      <w:r w:rsidRPr="00F50DFF">
        <w:rPr>
          <w:noProof/>
        </w:rPr>
        <w:fldChar w:fldCharType="begin"/>
      </w:r>
      <w:r w:rsidRPr="00F50DFF">
        <w:rPr>
          <w:noProof/>
        </w:rPr>
        <w:instrText xml:space="preserve"> PAGEREF _Toc331253006 \h </w:instrText>
      </w:r>
      <w:r w:rsidRPr="00F50DFF">
        <w:rPr>
          <w:noProof/>
        </w:rPr>
      </w:r>
      <w:r w:rsidRPr="00F50DFF">
        <w:rPr>
          <w:noProof/>
        </w:rPr>
        <w:fldChar w:fldCharType="separate"/>
      </w:r>
      <w:r w:rsidR="00485E23">
        <w:rPr>
          <w:noProof/>
        </w:rPr>
        <w:t>8</w:t>
      </w:r>
      <w:r w:rsidRPr="00F50DFF">
        <w:rPr>
          <w:noProof/>
        </w:rPr>
        <w:fldChar w:fldCharType="end"/>
      </w:r>
    </w:p>
    <w:p w14:paraId="2C3B68CB" w14:textId="77777777" w:rsidR="00F50DFF" w:rsidRPr="00F50DFF" w:rsidRDefault="00F50DFF" w:rsidP="00F50DFF">
      <w:pPr>
        <w:pStyle w:val="TOC2"/>
        <w:rPr>
          <w:noProof/>
          <w:sz w:val="24"/>
          <w:szCs w:val="24"/>
          <w:lang w:eastAsia="ja-JP"/>
        </w:rPr>
      </w:pPr>
      <w:r w:rsidRPr="00F50DFF">
        <w:rPr>
          <w:rFonts w:ascii="Cambria" w:hAnsi="Cambria"/>
          <w:noProof/>
        </w:rPr>
        <w:t>SOURCE AND SINK TISSUES</w:t>
      </w:r>
      <w:r w:rsidRPr="00F50DFF">
        <w:rPr>
          <w:noProof/>
        </w:rPr>
        <w:tab/>
      </w:r>
      <w:r w:rsidRPr="00F50DFF">
        <w:rPr>
          <w:noProof/>
        </w:rPr>
        <w:fldChar w:fldCharType="begin"/>
      </w:r>
      <w:r w:rsidRPr="00F50DFF">
        <w:rPr>
          <w:noProof/>
        </w:rPr>
        <w:instrText xml:space="preserve"> PAGEREF _Toc331253007 \h </w:instrText>
      </w:r>
      <w:r w:rsidRPr="00F50DFF">
        <w:rPr>
          <w:noProof/>
        </w:rPr>
      </w:r>
      <w:r w:rsidRPr="00F50DFF">
        <w:rPr>
          <w:noProof/>
        </w:rPr>
        <w:fldChar w:fldCharType="separate"/>
      </w:r>
      <w:r w:rsidR="00485E23">
        <w:rPr>
          <w:noProof/>
        </w:rPr>
        <w:t>10</w:t>
      </w:r>
      <w:r w:rsidRPr="00F50DFF">
        <w:rPr>
          <w:noProof/>
        </w:rPr>
        <w:fldChar w:fldCharType="end"/>
      </w:r>
    </w:p>
    <w:p w14:paraId="7E2FF2AF" w14:textId="77777777" w:rsidR="00F50DFF" w:rsidRPr="00F50DFF" w:rsidRDefault="00F50DFF" w:rsidP="00F50DFF">
      <w:pPr>
        <w:pStyle w:val="TOC2"/>
        <w:rPr>
          <w:noProof/>
          <w:sz w:val="24"/>
          <w:szCs w:val="24"/>
          <w:lang w:eastAsia="ja-JP"/>
        </w:rPr>
      </w:pPr>
      <w:r w:rsidRPr="00F50DFF">
        <w:rPr>
          <w:rFonts w:ascii="Cambria" w:hAnsi="Cambria"/>
          <w:noProof/>
        </w:rPr>
        <w:t>C0-LIMITATION AND OPTIMIZATION</w:t>
      </w:r>
      <w:r w:rsidRPr="00F50DFF">
        <w:rPr>
          <w:noProof/>
        </w:rPr>
        <w:tab/>
      </w:r>
      <w:r w:rsidRPr="00F50DFF">
        <w:rPr>
          <w:noProof/>
        </w:rPr>
        <w:fldChar w:fldCharType="begin"/>
      </w:r>
      <w:r w:rsidRPr="00F50DFF">
        <w:rPr>
          <w:noProof/>
        </w:rPr>
        <w:instrText xml:space="preserve"> PAGEREF _Toc331253008 \h </w:instrText>
      </w:r>
      <w:r w:rsidRPr="00F50DFF">
        <w:rPr>
          <w:noProof/>
        </w:rPr>
      </w:r>
      <w:r w:rsidRPr="00F50DFF">
        <w:rPr>
          <w:noProof/>
        </w:rPr>
        <w:fldChar w:fldCharType="separate"/>
      </w:r>
      <w:r w:rsidR="00485E23">
        <w:rPr>
          <w:noProof/>
        </w:rPr>
        <w:t>13</w:t>
      </w:r>
      <w:r w:rsidRPr="00F50DFF">
        <w:rPr>
          <w:noProof/>
        </w:rPr>
        <w:fldChar w:fldCharType="end"/>
      </w:r>
    </w:p>
    <w:p w14:paraId="107E1398" w14:textId="77777777" w:rsidR="00F50DFF" w:rsidRPr="00F50DFF" w:rsidRDefault="00F50DFF" w:rsidP="00F50DFF">
      <w:pPr>
        <w:pStyle w:val="TOC2"/>
        <w:rPr>
          <w:noProof/>
          <w:sz w:val="24"/>
          <w:szCs w:val="24"/>
          <w:lang w:eastAsia="ja-JP"/>
        </w:rPr>
      </w:pPr>
      <w:r w:rsidRPr="00F50DFF">
        <w:rPr>
          <w:rFonts w:ascii="Cambria" w:hAnsi="Cambria"/>
          <w:noProof/>
        </w:rPr>
        <w:t>SOURCES AND SINKS AFFECT GROWTH AND YIELD</w:t>
      </w:r>
      <w:r w:rsidRPr="00F50DFF">
        <w:rPr>
          <w:noProof/>
        </w:rPr>
        <w:tab/>
      </w:r>
      <w:r w:rsidRPr="00F50DFF">
        <w:rPr>
          <w:noProof/>
        </w:rPr>
        <w:fldChar w:fldCharType="begin"/>
      </w:r>
      <w:r w:rsidRPr="00F50DFF">
        <w:rPr>
          <w:noProof/>
        </w:rPr>
        <w:instrText xml:space="preserve"> PAGEREF _Toc331253009 \h </w:instrText>
      </w:r>
      <w:r w:rsidRPr="00F50DFF">
        <w:rPr>
          <w:noProof/>
        </w:rPr>
      </w:r>
      <w:r w:rsidRPr="00F50DFF">
        <w:rPr>
          <w:noProof/>
        </w:rPr>
        <w:fldChar w:fldCharType="separate"/>
      </w:r>
      <w:r w:rsidR="00485E23">
        <w:rPr>
          <w:noProof/>
        </w:rPr>
        <w:t>16</w:t>
      </w:r>
      <w:r w:rsidRPr="00F50DFF">
        <w:rPr>
          <w:noProof/>
        </w:rPr>
        <w:fldChar w:fldCharType="end"/>
      </w:r>
    </w:p>
    <w:p w14:paraId="4FC276F9" w14:textId="77777777" w:rsidR="00F50DFF" w:rsidRPr="00F50DFF" w:rsidRDefault="00F50DFF" w:rsidP="00F50DFF">
      <w:pPr>
        <w:pStyle w:val="TOC2"/>
        <w:rPr>
          <w:noProof/>
          <w:sz w:val="24"/>
          <w:szCs w:val="24"/>
          <w:lang w:eastAsia="ja-JP"/>
        </w:rPr>
      </w:pPr>
      <w:r w:rsidRPr="00F50DFF">
        <w:rPr>
          <w:rFonts w:ascii="Cambria" w:hAnsi="Cambria"/>
          <w:noProof/>
        </w:rPr>
        <w:t>REGULATION OF SINKS AND SOURCES</w:t>
      </w:r>
      <w:r w:rsidRPr="00F50DFF">
        <w:rPr>
          <w:noProof/>
        </w:rPr>
        <w:tab/>
      </w:r>
      <w:r w:rsidRPr="00F50DFF">
        <w:rPr>
          <w:noProof/>
        </w:rPr>
        <w:fldChar w:fldCharType="begin"/>
      </w:r>
      <w:r w:rsidRPr="00F50DFF">
        <w:rPr>
          <w:noProof/>
        </w:rPr>
        <w:instrText xml:space="preserve"> PAGEREF _Toc331253010 \h </w:instrText>
      </w:r>
      <w:r w:rsidRPr="00F50DFF">
        <w:rPr>
          <w:noProof/>
        </w:rPr>
      </w:r>
      <w:r w:rsidRPr="00F50DFF">
        <w:rPr>
          <w:noProof/>
        </w:rPr>
        <w:fldChar w:fldCharType="separate"/>
      </w:r>
      <w:r w:rsidR="00485E23">
        <w:rPr>
          <w:noProof/>
        </w:rPr>
        <w:t>21</w:t>
      </w:r>
      <w:r w:rsidRPr="00F50DFF">
        <w:rPr>
          <w:noProof/>
        </w:rPr>
        <w:fldChar w:fldCharType="end"/>
      </w:r>
    </w:p>
    <w:p w14:paraId="725B169B" w14:textId="77777777" w:rsidR="00F50DFF" w:rsidRPr="00F50DFF" w:rsidRDefault="00F50DFF" w:rsidP="00F50DFF">
      <w:pPr>
        <w:pStyle w:val="TOC2"/>
        <w:rPr>
          <w:noProof/>
          <w:sz w:val="24"/>
          <w:szCs w:val="24"/>
          <w:lang w:eastAsia="ja-JP"/>
        </w:rPr>
      </w:pPr>
      <w:r w:rsidRPr="00F50DFF">
        <w:rPr>
          <w:rFonts w:ascii="Cambria" w:hAnsi="Cambria"/>
          <w:noProof/>
        </w:rPr>
        <w:t>ALTERNATIVE PERSPECTIVES ON GROWTH</w:t>
      </w:r>
      <w:r w:rsidRPr="00F50DFF">
        <w:rPr>
          <w:noProof/>
        </w:rPr>
        <w:tab/>
      </w:r>
      <w:r w:rsidRPr="00F50DFF">
        <w:rPr>
          <w:noProof/>
        </w:rPr>
        <w:fldChar w:fldCharType="begin"/>
      </w:r>
      <w:r w:rsidRPr="00F50DFF">
        <w:rPr>
          <w:noProof/>
        </w:rPr>
        <w:instrText xml:space="preserve"> PAGEREF _Toc331253011 \h </w:instrText>
      </w:r>
      <w:r w:rsidRPr="00F50DFF">
        <w:rPr>
          <w:noProof/>
        </w:rPr>
      </w:r>
      <w:r w:rsidRPr="00F50DFF">
        <w:rPr>
          <w:noProof/>
        </w:rPr>
        <w:fldChar w:fldCharType="separate"/>
      </w:r>
      <w:r w:rsidR="00485E23">
        <w:rPr>
          <w:noProof/>
        </w:rPr>
        <w:t>26</w:t>
      </w:r>
      <w:r w:rsidRPr="00F50DFF">
        <w:rPr>
          <w:noProof/>
        </w:rPr>
        <w:fldChar w:fldCharType="end"/>
      </w:r>
    </w:p>
    <w:p w14:paraId="2B7F2495" w14:textId="77777777" w:rsidR="00F50DFF" w:rsidRPr="00F50DFF" w:rsidRDefault="00F50DFF" w:rsidP="00F50DFF">
      <w:pPr>
        <w:pStyle w:val="TOC2"/>
        <w:rPr>
          <w:noProof/>
          <w:sz w:val="24"/>
          <w:szCs w:val="24"/>
          <w:lang w:eastAsia="ja-JP"/>
        </w:rPr>
      </w:pPr>
      <w:r w:rsidRPr="00F50DFF">
        <w:rPr>
          <w:rFonts w:ascii="Cambria" w:hAnsi="Cambria"/>
          <w:noProof/>
        </w:rPr>
        <w:t>CONCLUSIONS AND RECOMMENDATIONS</w:t>
      </w:r>
      <w:r w:rsidRPr="00F50DFF">
        <w:rPr>
          <w:noProof/>
        </w:rPr>
        <w:tab/>
      </w:r>
      <w:r w:rsidRPr="00F50DFF">
        <w:rPr>
          <w:noProof/>
        </w:rPr>
        <w:fldChar w:fldCharType="begin"/>
      </w:r>
      <w:r w:rsidRPr="00F50DFF">
        <w:rPr>
          <w:noProof/>
        </w:rPr>
        <w:instrText xml:space="preserve"> PAGEREF _Toc331253012 \h </w:instrText>
      </w:r>
      <w:r w:rsidRPr="00F50DFF">
        <w:rPr>
          <w:noProof/>
        </w:rPr>
      </w:r>
      <w:r w:rsidRPr="00F50DFF">
        <w:rPr>
          <w:noProof/>
        </w:rPr>
        <w:fldChar w:fldCharType="separate"/>
      </w:r>
      <w:r w:rsidR="00485E23">
        <w:rPr>
          <w:noProof/>
        </w:rPr>
        <w:t>35</w:t>
      </w:r>
      <w:r w:rsidRPr="00F50DFF">
        <w:rPr>
          <w:noProof/>
        </w:rPr>
        <w:fldChar w:fldCharType="end"/>
      </w:r>
    </w:p>
    <w:p w14:paraId="47AB2DBD" w14:textId="77777777" w:rsidR="00F50DFF" w:rsidRDefault="00F50DFF" w:rsidP="00F50DFF">
      <w:pPr>
        <w:pStyle w:val="TOC2"/>
        <w:rPr>
          <w:noProof/>
        </w:rPr>
      </w:pPr>
      <w:r w:rsidRPr="00F50DFF">
        <w:rPr>
          <w:rFonts w:ascii="Cambria" w:hAnsi="Cambria" w:cs="Arial"/>
          <w:noProof/>
        </w:rPr>
        <w:t>ACKNOWLEDGEMENTS</w:t>
      </w:r>
      <w:r w:rsidRPr="00F50DFF">
        <w:rPr>
          <w:noProof/>
        </w:rPr>
        <w:tab/>
      </w:r>
      <w:r w:rsidRPr="00F50DFF">
        <w:rPr>
          <w:noProof/>
        </w:rPr>
        <w:fldChar w:fldCharType="begin"/>
      </w:r>
      <w:r w:rsidRPr="00F50DFF">
        <w:rPr>
          <w:noProof/>
        </w:rPr>
        <w:instrText xml:space="preserve"> PAGEREF _Toc331253013 \h </w:instrText>
      </w:r>
      <w:r w:rsidRPr="00F50DFF">
        <w:rPr>
          <w:noProof/>
        </w:rPr>
      </w:r>
      <w:r w:rsidRPr="00F50DFF">
        <w:rPr>
          <w:noProof/>
        </w:rPr>
        <w:fldChar w:fldCharType="separate"/>
      </w:r>
      <w:r w:rsidR="00485E23">
        <w:rPr>
          <w:noProof/>
        </w:rPr>
        <w:t>36</w:t>
      </w:r>
      <w:r w:rsidRPr="00F50DFF">
        <w:rPr>
          <w:noProof/>
        </w:rPr>
        <w:fldChar w:fldCharType="end"/>
      </w:r>
    </w:p>
    <w:p w14:paraId="03891EBF" w14:textId="77777777" w:rsidR="00F50DFF" w:rsidRPr="00F50DFF" w:rsidRDefault="00F50DFF" w:rsidP="00F50DFF"/>
    <w:p w14:paraId="0D067BB0" w14:textId="77777777" w:rsidR="00F50DFF" w:rsidRPr="00F50DFF" w:rsidRDefault="00F50DFF" w:rsidP="00F50DFF">
      <w:pPr>
        <w:pStyle w:val="TOC1"/>
        <w:rPr>
          <w:rFonts w:asciiTheme="minorHAnsi" w:hAnsiTheme="minorHAnsi"/>
          <w:b w:val="0"/>
          <w:noProof/>
          <w:color w:val="auto"/>
          <w:lang w:eastAsia="ja-JP"/>
        </w:rPr>
      </w:pPr>
      <w:r w:rsidRPr="00F50DFF">
        <w:rPr>
          <w:rFonts w:ascii="Cambria" w:hAnsi="Cambria"/>
          <w:noProof/>
          <w:color w:val="auto"/>
        </w:rPr>
        <w:t>Chapter 3: Carbon sink limitation declines during vegetative development in annual barley</w:t>
      </w:r>
      <w:r w:rsidRPr="00F50DFF">
        <w:rPr>
          <w:noProof/>
          <w:color w:val="auto"/>
        </w:rPr>
        <w:tab/>
      </w:r>
      <w:r w:rsidRPr="00F50DFF">
        <w:rPr>
          <w:noProof/>
          <w:color w:val="auto"/>
        </w:rPr>
        <w:fldChar w:fldCharType="begin"/>
      </w:r>
      <w:r w:rsidRPr="00F50DFF">
        <w:rPr>
          <w:noProof/>
          <w:color w:val="auto"/>
        </w:rPr>
        <w:instrText xml:space="preserve"> PAGEREF _Toc331253014 \h </w:instrText>
      </w:r>
      <w:r w:rsidRPr="00F50DFF">
        <w:rPr>
          <w:noProof/>
          <w:color w:val="auto"/>
        </w:rPr>
      </w:r>
      <w:r w:rsidRPr="00F50DFF">
        <w:rPr>
          <w:noProof/>
          <w:color w:val="auto"/>
        </w:rPr>
        <w:fldChar w:fldCharType="separate"/>
      </w:r>
      <w:r w:rsidR="00485E23">
        <w:rPr>
          <w:noProof/>
          <w:color w:val="auto"/>
        </w:rPr>
        <w:t>37</w:t>
      </w:r>
      <w:r w:rsidRPr="00F50DFF">
        <w:rPr>
          <w:noProof/>
          <w:color w:val="auto"/>
        </w:rPr>
        <w:fldChar w:fldCharType="end"/>
      </w:r>
    </w:p>
    <w:p w14:paraId="4CC3C21D" w14:textId="77777777" w:rsidR="00F50DFF" w:rsidRPr="00F50DFF" w:rsidRDefault="00F50DFF" w:rsidP="00F50DFF">
      <w:pPr>
        <w:pStyle w:val="TOC2"/>
        <w:rPr>
          <w:noProof/>
          <w:sz w:val="24"/>
          <w:szCs w:val="24"/>
          <w:lang w:eastAsia="ja-JP"/>
        </w:rPr>
      </w:pPr>
      <w:r w:rsidRPr="00F50DFF">
        <w:rPr>
          <w:rFonts w:ascii="Cambria" w:hAnsi="Cambria"/>
          <w:noProof/>
        </w:rPr>
        <w:t>ABSTRACT</w:t>
      </w:r>
      <w:r w:rsidRPr="00F50DFF">
        <w:rPr>
          <w:noProof/>
        </w:rPr>
        <w:tab/>
      </w:r>
      <w:r w:rsidRPr="00F50DFF">
        <w:rPr>
          <w:noProof/>
        </w:rPr>
        <w:fldChar w:fldCharType="begin"/>
      </w:r>
      <w:r w:rsidRPr="00F50DFF">
        <w:rPr>
          <w:noProof/>
        </w:rPr>
        <w:instrText xml:space="preserve"> PAGEREF _Toc331253015 \h </w:instrText>
      </w:r>
      <w:r w:rsidRPr="00F50DFF">
        <w:rPr>
          <w:noProof/>
        </w:rPr>
      </w:r>
      <w:r w:rsidRPr="00F50DFF">
        <w:rPr>
          <w:noProof/>
        </w:rPr>
        <w:fldChar w:fldCharType="separate"/>
      </w:r>
      <w:r w:rsidR="00485E23">
        <w:rPr>
          <w:noProof/>
        </w:rPr>
        <w:t>37</w:t>
      </w:r>
      <w:r w:rsidRPr="00F50DFF">
        <w:rPr>
          <w:noProof/>
        </w:rPr>
        <w:fldChar w:fldCharType="end"/>
      </w:r>
    </w:p>
    <w:p w14:paraId="0CFAAEB3" w14:textId="77777777" w:rsidR="00F50DFF" w:rsidRPr="00F50DFF" w:rsidRDefault="00F50DFF" w:rsidP="00F50DFF">
      <w:pPr>
        <w:pStyle w:val="TOC2"/>
        <w:rPr>
          <w:noProof/>
          <w:sz w:val="24"/>
          <w:szCs w:val="24"/>
          <w:lang w:eastAsia="ja-JP"/>
        </w:rPr>
      </w:pPr>
      <w:r w:rsidRPr="00F50DFF">
        <w:rPr>
          <w:rFonts w:ascii="Cambria" w:hAnsi="Cambria"/>
          <w:noProof/>
        </w:rPr>
        <w:t>INTRODUCTION</w:t>
      </w:r>
      <w:r w:rsidRPr="00F50DFF">
        <w:rPr>
          <w:noProof/>
        </w:rPr>
        <w:tab/>
      </w:r>
      <w:r w:rsidRPr="00F50DFF">
        <w:rPr>
          <w:noProof/>
        </w:rPr>
        <w:fldChar w:fldCharType="begin"/>
      </w:r>
      <w:r w:rsidRPr="00F50DFF">
        <w:rPr>
          <w:noProof/>
        </w:rPr>
        <w:instrText xml:space="preserve"> PAGEREF _Toc331253016 \h </w:instrText>
      </w:r>
      <w:r w:rsidRPr="00F50DFF">
        <w:rPr>
          <w:noProof/>
        </w:rPr>
      </w:r>
      <w:r w:rsidRPr="00F50DFF">
        <w:rPr>
          <w:noProof/>
        </w:rPr>
        <w:fldChar w:fldCharType="separate"/>
      </w:r>
      <w:r w:rsidR="00485E23">
        <w:rPr>
          <w:noProof/>
        </w:rPr>
        <w:t>38</w:t>
      </w:r>
      <w:r w:rsidRPr="00F50DFF">
        <w:rPr>
          <w:noProof/>
        </w:rPr>
        <w:fldChar w:fldCharType="end"/>
      </w:r>
    </w:p>
    <w:p w14:paraId="080CCC8B" w14:textId="77777777" w:rsidR="00F50DFF" w:rsidRPr="00F50DFF" w:rsidRDefault="00F50DFF" w:rsidP="00F50DFF">
      <w:pPr>
        <w:pStyle w:val="TOC2"/>
        <w:rPr>
          <w:noProof/>
          <w:sz w:val="24"/>
          <w:szCs w:val="24"/>
          <w:lang w:eastAsia="ja-JP"/>
        </w:rPr>
      </w:pPr>
      <w:r w:rsidRPr="00F50DFF">
        <w:rPr>
          <w:rFonts w:ascii="Cambria" w:hAnsi="Cambria"/>
          <w:noProof/>
        </w:rPr>
        <w:t>MATERIALS AND METHODS</w:t>
      </w:r>
      <w:r w:rsidRPr="00F50DFF">
        <w:rPr>
          <w:noProof/>
        </w:rPr>
        <w:tab/>
      </w:r>
      <w:r w:rsidRPr="00F50DFF">
        <w:rPr>
          <w:noProof/>
        </w:rPr>
        <w:fldChar w:fldCharType="begin"/>
      </w:r>
      <w:r w:rsidRPr="00F50DFF">
        <w:rPr>
          <w:noProof/>
        </w:rPr>
        <w:instrText xml:space="preserve"> PAGEREF _Toc331253017 \h </w:instrText>
      </w:r>
      <w:r w:rsidRPr="00F50DFF">
        <w:rPr>
          <w:noProof/>
        </w:rPr>
      </w:r>
      <w:r w:rsidRPr="00F50DFF">
        <w:rPr>
          <w:noProof/>
        </w:rPr>
        <w:fldChar w:fldCharType="separate"/>
      </w:r>
      <w:r w:rsidR="00485E23">
        <w:rPr>
          <w:noProof/>
        </w:rPr>
        <w:t>40</w:t>
      </w:r>
      <w:r w:rsidRPr="00F50DFF">
        <w:rPr>
          <w:noProof/>
        </w:rPr>
        <w:fldChar w:fldCharType="end"/>
      </w:r>
    </w:p>
    <w:p w14:paraId="6E0F96DB" w14:textId="77777777" w:rsidR="00F50DFF" w:rsidRPr="00F50DFF" w:rsidRDefault="00F50DFF" w:rsidP="00F50DFF">
      <w:pPr>
        <w:pStyle w:val="TOC2"/>
        <w:rPr>
          <w:noProof/>
          <w:sz w:val="24"/>
          <w:szCs w:val="24"/>
          <w:lang w:eastAsia="ja-JP"/>
        </w:rPr>
      </w:pPr>
      <w:r w:rsidRPr="00F50DFF">
        <w:rPr>
          <w:rFonts w:ascii="Cambria" w:hAnsi="Cambria"/>
          <w:noProof/>
        </w:rPr>
        <w:t>RESULTS</w:t>
      </w:r>
      <w:r w:rsidRPr="00F50DFF">
        <w:rPr>
          <w:noProof/>
        </w:rPr>
        <w:tab/>
      </w:r>
      <w:r w:rsidRPr="00F50DFF">
        <w:rPr>
          <w:noProof/>
        </w:rPr>
        <w:fldChar w:fldCharType="begin"/>
      </w:r>
      <w:r w:rsidRPr="00F50DFF">
        <w:rPr>
          <w:noProof/>
        </w:rPr>
        <w:instrText xml:space="preserve"> PAGEREF _Toc331253018 \h </w:instrText>
      </w:r>
      <w:r w:rsidRPr="00F50DFF">
        <w:rPr>
          <w:noProof/>
        </w:rPr>
      </w:r>
      <w:r w:rsidRPr="00F50DFF">
        <w:rPr>
          <w:noProof/>
        </w:rPr>
        <w:fldChar w:fldCharType="separate"/>
      </w:r>
      <w:r w:rsidR="00485E23">
        <w:rPr>
          <w:noProof/>
        </w:rPr>
        <w:t>46</w:t>
      </w:r>
      <w:r w:rsidRPr="00F50DFF">
        <w:rPr>
          <w:noProof/>
        </w:rPr>
        <w:fldChar w:fldCharType="end"/>
      </w:r>
    </w:p>
    <w:p w14:paraId="671B4FC2" w14:textId="77777777" w:rsidR="00F50DFF" w:rsidRPr="00F50DFF" w:rsidRDefault="00F50DFF" w:rsidP="00F50DFF">
      <w:pPr>
        <w:pStyle w:val="TOC2"/>
        <w:rPr>
          <w:noProof/>
          <w:sz w:val="24"/>
          <w:szCs w:val="24"/>
          <w:lang w:eastAsia="ja-JP"/>
        </w:rPr>
      </w:pPr>
      <w:r w:rsidRPr="00F50DFF">
        <w:rPr>
          <w:rFonts w:ascii="Cambria" w:hAnsi="Cambria"/>
          <w:noProof/>
        </w:rPr>
        <w:t>DISCUSSION</w:t>
      </w:r>
      <w:r w:rsidRPr="00F50DFF">
        <w:rPr>
          <w:noProof/>
        </w:rPr>
        <w:tab/>
      </w:r>
      <w:r w:rsidRPr="00F50DFF">
        <w:rPr>
          <w:noProof/>
        </w:rPr>
        <w:fldChar w:fldCharType="begin"/>
      </w:r>
      <w:r w:rsidRPr="00F50DFF">
        <w:rPr>
          <w:noProof/>
        </w:rPr>
        <w:instrText xml:space="preserve"> PAGEREF _Toc331253019 \h </w:instrText>
      </w:r>
      <w:r w:rsidRPr="00F50DFF">
        <w:rPr>
          <w:noProof/>
        </w:rPr>
      </w:r>
      <w:r w:rsidRPr="00F50DFF">
        <w:rPr>
          <w:noProof/>
        </w:rPr>
        <w:fldChar w:fldCharType="separate"/>
      </w:r>
      <w:r w:rsidR="00485E23">
        <w:rPr>
          <w:noProof/>
        </w:rPr>
        <w:t>56</w:t>
      </w:r>
      <w:r w:rsidRPr="00F50DFF">
        <w:rPr>
          <w:noProof/>
        </w:rPr>
        <w:fldChar w:fldCharType="end"/>
      </w:r>
    </w:p>
    <w:p w14:paraId="1DCFBD97" w14:textId="77777777" w:rsidR="00F50DFF" w:rsidRPr="00F50DFF" w:rsidRDefault="00F50DFF" w:rsidP="00F50DFF">
      <w:pPr>
        <w:pStyle w:val="TOC1"/>
        <w:rPr>
          <w:rFonts w:asciiTheme="minorHAnsi" w:hAnsiTheme="minorHAnsi"/>
          <w:b w:val="0"/>
          <w:noProof/>
          <w:color w:val="auto"/>
          <w:lang w:eastAsia="ja-JP"/>
        </w:rPr>
      </w:pPr>
      <w:r w:rsidRPr="00F50DFF">
        <w:rPr>
          <w:rFonts w:ascii="Cambria" w:hAnsi="Cambria"/>
          <w:noProof/>
          <w:color w:val="auto"/>
        </w:rPr>
        <w:t>Chapter 4: Carbon source-sink limitations differ between two species with contrasting growth strategies</w:t>
      </w:r>
      <w:r w:rsidRPr="00F50DFF">
        <w:rPr>
          <w:noProof/>
          <w:color w:val="auto"/>
        </w:rPr>
        <w:tab/>
      </w:r>
      <w:r w:rsidRPr="00F50DFF">
        <w:rPr>
          <w:noProof/>
          <w:color w:val="auto"/>
        </w:rPr>
        <w:fldChar w:fldCharType="begin"/>
      </w:r>
      <w:r w:rsidRPr="00F50DFF">
        <w:rPr>
          <w:noProof/>
          <w:color w:val="auto"/>
        </w:rPr>
        <w:instrText xml:space="preserve"> PAGEREF _Toc331253020 \h </w:instrText>
      </w:r>
      <w:r w:rsidRPr="00F50DFF">
        <w:rPr>
          <w:noProof/>
          <w:color w:val="auto"/>
        </w:rPr>
      </w:r>
      <w:r w:rsidRPr="00F50DFF">
        <w:rPr>
          <w:noProof/>
          <w:color w:val="auto"/>
        </w:rPr>
        <w:fldChar w:fldCharType="separate"/>
      </w:r>
      <w:r w:rsidR="00485E23">
        <w:rPr>
          <w:noProof/>
          <w:color w:val="auto"/>
        </w:rPr>
        <w:t>63</w:t>
      </w:r>
      <w:r w:rsidRPr="00F50DFF">
        <w:rPr>
          <w:noProof/>
          <w:color w:val="auto"/>
        </w:rPr>
        <w:fldChar w:fldCharType="end"/>
      </w:r>
    </w:p>
    <w:p w14:paraId="45A903DA" w14:textId="77777777" w:rsidR="00F50DFF" w:rsidRPr="00F50DFF" w:rsidRDefault="00F50DFF" w:rsidP="00F50DFF">
      <w:pPr>
        <w:pStyle w:val="TOC2"/>
        <w:rPr>
          <w:noProof/>
          <w:sz w:val="24"/>
          <w:szCs w:val="24"/>
          <w:lang w:eastAsia="ja-JP"/>
        </w:rPr>
      </w:pPr>
      <w:r w:rsidRPr="00F50DFF">
        <w:rPr>
          <w:rFonts w:ascii="Cambria" w:hAnsi="Cambria"/>
          <w:noProof/>
        </w:rPr>
        <w:t>ABSTRACT</w:t>
      </w:r>
      <w:r w:rsidRPr="00F50DFF">
        <w:rPr>
          <w:noProof/>
        </w:rPr>
        <w:tab/>
      </w:r>
      <w:r w:rsidRPr="00F50DFF">
        <w:rPr>
          <w:noProof/>
        </w:rPr>
        <w:fldChar w:fldCharType="begin"/>
      </w:r>
      <w:r w:rsidRPr="00F50DFF">
        <w:rPr>
          <w:noProof/>
        </w:rPr>
        <w:instrText xml:space="preserve"> PAGEREF _Toc331253021 \h </w:instrText>
      </w:r>
      <w:r w:rsidRPr="00F50DFF">
        <w:rPr>
          <w:noProof/>
        </w:rPr>
      </w:r>
      <w:r w:rsidRPr="00F50DFF">
        <w:rPr>
          <w:noProof/>
        </w:rPr>
        <w:fldChar w:fldCharType="separate"/>
      </w:r>
      <w:r w:rsidR="00485E23">
        <w:rPr>
          <w:noProof/>
        </w:rPr>
        <w:t>63</w:t>
      </w:r>
      <w:r w:rsidRPr="00F50DFF">
        <w:rPr>
          <w:noProof/>
        </w:rPr>
        <w:fldChar w:fldCharType="end"/>
      </w:r>
    </w:p>
    <w:p w14:paraId="00058C4E" w14:textId="77777777" w:rsidR="00F50DFF" w:rsidRPr="00F50DFF" w:rsidRDefault="00F50DFF" w:rsidP="00F50DFF">
      <w:pPr>
        <w:pStyle w:val="TOC2"/>
        <w:rPr>
          <w:noProof/>
          <w:sz w:val="24"/>
          <w:szCs w:val="24"/>
          <w:lang w:eastAsia="ja-JP"/>
        </w:rPr>
      </w:pPr>
      <w:r w:rsidRPr="00F50DFF">
        <w:rPr>
          <w:rFonts w:ascii="Cambria" w:hAnsi="Cambria"/>
          <w:noProof/>
        </w:rPr>
        <w:t>INTRODUCTION</w:t>
      </w:r>
      <w:r w:rsidRPr="00F50DFF">
        <w:rPr>
          <w:noProof/>
        </w:rPr>
        <w:tab/>
      </w:r>
      <w:r w:rsidRPr="00F50DFF">
        <w:rPr>
          <w:noProof/>
        </w:rPr>
        <w:fldChar w:fldCharType="begin"/>
      </w:r>
      <w:r w:rsidRPr="00F50DFF">
        <w:rPr>
          <w:noProof/>
        </w:rPr>
        <w:instrText xml:space="preserve"> PAGEREF _Toc331253022 \h </w:instrText>
      </w:r>
      <w:r w:rsidRPr="00F50DFF">
        <w:rPr>
          <w:noProof/>
        </w:rPr>
      </w:r>
      <w:r w:rsidRPr="00F50DFF">
        <w:rPr>
          <w:noProof/>
        </w:rPr>
        <w:fldChar w:fldCharType="separate"/>
      </w:r>
      <w:r w:rsidR="00485E23">
        <w:rPr>
          <w:noProof/>
        </w:rPr>
        <w:t>64</w:t>
      </w:r>
      <w:r w:rsidRPr="00F50DFF">
        <w:rPr>
          <w:noProof/>
        </w:rPr>
        <w:fldChar w:fldCharType="end"/>
      </w:r>
    </w:p>
    <w:p w14:paraId="6FE43219" w14:textId="77777777" w:rsidR="00F50DFF" w:rsidRPr="00F50DFF" w:rsidRDefault="00F50DFF" w:rsidP="00F50DFF">
      <w:pPr>
        <w:pStyle w:val="TOC2"/>
        <w:rPr>
          <w:noProof/>
          <w:sz w:val="24"/>
          <w:szCs w:val="24"/>
          <w:lang w:eastAsia="ja-JP"/>
        </w:rPr>
      </w:pPr>
      <w:r w:rsidRPr="00F50DFF">
        <w:rPr>
          <w:rFonts w:ascii="Cambria" w:hAnsi="Cambria"/>
          <w:noProof/>
        </w:rPr>
        <w:t>MATERIALS AND METHODS</w:t>
      </w:r>
      <w:r w:rsidRPr="00F50DFF">
        <w:rPr>
          <w:noProof/>
        </w:rPr>
        <w:tab/>
      </w:r>
      <w:r w:rsidRPr="00F50DFF">
        <w:rPr>
          <w:noProof/>
        </w:rPr>
        <w:fldChar w:fldCharType="begin"/>
      </w:r>
      <w:r w:rsidRPr="00F50DFF">
        <w:rPr>
          <w:noProof/>
        </w:rPr>
        <w:instrText xml:space="preserve"> PAGEREF _Toc331253023 \h </w:instrText>
      </w:r>
      <w:r w:rsidRPr="00F50DFF">
        <w:rPr>
          <w:noProof/>
        </w:rPr>
      </w:r>
      <w:r w:rsidRPr="00F50DFF">
        <w:rPr>
          <w:noProof/>
        </w:rPr>
        <w:fldChar w:fldCharType="separate"/>
      </w:r>
      <w:r w:rsidR="00485E23">
        <w:rPr>
          <w:noProof/>
        </w:rPr>
        <w:t>67</w:t>
      </w:r>
      <w:r w:rsidRPr="00F50DFF">
        <w:rPr>
          <w:noProof/>
        </w:rPr>
        <w:fldChar w:fldCharType="end"/>
      </w:r>
    </w:p>
    <w:p w14:paraId="2062D7E8" w14:textId="77777777" w:rsidR="00F50DFF" w:rsidRPr="00F50DFF" w:rsidRDefault="00F50DFF" w:rsidP="00F50DFF">
      <w:pPr>
        <w:pStyle w:val="TOC2"/>
        <w:rPr>
          <w:noProof/>
          <w:sz w:val="24"/>
          <w:szCs w:val="24"/>
          <w:lang w:eastAsia="ja-JP"/>
        </w:rPr>
      </w:pPr>
      <w:r w:rsidRPr="00F50DFF">
        <w:rPr>
          <w:rFonts w:ascii="Cambria" w:hAnsi="Cambria"/>
          <w:noProof/>
        </w:rPr>
        <w:t>RESULTS</w:t>
      </w:r>
      <w:r w:rsidRPr="00F50DFF">
        <w:rPr>
          <w:noProof/>
        </w:rPr>
        <w:tab/>
      </w:r>
      <w:r w:rsidRPr="00F50DFF">
        <w:rPr>
          <w:noProof/>
        </w:rPr>
        <w:fldChar w:fldCharType="begin"/>
      </w:r>
      <w:r w:rsidRPr="00F50DFF">
        <w:rPr>
          <w:noProof/>
        </w:rPr>
        <w:instrText xml:space="preserve"> PAGEREF _Toc331253024 \h </w:instrText>
      </w:r>
      <w:r w:rsidRPr="00F50DFF">
        <w:rPr>
          <w:noProof/>
        </w:rPr>
      </w:r>
      <w:r w:rsidRPr="00F50DFF">
        <w:rPr>
          <w:noProof/>
        </w:rPr>
        <w:fldChar w:fldCharType="separate"/>
      </w:r>
      <w:r w:rsidR="00485E23">
        <w:rPr>
          <w:noProof/>
        </w:rPr>
        <w:t>71</w:t>
      </w:r>
      <w:r w:rsidRPr="00F50DFF">
        <w:rPr>
          <w:noProof/>
        </w:rPr>
        <w:fldChar w:fldCharType="end"/>
      </w:r>
    </w:p>
    <w:p w14:paraId="0B01930F" w14:textId="77777777" w:rsidR="00F50DFF" w:rsidRPr="00F50DFF" w:rsidRDefault="00F50DFF" w:rsidP="00F50DFF">
      <w:pPr>
        <w:pStyle w:val="TOC2"/>
        <w:rPr>
          <w:noProof/>
          <w:sz w:val="24"/>
          <w:szCs w:val="24"/>
          <w:lang w:eastAsia="ja-JP"/>
        </w:rPr>
      </w:pPr>
      <w:r w:rsidRPr="00F50DFF">
        <w:rPr>
          <w:rFonts w:ascii="Cambria" w:hAnsi="Cambria"/>
          <w:noProof/>
        </w:rPr>
        <w:t>DISCUSSION</w:t>
      </w:r>
      <w:r w:rsidRPr="00F50DFF">
        <w:rPr>
          <w:noProof/>
        </w:rPr>
        <w:tab/>
      </w:r>
      <w:r w:rsidRPr="00F50DFF">
        <w:rPr>
          <w:noProof/>
        </w:rPr>
        <w:fldChar w:fldCharType="begin"/>
      </w:r>
      <w:r w:rsidRPr="00F50DFF">
        <w:rPr>
          <w:noProof/>
        </w:rPr>
        <w:instrText xml:space="preserve"> PAGEREF _Toc331253025 \h </w:instrText>
      </w:r>
      <w:r w:rsidRPr="00F50DFF">
        <w:rPr>
          <w:noProof/>
        </w:rPr>
      </w:r>
      <w:r w:rsidRPr="00F50DFF">
        <w:rPr>
          <w:noProof/>
        </w:rPr>
        <w:fldChar w:fldCharType="separate"/>
      </w:r>
      <w:r w:rsidR="00485E23">
        <w:rPr>
          <w:noProof/>
        </w:rPr>
        <w:t>82</w:t>
      </w:r>
      <w:r w:rsidRPr="00F50DFF">
        <w:rPr>
          <w:noProof/>
        </w:rPr>
        <w:fldChar w:fldCharType="end"/>
      </w:r>
    </w:p>
    <w:p w14:paraId="56736DA1" w14:textId="77777777" w:rsidR="00F50DFF" w:rsidRDefault="00F50DFF" w:rsidP="00F50DFF">
      <w:pPr>
        <w:pStyle w:val="TOC2"/>
        <w:rPr>
          <w:noProof/>
        </w:rPr>
      </w:pPr>
      <w:r w:rsidRPr="00F50DFF">
        <w:rPr>
          <w:rFonts w:ascii="Cambria" w:hAnsi="Cambria"/>
          <w:noProof/>
        </w:rPr>
        <w:t>SUPPLEMENTARY MATERIAL</w:t>
      </w:r>
      <w:r w:rsidRPr="00F50DFF">
        <w:rPr>
          <w:noProof/>
        </w:rPr>
        <w:tab/>
      </w:r>
      <w:r w:rsidRPr="00F50DFF">
        <w:rPr>
          <w:noProof/>
        </w:rPr>
        <w:fldChar w:fldCharType="begin"/>
      </w:r>
      <w:r w:rsidRPr="00F50DFF">
        <w:rPr>
          <w:noProof/>
        </w:rPr>
        <w:instrText xml:space="preserve"> PAGEREF _Toc331253026 \h </w:instrText>
      </w:r>
      <w:r w:rsidRPr="00F50DFF">
        <w:rPr>
          <w:noProof/>
        </w:rPr>
      </w:r>
      <w:r w:rsidRPr="00F50DFF">
        <w:rPr>
          <w:noProof/>
        </w:rPr>
        <w:fldChar w:fldCharType="separate"/>
      </w:r>
      <w:r w:rsidR="00485E23">
        <w:rPr>
          <w:noProof/>
        </w:rPr>
        <w:t>91</w:t>
      </w:r>
      <w:r w:rsidRPr="00F50DFF">
        <w:rPr>
          <w:noProof/>
        </w:rPr>
        <w:fldChar w:fldCharType="end"/>
      </w:r>
    </w:p>
    <w:p w14:paraId="3E6D2B4D" w14:textId="77777777" w:rsidR="00F50DFF" w:rsidRPr="00F50DFF" w:rsidRDefault="00F50DFF" w:rsidP="00F50DFF"/>
    <w:p w14:paraId="2541A8C2" w14:textId="77777777" w:rsidR="00F50DFF" w:rsidRPr="00F50DFF" w:rsidRDefault="00F50DFF" w:rsidP="00F50DFF">
      <w:pPr>
        <w:pStyle w:val="TOC1"/>
        <w:rPr>
          <w:rFonts w:asciiTheme="minorHAnsi" w:hAnsiTheme="minorHAnsi"/>
          <w:b w:val="0"/>
          <w:noProof/>
          <w:color w:val="auto"/>
          <w:lang w:eastAsia="ja-JP"/>
        </w:rPr>
      </w:pPr>
      <w:r w:rsidRPr="00F50DFF">
        <w:rPr>
          <w:rFonts w:ascii="Cambria" w:hAnsi="Cambria"/>
          <w:noProof/>
          <w:color w:val="auto"/>
        </w:rPr>
        <w:t>Chapter 5: Nitrogen sink limitation of growth differs between two species with contrasting growth strategies</w:t>
      </w:r>
      <w:r w:rsidRPr="00F50DFF">
        <w:rPr>
          <w:noProof/>
          <w:color w:val="auto"/>
        </w:rPr>
        <w:tab/>
      </w:r>
      <w:r w:rsidRPr="00F50DFF">
        <w:rPr>
          <w:noProof/>
          <w:color w:val="auto"/>
        </w:rPr>
        <w:fldChar w:fldCharType="begin"/>
      </w:r>
      <w:r w:rsidRPr="00F50DFF">
        <w:rPr>
          <w:noProof/>
          <w:color w:val="auto"/>
        </w:rPr>
        <w:instrText xml:space="preserve"> PAGEREF _Toc331253027 \h </w:instrText>
      </w:r>
      <w:r w:rsidRPr="00F50DFF">
        <w:rPr>
          <w:noProof/>
          <w:color w:val="auto"/>
        </w:rPr>
      </w:r>
      <w:r w:rsidRPr="00F50DFF">
        <w:rPr>
          <w:noProof/>
          <w:color w:val="auto"/>
        </w:rPr>
        <w:fldChar w:fldCharType="separate"/>
      </w:r>
      <w:r w:rsidR="00485E23">
        <w:rPr>
          <w:noProof/>
          <w:color w:val="auto"/>
        </w:rPr>
        <w:t>107</w:t>
      </w:r>
      <w:r w:rsidRPr="00F50DFF">
        <w:rPr>
          <w:noProof/>
          <w:color w:val="auto"/>
        </w:rPr>
        <w:fldChar w:fldCharType="end"/>
      </w:r>
    </w:p>
    <w:p w14:paraId="62F3EA33" w14:textId="77777777" w:rsidR="00F50DFF" w:rsidRPr="00F50DFF" w:rsidRDefault="00F50DFF" w:rsidP="00F50DFF">
      <w:pPr>
        <w:pStyle w:val="TOC2"/>
        <w:rPr>
          <w:noProof/>
          <w:sz w:val="24"/>
          <w:szCs w:val="24"/>
          <w:lang w:eastAsia="ja-JP"/>
        </w:rPr>
      </w:pPr>
      <w:r w:rsidRPr="00F50DFF">
        <w:rPr>
          <w:rFonts w:ascii="Cambria" w:hAnsi="Cambria"/>
          <w:noProof/>
        </w:rPr>
        <w:t>ABSTRACT</w:t>
      </w:r>
      <w:r w:rsidRPr="00F50DFF">
        <w:rPr>
          <w:noProof/>
        </w:rPr>
        <w:tab/>
      </w:r>
      <w:r w:rsidRPr="00F50DFF">
        <w:rPr>
          <w:noProof/>
        </w:rPr>
        <w:fldChar w:fldCharType="begin"/>
      </w:r>
      <w:r w:rsidRPr="00F50DFF">
        <w:rPr>
          <w:noProof/>
        </w:rPr>
        <w:instrText xml:space="preserve"> PAGEREF _Toc331253028 \h </w:instrText>
      </w:r>
      <w:r w:rsidRPr="00F50DFF">
        <w:rPr>
          <w:noProof/>
        </w:rPr>
      </w:r>
      <w:r w:rsidRPr="00F50DFF">
        <w:rPr>
          <w:noProof/>
        </w:rPr>
        <w:fldChar w:fldCharType="separate"/>
      </w:r>
      <w:r w:rsidR="00485E23">
        <w:rPr>
          <w:noProof/>
        </w:rPr>
        <w:t>107</w:t>
      </w:r>
      <w:r w:rsidRPr="00F50DFF">
        <w:rPr>
          <w:noProof/>
        </w:rPr>
        <w:fldChar w:fldCharType="end"/>
      </w:r>
    </w:p>
    <w:p w14:paraId="426C8A8F" w14:textId="77777777" w:rsidR="00F50DFF" w:rsidRPr="00F50DFF" w:rsidRDefault="00F50DFF" w:rsidP="00F50DFF">
      <w:pPr>
        <w:pStyle w:val="TOC2"/>
        <w:rPr>
          <w:noProof/>
          <w:sz w:val="24"/>
          <w:szCs w:val="24"/>
          <w:lang w:eastAsia="ja-JP"/>
        </w:rPr>
      </w:pPr>
      <w:r w:rsidRPr="00F50DFF">
        <w:rPr>
          <w:rFonts w:ascii="Cambria" w:hAnsi="Cambria"/>
          <w:noProof/>
        </w:rPr>
        <w:t>INTRODUCTION</w:t>
      </w:r>
      <w:r w:rsidRPr="00F50DFF">
        <w:rPr>
          <w:noProof/>
        </w:rPr>
        <w:tab/>
      </w:r>
      <w:r w:rsidRPr="00F50DFF">
        <w:rPr>
          <w:noProof/>
        </w:rPr>
        <w:fldChar w:fldCharType="begin"/>
      </w:r>
      <w:r w:rsidRPr="00F50DFF">
        <w:rPr>
          <w:noProof/>
        </w:rPr>
        <w:instrText xml:space="preserve"> PAGEREF _Toc331253029 \h </w:instrText>
      </w:r>
      <w:r w:rsidRPr="00F50DFF">
        <w:rPr>
          <w:noProof/>
        </w:rPr>
      </w:r>
      <w:r w:rsidRPr="00F50DFF">
        <w:rPr>
          <w:noProof/>
        </w:rPr>
        <w:fldChar w:fldCharType="separate"/>
      </w:r>
      <w:r w:rsidR="00485E23">
        <w:rPr>
          <w:noProof/>
        </w:rPr>
        <w:t>108</w:t>
      </w:r>
      <w:r w:rsidRPr="00F50DFF">
        <w:rPr>
          <w:noProof/>
        </w:rPr>
        <w:fldChar w:fldCharType="end"/>
      </w:r>
    </w:p>
    <w:p w14:paraId="590C563B" w14:textId="77777777" w:rsidR="00F50DFF" w:rsidRPr="00F50DFF" w:rsidRDefault="00F50DFF" w:rsidP="00F50DFF">
      <w:pPr>
        <w:pStyle w:val="TOC2"/>
        <w:rPr>
          <w:noProof/>
          <w:sz w:val="24"/>
          <w:szCs w:val="24"/>
          <w:lang w:eastAsia="ja-JP"/>
        </w:rPr>
      </w:pPr>
      <w:r w:rsidRPr="00F50DFF">
        <w:rPr>
          <w:rFonts w:ascii="Cambria" w:hAnsi="Cambria"/>
          <w:noProof/>
        </w:rPr>
        <w:t>MATERIALS AND METHODS</w:t>
      </w:r>
      <w:r w:rsidRPr="00F50DFF">
        <w:rPr>
          <w:noProof/>
        </w:rPr>
        <w:tab/>
      </w:r>
      <w:r w:rsidRPr="00F50DFF">
        <w:rPr>
          <w:noProof/>
        </w:rPr>
        <w:fldChar w:fldCharType="begin"/>
      </w:r>
      <w:r w:rsidRPr="00F50DFF">
        <w:rPr>
          <w:noProof/>
        </w:rPr>
        <w:instrText xml:space="preserve"> PAGEREF _Toc331253030 \h </w:instrText>
      </w:r>
      <w:r w:rsidRPr="00F50DFF">
        <w:rPr>
          <w:noProof/>
        </w:rPr>
      </w:r>
      <w:r w:rsidRPr="00F50DFF">
        <w:rPr>
          <w:noProof/>
        </w:rPr>
        <w:fldChar w:fldCharType="separate"/>
      </w:r>
      <w:r w:rsidR="00485E23">
        <w:rPr>
          <w:noProof/>
        </w:rPr>
        <w:t>112</w:t>
      </w:r>
      <w:r w:rsidRPr="00F50DFF">
        <w:rPr>
          <w:noProof/>
        </w:rPr>
        <w:fldChar w:fldCharType="end"/>
      </w:r>
    </w:p>
    <w:p w14:paraId="4954FDCF" w14:textId="77777777" w:rsidR="00F50DFF" w:rsidRPr="00F50DFF" w:rsidRDefault="00F50DFF" w:rsidP="00F50DFF">
      <w:pPr>
        <w:pStyle w:val="TOC2"/>
        <w:rPr>
          <w:noProof/>
          <w:sz w:val="24"/>
          <w:szCs w:val="24"/>
          <w:lang w:eastAsia="ja-JP"/>
        </w:rPr>
      </w:pPr>
      <w:r w:rsidRPr="00F50DFF">
        <w:rPr>
          <w:rFonts w:ascii="Cambria" w:hAnsi="Cambria"/>
          <w:noProof/>
        </w:rPr>
        <w:t>RESULTS</w:t>
      </w:r>
      <w:r w:rsidRPr="00F50DFF">
        <w:rPr>
          <w:noProof/>
        </w:rPr>
        <w:tab/>
      </w:r>
      <w:r w:rsidRPr="00F50DFF">
        <w:rPr>
          <w:noProof/>
        </w:rPr>
        <w:fldChar w:fldCharType="begin"/>
      </w:r>
      <w:r w:rsidRPr="00F50DFF">
        <w:rPr>
          <w:noProof/>
        </w:rPr>
        <w:instrText xml:space="preserve"> PAGEREF _Toc331253031 \h </w:instrText>
      </w:r>
      <w:r w:rsidRPr="00F50DFF">
        <w:rPr>
          <w:noProof/>
        </w:rPr>
      </w:r>
      <w:r w:rsidRPr="00F50DFF">
        <w:rPr>
          <w:noProof/>
        </w:rPr>
        <w:fldChar w:fldCharType="separate"/>
      </w:r>
      <w:r w:rsidR="00485E23">
        <w:rPr>
          <w:noProof/>
        </w:rPr>
        <w:t>115</w:t>
      </w:r>
      <w:r w:rsidRPr="00F50DFF">
        <w:rPr>
          <w:noProof/>
        </w:rPr>
        <w:fldChar w:fldCharType="end"/>
      </w:r>
    </w:p>
    <w:p w14:paraId="5C99C903" w14:textId="77777777" w:rsidR="00F50DFF" w:rsidRDefault="00F50DFF" w:rsidP="00F50DFF">
      <w:pPr>
        <w:pStyle w:val="TOC2"/>
        <w:rPr>
          <w:noProof/>
        </w:rPr>
      </w:pPr>
      <w:r w:rsidRPr="00F50DFF">
        <w:rPr>
          <w:rFonts w:ascii="Cambria" w:hAnsi="Cambria"/>
          <w:noProof/>
        </w:rPr>
        <w:t>DISCUSSION</w:t>
      </w:r>
      <w:r w:rsidRPr="00F50DFF">
        <w:rPr>
          <w:noProof/>
        </w:rPr>
        <w:tab/>
      </w:r>
      <w:r w:rsidRPr="00F50DFF">
        <w:rPr>
          <w:noProof/>
        </w:rPr>
        <w:fldChar w:fldCharType="begin"/>
      </w:r>
      <w:r w:rsidRPr="00F50DFF">
        <w:rPr>
          <w:noProof/>
        </w:rPr>
        <w:instrText xml:space="preserve"> PAGEREF _Toc331253032 \h </w:instrText>
      </w:r>
      <w:r w:rsidRPr="00F50DFF">
        <w:rPr>
          <w:noProof/>
        </w:rPr>
      </w:r>
      <w:r w:rsidRPr="00F50DFF">
        <w:rPr>
          <w:noProof/>
        </w:rPr>
        <w:fldChar w:fldCharType="separate"/>
      </w:r>
      <w:r w:rsidR="00485E23">
        <w:rPr>
          <w:noProof/>
        </w:rPr>
        <w:t>124</w:t>
      </w:r>
      <w:r w:rsidRPr="00F50DFF">
        <w:rPr>
          <w:noProof/>
        </w:rPr>
        <w:fldChar w:fldCharType="end"/>
      </w:r>
    </w:p>
    <w:p w14:paraId="42AB7D2F" w14:textId="77777777" w:rsidR="00F50DFF" w:rsidRPr="00F50DFF" w:rsidRDefault="00F50DFF" w:rsidP="00F50DFF"/>
    <w:p w14:paraId="12C157A0" w14:textId="77777777" w:rsidR="00F50DFF" w:rsidRDefault="00F50DFF" w:rsidP="00F50DFF">
      <w:pPr>
        <w:pStyle w:val="TOC1"/>
        <w:rPr>
          <w:noProof/>
          <w:color w:val="auto"/>
        </w:rPr>
      </w:pPr>
      <w:r w:rsidRPr="00F50DFF">
        <w:rPr>
          <w:rFonts w:ascii="Cambria" w:hAnsi="Cambria"/>
          <w:noProof/>
          <w:color w:val="auto"/>
        </w:rPr>
        <w:t>Chapter 6: General discussion</w:t>
      </w:r>
      <w:r w:rsidRPr="00F50DFF">
        <w:rPr>
          <w:noProof/>
          <w:color w:val="auto"/>
        </w:rPr>
        <w:tab/>
      </w:r>
      <w:r w:rsidRPr="00F50DFF">
        <w:rPr>
          <w:noProof/>
          <w:color w:val="auto"/>
        </w:rPr>
        <w:fldChar w:fldCharType="begin"/>
      </w:r>
      <w:r w:rsidRPr="00F50DFF">
        <w:rPr>
          <w:noProof/>
          <w:color w:val="auto"/>
        </w:rPr>
        <w:instrText xml:space="preserve"> PAGEREF _Toc331253033 \h </w:instrText>
      </w:r>
      <w:r w:rsidRPr="00F50DFF">
        <w:rPr>
          <w:noProof/>
          <w:color w:val="auto"/>
        </w:rPr>
      </w:r>
      <w:r w:rsidRPr="00F50DFF">
        <w:rPr>
          <w:noProof/>
          <w:color w:val="auto"/>
        </w:rPr>
        <w:fldChar w:fldCharType="separate"/>
      </w:r>
      <w:r w:rsidR="00485E23">
        <w:rPr>
          <w:noProof/>
          <w:color w:val="auto"/>
        </w:rPr>
        <w:t>133</w:t>
      </w:r>
      <w:r w:rsidRPr="00F50DFF">
        <w:rPr>
          <w:noProof/>
          <w:color w:val="auto"/>
        </w:rPr>
        <w:fldChar w:fldCharType="end"/>
      </w:r>
    </w:p>
    <w:p w14:paraId="7D22FF5D" w14:textId="77777777" w:rsidR="00F50DFF" w:rsidRPr="00F50DFF" w:rsidRDefault="00F50DFF" w:rsidP="00F50DFF"/>
    <w:p w14:paraId="1E4B5F4E" w14:textId="77777777" w:rsidR="00F50DFF" w:rsidRDefault="00F50DFF" w:rsidP="00F50DFF">
      <w:pPr>
        <w:pStyle w:val="TOC1"/>
        <w:rPr>
          <w:noProof/>
          <w:color w:val="auto"/>
        </w:rPr>
      </w:pPr>
      <w:r w:rsidRPr="00F50DFF">
        <w:rPr>
          <w:rFonts w:ascii="Cambria" w:hAnsi="Cambria"/>
          <w:noProof/>
          <w:color w:val="auto"/>
        </w:rPr>
        <w:t>References</w:t>
      </w:r>
      <w:r w:rsidRPr="00F50DFF">
        <w:rPr>
          <w:noProof/>
          <w:color w:val="auto"/>
        </w:rPr>
        <w:tab/>
      </w:r>
      <w:r w:rsidRPr="00F50DFF">
        <w:rPr>
          <w:noProof/>
          <w:color w:val="auto"/>
        </w:rPr>
        <w:fldChar w:fldCharType="begin"/>
      </w:r>
      <w:r w:rsidRPr="00F50DFF">
        <w:rPr>
          <w:noProof/>
          <w:color w:val="auto"/>
        </w:rPr>
        <w:instrText xml:space="preserve"> PAGEREF _Toc331253034 \h </w:instrText>
      </w:r>
      <w:r w:rsidRPr="00F50DFF">
        <w:rPr>
          <w:noProof/>
          <w:color w:val="auto"/>
        </w:rPr>
      </w:r>
      <w:r w:rsidRPr="00F50DFF">
        <w:rPr>
          <w:noProof/>
          <w:color w:val="auto"/>
        </w:rPr>
        <w:fldChar w:fldCharType="separate"/>
      </w:r>
      <w:r w:rsidR="00485E23">
        <w:rPr>
          <w:noProof/>
          <w:color w:val="auto"/>
        </w:rPr>
        <w:t>149</w:t>
      </w:r>
      <w:r w:rsidRPr="00F50DFF">
        <w:rPr>
          <w:noProof/>
          <w:color w:val="auto"/>
        </w:rPr>
        <w:fldChar w:fldCharType="end"/>
      </w:r>
    </w:p>
    <w:p w14:paraId="47EE4B37" w14:textId="77777777" w:rsidR="00F50DFF" w:rsidRPr="00F50DFF" w:rsidRDefault="00F50DFF" w:rsidP="00F50DFF"/>
    <w:p w14:paraId="4C94066E" w14:textId="77777777" w:rsidR="00F50DFF" w:rsidRDefault="00F50DFF" w:rsidP="00F50DFF">
      <w:pPr>
        <w:pStyle w:val="TOC1"/>
        <w:rPr>
          <w:noProof/>
          <w:color w:val="auto"/>
        </w:rPr>
      </w:pPr>
      <w:r w:rsidRPr="00F50DFF">
        <w:rPr>
          <w:rFonts w:ascii="Cambria" w:hAnsi="Cambria"/>
          <w:noProof/>
          <w:color w:val="auto"/>
        </w:rPr>
        <w:t>Appendix I: Relative Growth Rate</w:t>
      </w:r>
      <w:r w:rsidRPr="00F50DFF">
        <w:rPr>
          <w:noProof/>
          <w:color w:val="auto"/>
        </w:rPr>
        <w:tab/>
      </w:r>
      <w:r w:rsidRPr="00F50DFF">
        <w:rPr>
          <w:noProof/>
          <w:color w:val="auto"/>
        </w:rPr>
        <w:fldChar w:fldCharType="begin"/>
      </w:r>
      <w:r w:rsidRPr="00F50DFF">
        <w:rPr>
          <w:noProof/>
          <w:color w:val="auto"/>
        </w:rPr>
        <w:instrText xml:space="preserve"> PAGEREF _Toc331253035 \h </w:instrText>
      </w:r>
      <w:r w:rsidRPr="00F50DFF">
        <w:rPr>
          <w:noProof/>
          <w:color w:val="auto"/>
        </w:rPr>
      </w:r>
      <w:r w:rsidRPr="00F50DFF">
        <w:rPr>
          <w:noProof/>
          <w:color w:val="auto"/>
        </w:rPr>
        <w:fldChar w:fldCharType="separate"/>
      </w:r>
      <w:r w:rsidR="00485E23">
        <w:rPr>
          <w:noProof/>
          <w:color w:val="auto"/>
        </w:rPr>
        <w:t>167</w:t>
      </w:r>
      <w:r w:rsidRPr="00F50DFF">
        <w:rPr>
          <w:noProof/>
          <w:color w:val="auto"/>
        </w:rPr>
        <w:fldChar w:fldCharType="end"/>
      </w:r>
    </w:p>
    <w:p w14:paraId="1BC86057" w14:textId="77777777" w:rsidR="00F50DFF" w:rsidRPr="00F50DFF" w:rsidRDefault="00F50DFF" w:rsidP="00F50DFF"/>
    <w:p w14:paraId="65C794A8" w14:textId="77777777" w:rsidR="00F50DFF" w:rsidRDefault="00F50DFF" w:rsidP="00F50DFF">
      <w:pPr>
        <w:pStyle w:val="TOC1"/>
        <w:rPr>
          <w:noProof/>
          <w:color w:val="auto"/>
        </w:rPr>
      </w:pPr>
      <w:r w:rsidRPr="00F50DFF">
        <w:rPr>
          <w:rFonts w:ascii="Cambria" w:hAnsi="Cambria"/>
          <w:noProof/>
          <w:color w:val="auto"/>
        </w:rPr>
        <w:t>Appendix II: Papers published and arising</w:t>
      </w:r>
      <w:r w:rsidRPr="00F50DFF">
        <w:rPr>
          <w:noProof/>
          <w:color w:val="auto"/>
        </w:rPr>
        <w:tab/>
      </w:r>
      <w:r w:rsidRPr="00F50DFF">
        <w:rPr>
          <w:noProof/>
          <w:color w:val="auto"/>
        </w:rPr>
        <w:fldChar w:fldCharType="begin"/>
      </w:r>
      <w:r w:rsidRPr="00F50DFF">
        <w:rPr>
          <w:noProof/>
          <w:color w:val="auto"/>
        </w:rPr>
        <w:instrText xml:space="preserve"> PAGEREF _Toc331253036 \h </w:instrText>
      </w:r>
      <w:r w:rsidRPr="00F50DFF">
        <w:rPr>
          <w:noProof/>
          <w:color w:val="auto"/>
        </w:rPr>
      </w:r>
      <w:r w:rsidRPr="00F50DFF">
        <w:rPr>
          <w:noProof/>
          <w:color w:val="auto"/>
        </w:rPr>
        <w:fldChar w:fldCharType="separate"/>
      </w:r>
      <w:r w:rsidR="00485E23">
        <w:rPr>
          <w:noProof/>
          <w:color w:val="auto"/>
        </w:rPr>
        <w:t>173</w:t>
      </w:r>
      <w:r w:rsidRPr="00F50DFF">
        <w:rPr>
          <w:noProof/>
          <w:color w:val="auto"/>
        </w:rPr>
        <w:fldChar w:fldCharType="end"/>
      </w:r>
    </w:p>
    <w:p w14:paraId="71249789" w14:textId="77777777" w:rsidR="00F50DFF" w:rsidRPr="00F50DFF" w:rsidRDefault="00F50DFF" w:rsidP="00F50DFF"/>
    <w:p w14:paraId="349EE40C" w14:textId="77777777" w:rsidR="00F50DFF" w:rsidRPr="00F50DFF" w:rsidRDefault="00F50DFF" w:rsidP="00F50DFF">
      <w:pPr>
        <w:pStyle w:val="TOC1"/>
        <w:rPr>
          <w:rFonts w:asciiTheme="minorHAnsi" w:hAnsiTheme="minorHAnsi"/>
          <w:b w:val="0"/>
          <w:noProof/>
          <w:color w:val="auto"/>
          <w:lang w:eastAsia="ja-JP"/>
        </w:rPr>
      </w:pPr>
      <w:r w:rsidRPr="00F50DFF">
        <w:rPr>
          <w:rFonts w:ascii="Cambria" w:hAnsi="Cambria"/>
          <w:noProof/>
          <w:color w:val="auto"/>
        </w:rPr>
        <w:t>Appendix III: “How can we make plants grow faster?  A source-sink perspective on growth rate” in published format</w:t>
      </w:r>
      <w:r w:rsidRPr="00F50DFF">
        <w:rPr>
          <w:noProof/>
          <w:color w:val="auto"/>
        </w:rPr>
        <w:tab/>
      </w:r>
      <w:r w:rsidRPr="00F50DFF">
        <w:rPr>
          <w:noProof/>
          <w:color w:val="auto"/>
        </w:rPr>
        <w:fldChar w:fldCharType="begin"/>
      </w:r>
      <w:r w:rsidRPr="00F50DFF">
        <w:rPr>
          <w:noProof/>
          <w:color w:val="auto"/>
        </w:rPr>
        <w:instrText xml:space="preserve"> PAGEREF _Toc331253037 \h </w:instrText>
      </w:r>
      <w:r w:rsidRPr="00F50DFF">
        <w:rPr>
          <w:noProof/>
          <w:color w:val="auto"/>
        </w:rPr>
      </w:r>
      <w:r w:rsidRPr="00F50DFF">
        <w:rPr>
          <w:noProof/>
          <w:color w:val="auto"/>
        </w:rPr>
        <w:fldChar w:fldCharType="separate"/>
      </w:r>
      <w:r w:rsidR="00485E23">
        <w:rPr>
          <w:noProof/>
          <w:color w:val="auto"/>
        </w:rPr>
        <w:t>175</w:t>
      </w:r>
      <w:r w:rsidRPr="00F50DFF">
        <w:rPr>
          <w:noProof/>
          <w:color w:val="auto"/>
        </w:rPr>
        <w:fldChar w:fldCharType="end"/>
      </w:r>
    </w:p>
    <w:p w14:paraId="0A865C4B" w14:textId="77777777" w:rsidR="00DF4522" w:rsidRPr="00F50DFF" w:rsidRDefault="00DF4522" w:rsidP="00F50DFF">
      <w:pPr>
        <w:spacing w:line="360" w:lineRule="auto"/>
        <w:jc w:val="both"/>
        <w:rPr>
          <w:rFonts w:ascii="Cambria" w:hAnsi="Cambria"/>
        </w:rPr>
      </w:pPr>
      <w:r w:rsidRPr="00F50DFF">
        <w:rPr>
          <w:rFonts w:ascii="Cambria" w:eastAsiaTheme="majorEastAsia" w:hAnsi="Cambria" w:cstheme="majorBidi"/>
          <w:bCs/>
          <w:lang w:eastAsia="en-GB"/>
        </w:rPr>
        <w:fldChar w:fldCharType="end"/>
      </w:r>
    </w:p>
    <w:p w14:paraId="5F8F7034" w14:textId="77777777" w:rsidR="00DF4522" w:rsidRPr="00F50DFF" w:rsidRDefault="00DF4522" w:rsidP="00F50DFF">
      <w:pPr>
        <w:spacing w:line="360" w:lineRule="auto"/>
        <w:jc w:val="both"/>
        <w:rPr>
          <w:rFonts w:ascii="Cambria" w:hAnsi="Cambria"/>
          <w:b/>
        </w:rPr>
      </w:pPr>
      <w:r w:rsidRPr="00F50DFF">
        <w:rPr>
          <w:rFonts w:ascii="Cambria" w:hAnsi="Cambria"/>
          <w:b/>
        </w:rPr>
        <w:br w:type="page"/>
      </w:r>
      <w:bookmarkStart w:id="3" w:name="_Toc322267571"/>
      <w:bookmarkStart w:id="4" w:name="_Toc322267693"/>
      <w:bookmarkStart w:id="5" w:name="_Toc322267857"/>
    </w:p>
    <w:p w14:paraId="1CD05542" w14:textId="77777777" w:rsidR="00DF4522" w:rsidRDefault="00DF4522" w:rsidP="00DF4522">
      <w:pPr>
        <w:pStyle w:val="Heading1"/>
        <w:jc w:val="center"/>
        <w:rPr>
          <w:rFonts w:ascii="Cambria" w:hAnsi="Cambria"/>
          <w:color w:val="auto"/>
        </w:rPr>
      </w:pPr>
    </w:p>
    <w:p w14:paraId="7F637AB2" w14:textId="77777777" w:rsidR="00DF4522" w:rsidRPr="00531789" w:rsidRDefault="00DF4522" w:rsidP="00DF4522">
      <w:pPr>
        <w:pStyle w:val="Heading1"/>
        <w:jc w:val="center"/>
        <w:rPr>
          <w:rFonts w:ascii="Cambria" w:hAnsi="Cambria"/>
          <w:color w:val="auto"/>
        </w:rPr>
      </w:pPr>
      <w:bookmarkStart w:id="6" w:name="_Toc331253000"/>
      <w:r w:rsidRPr="00531789">
        <w:rPr>
          <w:rFonts w:ascii="Cambria" w:hAnsi="Cambria"/>
          <w:color w:val="auto"/>
        </w:rPr>
        <w:t>Acknowledgements</w:t>
      </w:r>
      <w:bookmarkEnd w:id="3"/>
      <w:bookmarkEnd w:id="4"/>
      <w:bookmarkEnd w:id="5"/>
      <w:bookmarkEnd w:id="6"/>
    </w:p>
    <w:p w14:paraId="266707EF" w14:textId="77777777" w:rsidR="00DF4522" w:rsidRDefault="00DF4522" w:rsidP="00DF4522">
      <w:pPr>
        <w:spacing w:line="360" w:lineRule="auto"/>
        <w:jc w:val="both"/>
        <w:rPr>
          <w:rFonts w:ascii="Cambria" w:hAnsi="Cambria"/>
          <w:b/>
        </w:rPr>
      </w:pPr>
    </w:p>
    <w:p w14:paraId="59A82CAC" w14:textId="77777777" w:rsidR="00DF4522" w:rsidRDefault="00DF4522" w:rsidP="00DF4522">
      <w:pPr>
        <w:spacing w:line="360" w:lineRule="auto"/>
        <w:jc w:val="both"/>
        <w:rPr>
          <w:rFonts w:ascii="Cambria" w:hAnsi="Cambria"/>
          <w:b/>
        </w:rPr>
      </w:pPr>
    </w:p>
    <w:p w14:paraId="23C69BF3" w14:textId="77777777" w:rsidR="00DF4522" w:rsidRDefault="00DF4522" w:rsidP="00DF4522">
      <w:pPr>
        <w:spacing w:line="360" w:lineRule="auto"/>
        <w:jc w:val="both"/>
        <w:rPr>
          <w:rFonts w:ascii="Cambria" w:hAnsi="Cambria"/>
          <w:b/>
        </w:rPr>
      </w:pPr>
    </w:p>
    <w:p w14:paraId="15598E79" w14:textId="77777777" w:rsidR="00DF4522" w:rsidRDefault="00DF4522" w:rsidP="00DF4522">
      <w:pPr>
        <w:spacing w:line="360" w:lineRule="auto"/>
        <w:jc w:val="both"/>
        <w:rPr>
          <w:rFonts w:ascii="Cambria" w:hAnsi="Cambria"/>
        </w:rPr>
      </w:pPr>
      <w:r>
        <w:rPr>
          <w:rFonts w:ascii="Cambria" w:hAnsi="Cambria"/>
        </w:rPr>
        <w:t>I am deeply indebted to many people for the help, support and guidance that have contributed greatly to the completion of this PhD thesis.</w:t>
      </w:r>
    </w:p>
    <w:p w14:paraId="27BB7F97" w14:textId="77777777" w:rsidR="00DF4522" w:rsidRDefault="00DF4522" w:rsidP="00DF4522">
      <w:pPr>
        <w:spacing w:line="360" w:lineRule="auto"/>
        <w:jc w:val="both"/>
        <w:rPr>
          <w:rFonts w:ascii="Cambria" w:hAnsi="Cambria"/>
        </w:rPr>
      </w:pPr>
    </w:p>
    <w:p w14:paraId="5F1A9035" w14:textId="77777777" w:rsidR="00DF4522" w:rsidRDefault="00DF4522" w:rsidP="00DF4522">
      <w:pPr>
        <w:spacing w:line="360" w:lineRule="auto"/>
        <w:jc w:val="both"/>
        <w:rPr>
          <w:rFonts w:ascii="Cambria" w:hAnsi="Cambria"/>
        </w:rPr>
      </w:pPr>
      <w:r>
        <w:rPr>
          <w:rFonts w:ascii="Cambria" w:hAnsi="Cambria"/>
        </w:rPr>
        <w:t xml:space="preserve">First and foremost, I give my heartfelt thanks to my supervisors Colin Osborne, Mark Rees and Alistair Rogers, whose complementary skills and supervisory styles have brought a tremendous depth and breadth of expertise to my academic journey and whose advice has been instrumental at every stage of my PhD studies.  My thanks are also due to their lab groups – at the University of Sheffield and at Brookhaven National Laboratory – who have supported me both scientifically and socially, and have made my research in the UK and the USA so enjoyable.  Especial thanks are due to Catherine </w:t>
      </w:r>
      <w:proofErr w:type="spellStart"/>
      <w:r>
        <w:rPr>
          <w:rFonts w:ascii="Cambria" w:hAnsi="Cambria"/>
        </w:rPr>
        <w:t>Preece</w:t>
      </w:r>
      <w:proofErr w:type="spellEnd"/>
      <w:r>
        <w:rPr>
          <w:rFonts w:ascii="Cambria" w:hAnsi="Cambria"/>
        </w:rPr>
        <w:t xml:space="preserve">, Millie </w:t>
      </w:r>
      <w:proofErr w:type="spellStart"/>
      <w:r>
        <w:rPr>
          <w:rFonts w:ascii="Cambria" w:hAnsi="Cambria"/>
        </w:rPr>
        <w:t>Mockford</w:t>
      </w:r>
      <w:proofErr w:type="spellEnd"/>
      <w:r>
        <w:rPr>
          <w:rFonts w:ascii="Cambria" w:hAnsi="Cambria"/>
        </w:rPr>
        <w:t xml:space="preserve">, Georg </w:t>
      </w:r>
      <w:proofErr w:type="spellStart"/>
      <w:r>
        <w:rPr>
          <w:rFonts w:ascii="Cambria" w:hAnsi="Cambria"/>
        </w:rPr>
        <w:t>Frenck</w:t>
      </w:r>
      <w:proofErr w:type="spellEnd"/>
      <w:r>
        <w:rPr>
          <w:rFonts w:ascii="Cambria" w:hAnsi="Cambria"/>
        </w:rPr>
        <w:t xml:space="preserve">, Stefanie </w:t>
      </w:r>
      <w:proofErr w:type="spellStart"/>
      <w:r>
        <w:rPr>
          <w:rFonts w:ascii="Cambria" w:hAnsi="Cambria"/>
        </w:rPr>
        <w:t>Lasota</w:t>
      </w:r>
      <w:proofErr w:type="spellEnd"/>
      <w:r>
        <w:rPr>
          <w:rFonts w:ascii="Cambria" w:hAnsi="Cambria"/>
        </w:rPr>
        <w:t xml:space="preserve">, Kim Ely and Shawn </w:t>
      </w:r>
      <w:proofErr w:type="spellStart"/>
      <w:r>
        <w:rPr>
          <w:rFonts w:ascii="Cambria" w:hAnsi="Cambria"/>
        </w:rPr>
        <w:t>Serbin</w:t>
      </w:r>
      <w:proofErr w:type="spellEnd"/>
      <w:r>
        <w:rPr>
          <w:rFonts w:ascii="Cambria" w:hAnsi="Cambria"/>
        </w:rPr>
        <w:t>.</w:t>
      </w:r>
    </w:p>
    <w:p w14:paraId="191B1E9E" w14:textId="77777777" w:rsidR="00DF4522" w:rsidRDefault="00DF4522" w:rsidP="00DF4522">
      <w:pPr>
        <w:spacing w:line="360" w:lineRule="auto"/>
        <w:jc w:val="both"/>
        <w:rPr>
          <w:rFonts w:ascii="Cambria" w:hAnsi="Cambria"/>
        </w:rPr>
      </w:pPr>
    </w:p>
    <w:p w14:paraId="40725350" w14:textId="77777777" w:rsidR="00DF4522" w:rsidRDefault="00DF4522" w:rsidP="00DF4522">
      <w:pPr>
        <w:spacing w:line="360" w:lineRule="auto"/>
        <w:jc w:val="both"/>
        <w:rPr>
          <w:rFonts w:ascii="Cambria" w:hAnsi="Cambria"/>
        </w:rPr>
      </w:pPr>
      <w:r>
        <w:rPr>
          <w:rFonts w:ascii="Cambria" w:hAnsi="Cambria"/>
        </w:rPr>
        <w:t xml:space="preserve">For practical assistance, beyond the lab groups mentioned above, I am grateful to Greg Nicholson and his team, and to Stuart Pearce, Irene Johnson, Maggi </w:t>
      </w:r>
      <w:proofErr w:type="spellStart"/>
      <w:r>
        <w:rPr>
          <w:rFonts w:ascii="Cambria" w:hAnsi="Cambria"/>
        </w:rPr>
        <w:t>Killion</w:t>
      </w:r>
      <w:proofErr w:type="spellEnd"/>
      <w:r>
        <w:rPr>
          <w:rFonts w:ascii="Cambria" w:hAnsi="Cambria"/>
        </w:rPr>
        <w:t xml:space="preserve">, John Beresford and Hazel </w:t>
      </w:r>
      <w:proofErr w:type="spellStart"/>
      <w:r>
        <w:rPr>
          <w:rFonts w:ascii="Cambria" w:hAnsi="Cambria"/>
        </w:rPr>
        <w:t>Basford</w:t>
      </w:r>
      <w:proofErr w:type="spellEnd"/>
      <w:r>
        <w:rPr>
          <w:rFonts w:ascii="Cambria" w:hAnsi="Cambria"/>
        </w:rPr>
        <w:t xml:space="preserve"> who have provided a fantastic level of support for my work at the University of Sheffield.  I am also grateful to the Police Department at Brookhaven National Laboratory for the vital practical assistance they provided.  Joel </w:t>
      </w:r>
      <w:proofErr w:type="spellStart"/>
      <w:r>
        <w:rPr>
          <w:rFonts w:ascii="Cambria" w:hAnsi="Cambria"/>
        </w:rPr>
        <w:t>Rowlands</w:t>
      </w:r>
      <w:proofErr w:type="spellEnd"/>
      <w:r>
        <w:rPr>
          <w:rFonts w:ascii="Cambria" w:hAnsi="Cambria"/>
        </w:rPr>
        <w:t xml:space="preserve">, </w:t>
      </w:r>
      <w:proofErr w:type="spellStart"/>
      <w:r>
        <w:rPr>
          <w:rFonts w:ascii="Cambria" w:hAnsi="Cambria"/>
        </w:rPr>
        <w:t>Lizzy</w:t>
      </w:r>
      <w:proofErr w:type="spellEnd"/>
      <w:r>
        <w:rPr>
          <w:rFonts w:ascii="Cambria" w:hAnsi="Cambria"/>
        </w:rPr>
        <w:t xml:space="preserve"> Parker, Peter White and Matthew Burnett generously gave their time to help me with a harvest schedule that was well outside of normal working hours.  Emily </w:t>
      </w:r>
      <w:proofErr w:type="spellStart"/>
      <w:r>
        <w:rPr>
          <w:rFonts w:ascii="Cambria" w:hAnsi="Cambria"/>
        </w:rPr>
        <w:t>Beardon</w:t>
      </w:r>
      <w:proofErr w:type="spellEnd"/>
      <w:r>
        <w:rPr>
          <w:rFonts w:ascii="Cambria" w:hAnsi="Cambria"/>
        </w:rPr>
        <w:t xml:space="preserve">, Debbie Coldwell, Becky Wilson and </w:t>
      </w:r>
      <w:proofErr w:type="spellStart"/>
      <w:r>
        <w:rPr>
          <w:rFonts w:ascii="Cambria" w:hAnsi="Cambria"/>
        </w:rPr>
        <w:t>Kayleigh</w:t>
      </w:r>
      <w:proofErr w:type="spellEnd"/>
      <w:r>
        <w:rPr>
          <w:rFonts w:ascii="Cambria" w:hAnsi="Cambria"/>
        </w:rPr>
        <w:t xml:space="preserve"> </w:t>
      </w:r>
      <w:proofErr w:type="spellStart"/>
      <w:r>
        <w:rPr>
          <w:rFonts w:ascii="Cambria" w:hAnsi="Cambria"/>
        </w:rPr>
        <w:t>Kerrins</w:t>
      </w:r>
      <w:proofErr w:type="spellEnd"/>
      <w:r>
        <w:rPr>
          <w:rFonts w:ascii="Cambria" w:hAnsi="Cambria"/>
        </w:rPr>
        <w:t xml:space="preserve"> kindly kept my experimental plants alive and well when I was away from Sheffield.  </w:t>
      </w:r>
      <w:proofErr w:type="spellStart"/>
      <w:r>
        <w:rPr>
          <w:rFonts w:ascii="Cambria" w:hAnsi="Cambria"/>
        </w:rPr>
        <w:t>Bethan</w:t>
      </w:r>
      <w:proofErr w:type="spellEnd"/>
      <w:r>
        <w:rPr>
          <w:rFonts w:ascii="Cambria" w:hAnsi="Cambria"/>
        </w:rPr>
        <w:t xml:space="preserve"> </w:t>
      </w:r>
      <w:proofErr w:type="spellStart"/>
      <w:r>
        <w:rPr>
          <w:rFonts w:ascii="Cambria" w:hAnsi="Cambria"/>
        </w:rPr>
        <w:t>Hindle</w:t>
      </w:r>
      <w:proofErr w:type="spellEnd"/>
      <w:r>
        <w:rPr>
          <w:rFonts w:ascii="Cambria" w:hAnsi="Cambria"/>
        </w:rPr>
        <w:t xml:space="preserve"> and Jason Griffiths were unfailingly generous with their time when assistance with the programme R was required.  James Brown of the John Innes Centre and Neil </w:t>
      </w:r>
      <w:proofErr w:type="spellStart"/>
      <w:r>
        <w:rPr>
          <w:rFonts w:ascii="Cambria" w:hAnsi="Cambria"/>
        </w:rPr>
        <w:t>Havis</w:t>
      </w:r>
      <w:proofErr w:type="spellEnd"/>
      <w:r>
        <w:rPr>
          <w:rFonts w:ascii="Cambria" w:hAnsi="Cambria"/>
        </w:rPr>
        <w:t xml:space="preserve"> of SRUC provided pathological expertise when </w:t>
      </w:r>
      <w:proofErr w:type="spellStart"/>
      <w:r>
        <w:rPr>
          <w:rFonts w:ascii="Cambria" w:hAnsi="Cambria"/>
          <w:i/>
        </w:rPr>
        <w:t>Ramularia</w:t>
      </w:r>
      <w:proofErr w:type="spellEnd"/>
      <w:r>
        <w:rPr>
          <w:rFonts w:ascii="Cambria" w:hAnsi="Cambria"/>
          <w:i/>
        </w:rPr>
        <w:t xml:space="preserve"> </w:t>
      </w:r>
      <w:r>
        <w:rPr>
          <w:rFonts w:ascii="Cambria" w:hAnsi="Cambria"/>
        </w:rPr>
        <w:t>struck an experiment.</w:t>
      </w:r>
    </w:p>
    <w:p w14:paraId="7CF2FB93" w14:textId="77777777" w:rsidR="00DF4522" w:rsidRDefault="00DF4522" w:rsidP="00DF4522">
      <w:pPr>
        <w:spacing w:line="360" w:lineRule="auto"/>
        <w:jc w:val="both"/>
        <w:rPr>
          <w:rFonts w:ascii="Cambria" w:hAnsi="Cambria"/>
        </w:rPr>
      </w:pPr>
    </w:p>
    <w:p w14:paraId="10AA3C9A" w14:textId="77777777" w:rsidR="00DF4522" w:rsidRDefault="00DF4522" w:rsidP="00DF4522">
      <w:pPr>
        <w:spacing w:line="360" w:lineRule="auto"/>
        <w:jc w:val="both"/>
        <w:rPr>
          <w:rFonts w:ascii="Cambria" w:hAnsi="Cambria"/>
        </w:rPr>
      </w:pPr>
      <w:r>
        <w:rPr>
          <w:rFonts w:ascii="Cambria" w:hAnsi="Cambria"/>
        </w:rPr>
        <w:t xml:space="preserve">For academic advice and helpful conversations relating to the content of this thesis I wish to thank Lee </w:t>
      </w:r>
      <w:proofErr w:type="spellStart"/>
      <w:r>
        <w:rPr>
          <w:rFonts w:ascii="Cambria" w:hAnsi="Cambria"/>
        </w:rPr>
        <w:t>Sweetlove</w:t>
      </w:r>
      <w:proofErr w:type="spellEnd"/>
      <w:r>
        <w:rPr>
          <w:rFonts w:ascii="Cambria" w:hAnsi="Cambria"/>
        </w:rPr>
        <w:t xml:space="preserve"> of the University of Oxford, Howard Griffiths of the University of Cambridge, and Mike Burrell and Duncan Cameron of the University of Sheffield.</w:t>
      </w:r>
    </w:p>
    <w:p w14:paraId="74082A58" w14:textId="77777777" w:rsidR="00F614A3" w:rsidRDefault="00F614A3" w:rsidP="00DF4522">
      <w:pPr>
        <w:spacing w:line="360" w:lineRule="auto"/>
        <w:jc w:val="both"/>
        <w:rPr>
          <w:rFonts w:ascii="Cambria" w:hAnsi="Cambria"/>
        </w:rPr>
      </w:pPr>
    </w:p>
    <w:p w14:paraId="784D71F1" w14:textId="56621C67" w:rsidR="00F614A3" w:rsidRDefault="00F614A3" w:rsidP="00DF4522">
      <w:pPr>
        <w:spacing w:line="360" w:lineRule="auto"/>
        <w:jc w:val="both"/>
        <w:rPr>
          <w:rFonts w:ascii="Cambria" w:hAnsi="Cambria"/>
        </w:rPr>
      </w:pPr>
      <w:r>
        <w:rPr>
          <w:rFonts w:ascii="Cambria" w:hAnsi="Cambria"/>
        </w:rPr>
        <w:t>Tiffany Bowman of Brookhaven National Laboratory provided ready and excellent assistance with graphic design.</w:t>
      </w:r>
    </w:p>
    <w:p w14:paraId="6DE39FB5" w14:textId="77777777" w:rsidR="00DF4522" w:rsidRDefault="00DF4522" w:rsidP="00DF4522">
      <w:pPr>
        <w:spacing w:line="360" w:lineRule="auto"/>
        <w:jc w:val="both"/>
        <w:rPr>
          <w:rFonts w:ascii="Cambria" w:hAnsi="Cambria"/>
        </w:rPr>
      </w:pPr>
    </w:p>
    <w:p w14:paraId="5072D2B2" w14:textId="77777777" w:rsidR="00DF4522" w:rsidRDefault="00DF4522" w:rsidP="00DF4522">
      <w:pPr>
        <w:spacing w:line="360" w:lineRule="auto"/>
        <w:jc w:val="both"/>
        <w:rPr>
          <w:rFonts w:ascii="Cambria" w:hAnsi="Cambria"/>
        </w:rPr>
      </w:pPr>
      <w:r>
        <w:rPr>
          <w:rFonts w:ascii="Cambria" w:hAnsi="Cambria"/>
        </w:rPr>
        <w:t xml:space="preserve">I am very grateful to the Society for Experimental Biology for generously funding my PhD and for providing me with a wonderful range of opportunities to get involved in science communication and policy, as well as giving me the chance to present my research at their brilliant and friendly conferences.  </w:t>
      </w:r>
    </w:p>
    <w:p w14:paraId="6009DEE3" w14:textId="77777777" w:rsidR="00DF4522" w:rsidRDefault="00DF4522" w:rsidP="00DF4522">
      <w:pPr>
        <w:spacing w:line="360" w:lineRule="auto"/>
        <w:jc w:val="both"/>
        <w:rPr>
          <w:rFonts w:ascii="Cambria" w:hAnsi="Cambria"/>
        </w:rPr>
      </w:pPr>
    </w:p>
    <w:p w14:paraId="75B89DB4" w14:textId="77777777" w:rsidR="00DF4522" w:rsidRPr="007E546F" w:rsidRDefault="00DF4522" w:rsidP="00DF4522">
      <w:pPr>
        <w:spacing w:line="360" w:lineRule="auto"/>
        <w:jc w:val="both"/>
        <w:rPr>
          <w:rFonts w:ascii="Cambria" w:hAnsi="Cambria"/>
        </w:rPr>
      </w:pPr>
      <w:r>
        <w:rPr>
          <w:rFonts w:ascii="Cambria" w:hAnsi="Cambria"/>
        </w:rPr>
        <w:t xml:space="preserve">Finally, I don’t know if I could have brought this thesis to fruition without the love and support of my friends, housemates, family and church both in Sheffield and further afield.  But I’m so glad that I didn’t have to attempt it without this wonderful group of people.  I am blessed by each one of you and my especial thanks go to my amazing fiancé Matt, who has shared in all the triumphs and trials of the past few years with me, to my wonderful Dad who has always provided a listening ear and a calm and encouraging point of view, and to my incredible Mum, whose enthusiastic and rigorous support of my academic endeavours has never ceased since teaching me to read, write and touch type all those years ago!  </w:t>
      </w:r>
    </w:p>
    <w:p w14:paraId="4686EA2B" w14:textId="77777777" w:rsidR="00DF4522" w:rsidRDefault="00DF4522" w:rsidP="00DF4522">
      <w:pPr>
        <w:spacing w:line="360" w:lineRule="auto"/>
        <w:jc w:val="both"/>
        <w:rPr>
          <w:rFonts w:ascii="Cambria" w:hAnsi="Cambria"/>
          <w:b/>
        </w:rPr>
      </w:pPr>
    </w:p>
    <w:p w14:paraId="40D23D20" w14:textId="77777777" w:rsidR="00DF4522" w:rsidRPr="000F0ECA" w:rsidRDefault="00DF4522" w:rsidP="00DF4522">
      <w:pPr>
        <w:spacing w:line="360" w:lineRule="auto"/>
        <w:jc w:val="both"/>
        <w:rPr>
          <w:rFonts w:ascii="Cambria" w:hAnsi="Cambria"/>
        </w:rPr>
      </w:pPr>
      <w:r>
        <w:rPr>
          <w:rFonts w:ascii="Cambria" w:hAnsi="Cambria"/>
        </w:rPr>
        <w:t>I dedicate this thesis to the memory of my grandfather, Brian “</w:t>
      </w:r>
      <w:proofErr w:type="spellStart"/>
      <w:r>
        <w:rPr>
          <w:rFonts w:ascii="Cambria" w:hAnsi="Cambria"/>
        </w:rPr>
        <w:t>Toadie</w:t>
      </w:r>
      <w:proofErr w:type="spellEnd"/>
      <w:r>
        <w:rPr>
          <w:rFonts w:ascii="Cambria" w:hAnsi="Cambria"/>
        </w:rPr>
        <w:t xml:space="preserve">” White, who sadly died before its completion, and who had an inspirational and insatiable thirst for knowledge right to the end of his life.   </w:t>
      </w:r>
    </w:p>
    <w:p w14:paraId="5C7FD5BB" w14:textId="77777777" w:rsidR="00DF4522" w:rsidRDefault="00DF4522" w:rsidP="00DF4522">
      <w:pPr>
        <w:pStyle w:val="Heading1"/>
        <w:jc w:val="center"/>
        <w:rPr>
          <w:rFonts w:ascii="Cambria" w:hAnsi="Cambria"/>
          <w:color w:val="auto"/>
        </w:rPr>
      </w:pPr>
      <w:bookmarkStart w:id="7" w:name="_Toc322267572"/>
      <w:bookmarkStart w:id="8" w:name="_Toc322267694"/>
      <w:bookmarkStart w:id="9" w:name="_Toc322267858"/>
      <w:r>
        <w:rPr>
          <w:rFonts w:ascii="Cambria" w:hAnsi="Cambria"/>
          <w:color w:val="auto"/>
        </w:rPr>
        <w:br w:type="page"/>
      </w:r>
    </w:p>
    <w:p w14:paraId="2F37505C" w14:textId="77777777" w:rsidR="00DF4522" w:rsidRPr="00531789" w:rsidRDefault="00DF4522" w:rsidP="00DF4522">
      <w:pPr>
        <w:pStyle w:val="Heading1"/>
        <w:jc w:val="center"/>
        <w:rPr>
          <w:rFonts w:ascii="Cambria" w:hAnsi="Cambria"/>
          <w:color w:val="auto"/>
        </w:rPr>
      </w:pPr>
      <w:bookmarkStart w:id="10" w:name="_Toc331253001"/>
      <w:r w:rsidRPr="00531789">
        <w:rPr>
          <w:rFonts w:ascii="Cambria" w:hAnsi="Cambria"/>
          <w:color w:val="auto"/>
        </w:rPr>
        <w:t>Thesis summary</w:t>
      </w:r>
      <w:bookmarkEnd w:id="7"/>
      <w:bookmarkEnd w:id="8"/>
      <w:bookmarkEnd w:id="9"/>
      <w:bookmarkEnd w:id="10"/>
    </w:p>
    <w:p w14:paraId="7812A2B3" w14:textId="77777777" w:rsidR="00DF4522" w:rsidRPr="00531789" w:rsidRDefault="00DF4522" w:rsidP="00DF4522">
      <w:pPr>
        <w:spacing w:line="360" w:lineRule="auto"/>
        <w:jc w:val="both"/>
        <w:rPr>
          <w:rFonts w:ascii="Cambria" w:hAnsi="Cambria"/>
        </w:rPr>
      </w:pPr>
    </w:p>
    <w:p w14:paraId="7DF89F97" w14:textId="77777777" w:rsidR="00DF4522" w:rsidRDefault="00DF4522" w:rsidP="00DF4522">
      <w:pPr>
        <w:spacing w:line="360" w:lineRule="auto"/>
        <w:jc w:val="both"/>
        <w:rPr>
          <w:rFonts w:ascii="Cambria" w:hAnsi="Cambria"/>
        </w:rPr>
      </w:pPr>
      <w:r w:rsidRPr="00531789">
        <w:rPr>
          <w:rFonts w:ascii="Cambria" w:hAnsi="Cambria"/>
        </w:rPr>
        <w:t>Increasing crop yield is a critical research target for future food security</w:t>
      </w:r>
      <w:r>
        <w:rPr>
          <w:rFonts w:ascii="Cambria" w:hAnsi="Cambria"/>
        </w:rPr>
        <w:t>, and a</w:t>
      </w:r>
      <w:r w:rsidRPr="00531789">
        <w:rPr>
          <w:rFonts w:ascii="Cambria" w:hAnsi="Cambria"/>
        </w:rPr>
        <w:t>dvancing our understanding of the factors contributing to plant growth is vital if yields are to be improved effectively.  This thesis sets out the requirement for a unified perspective on plant growth and investigates the relative limitations imposed by carbon and nitrogen sources and sinks on growth.  I firstly demonstrate that source-sink interactions underpin plant growth when viewed through th</w:t>
      </w:r>
      <w:r>
        <w:rPr>
          <w:rFonts w:ascii="Cambria" w:hAnsi="Cambria"/>
        </w:rPr>
        <w:t>re</w:t>
      </w:r>
      <w:r w:rsidRPr="00531789">
        <w:rPr>
          <w:rFonts w:ascii="Cambria" w:hAnsi="Cambria"/>
        </w:rPr>
        <w:t>e perspectives</w:t>
      </w:r>
      <w:r>
        <w:rPr>
          <w:rFonts w:ascii="Cambria" w:hAnsi="Cambria"/>
        </w:rPr>
        <w:t>:</w:t>
      </w:r>
      <w:r w:rsidRPr="00531789">
        <w:rPr>
          <w:rFonts w:ascii="Cambria" w:hAnsi="Cambria"/>
        </w:rPr>
        <w:t xml:space="preserve"> physiology, allocation and development.  I then report data from experimental manipulations of the carbon and nitrogen </w:t>
      </w:r>
      <w:proofErr w:type="spellStart"/>
      <w:r w:rsidRPr="00531789">
        <w:rPr>
          <w:rFonts w:ascii="Cambria" w:hAnsi="Cambria"/>
        </w:rPr>
        <w:t>source:sink</w:t>
      </w:r>
      <w:proofErr w:type="spellEnd"/>
      <w:r w:rsidRPr="00531789">
        <w:rPr>
          <w:rFonts w:ascii="Cambria" w:hAnsi="Cambria"/>
        </w:rPr>
        <w:t xml:space="preserve"> ratios in </w:t>
      </w:r>
      <w:r>
        <w:rPr>
          <w:rFonts w:ascii="Cambria" w:hAnsi="Cambria"/>
        </w:rPr>
        <w:t xml:space="preserve">domesticated </w:t>
      </w:r>
      <w:r w:rsidRPr="00531789">
        <w:rPr>
          <w:rFonts w:ascii="Cambria" w:hAnsi="Cambria"/>
        </w:rPr>
        <w:t xml:space="preserve">annual and </w:t>
      </w:r>
      <w:r>
        <w:rPr>
          <w:rFonts w:ascii="Cambria" w:hAnsi="Cambria"/>
        </w:rPr>
        <w:t xml:space="preserve">wild </w:t>
      </w:r>
      <w:r w:rsidRPr="00531789">
        <w:rPr>
          <w:rFonts w:ascii="Cambria" w:hAnsi="Cambria"/>
        </w:rPr>
        <w:t>perennial barley.  I measured resource uptake, metabolites, partitioning and growth</w:t>
      </w:r>
      <w:r>
        <w:rPr>
          <w:rFonts w:ascii="Cambria" w:hAnsi="Cambria"/>
        </w:rPr>
        <w:t>,</w:t>
      </w:r>
      <w:r w:rsidRPr="00531789">
        <w:rPr>
          <w:rFonts w:ascii="Cambria" w:hAnsi="Cambria"/>
        </w:rPr>
        <w:t xml:space="preserve"> to gain an integrated perspective of the contribution of sources and sinks to growth in my system.  The key findings of this experimental work are:</w:t>
      </w:r>
    </w:p>
    <w:p w14:paraId="460F59B8" w14:textId="77777777" w:rsidR="00DF4522" w:rsidRPr="00531789" w:rsidRDefault="00DF4522" w:rsidP="00DF4522">
      <w:pPr>
        <w:spacing w:line="360" w:lineRule="auto"/>
        <w:jc w:val="both"/>
        <w:rPr>
          <w:rFonts w:ascii="Cambria" w:hAnsi="Cambria"/>
        </w:rPr>
      </w:pPr>
    </w:p>
    <w:p w14:paraId="55F1B70B" w14:textId="77777777" w:rsidR="00DF4522" w:rsidRPr="00531789" w:rsidRDefault="00DF4522" w:rsidP="00DF4522">
      <w:pPr>
        <w:pStyle w:val="ListParagraph"/>
        <w:numPr>
          <w:ilvl w:val="0"/>
          <w:numId w:val="4"/>
        </w:numPr>
        <w:spacing w:line="360" w:lineRule="auto"/>
        <w:jc w:val="both"/>
        <w:rPr>
          <w:rFonts w:ascii="Cambria" w:hAnsi="Cambria"/>
        </w:rPr>
      </w:pPr>
      <w:r w:rsidRPr="00531789">
        <w:rPr>
          <w:rFonts w:ascii="Cambria" w:hAnsi="Cambria"/>
        </w:rPr>
        <w:t xml:space="preserve">Annual barley shifts from being more </w:t>
      </w:r>
      <w:r>
        <w:rPr>
          <w:rFonts w:ascii="Cambria" w:hAnsi="Cambria"/>
        </w:rPr>
        <w:t xml:space="preserve">carbon </w:t>
      </w:r>
      <w:r w:rsidRPr="00531789">
        <w:rPr>
          <w:rFonts w:ascii="Cambria" w:hAnsi="Cambria"/>
        </w:rPr>
        <w:t xml:space="preserve">sink limited to more </w:t>
      </w:r>
      <w:r>
        <w:rPr>
          <w:rFonts w:ascii="Cambria" w:hAnsi="Cambria"/>
        </w:rPr>
        <w:t xml:space="preserve">carbon </w:t>
      </w:r>
      <w:r w:rsidRPr="00531789">
        <w:rPr>
          <w:rFonts w:ascii="Cambria" w:hAnsi="Cambria"/>
        </w:rPr>
        <w:t>source limited during vegetative development.</w:t>
      </w:r>
    </w:p>
    <w:p w14:paraId="3507FA9C" w14:textId="77777777" w:rsidR="00DF4522" w:rsidRPr="00531789" w:rsidRDefault="00DF4522" w:rsidP="00DF4522">
      <w:pPr>
        <w:pStyle w:val="ListParagraph"/>
        <w:numPr>
          <w:ilvl w:val="0"/>
          <w:numId w:val="4"/>
        </w:numPr>
        <w:spacing w:line="360" w:lineRule="auto"/>
        <w:jc w:val="both"/>
        <w:rPr>
          <w:rFonts w:ascii="Cambria" w:hAnsi="Cambria"/>
        </w:rPr>
      </w:pPr>
      <w:r w:rsidRPr="00531789">
        <w:rPr>
          <w:rFonts w:ascii="Cambria" w:hAnsi="Cambria"/>
        </w:rPr>
        <w:t>Growth in annual barley is carbon sink limited and growth in perennial barley is carbon source limited during vegetative development.</w:t>
      </w:r>
    </w:p>
    <w:p w14:paraId="782C2EEA" w14:textId="77777777" w:rsidR="009F095C" w:rsidRDefault="00DF4522" w:rsidP="005C037F">
      <w:pPr>
        <w:pStyle w:val="ListParagraph"/>
        <w:numPr>
          <w:ilvl w:val="0"/>
          <w:numId w:val="4"/>
        </w:numPr>
        <w:spacing w:line="360" w:lineRule="auto"/>
        <w:jc w:val="both"/>
        <w:rPr>
          <w:rFonts w:ascii="Cambria" w:hAnsi="Cambria"/>
        </w:rPr>
      </w:pPr>
      <w:r w:rsidRPr="009F095C">
        <w:rPr>
          <w:rFonts w:ascii="Cambria" w:hAnsi="Cambria"/>
        </w:rPr>
        <w:t>Growth in both species is nitrogen sink limited during vegetative development</w:t>
      </w:r>
    </w:p>
    <w:p w14:paraId="661F3F39" w14:textId="77777777" w:rsidR="00DF4522" w:rsidRPr="009F095C" w:rsidRDefault="00DF4522" w:rsidP="009F095C">
      <w:pPr>
        <w:pStyle w:val="ListParagraph"/>
        <w:spacing w:line="360" w:lineRule="auto"/>
        <w:jc w:val="both"/>
        <w:rPr>
          <w:rFonts w:ascii="Cambria" w:hAnsi="Cambria"/>
        </w:rPr>
      </w:pPr>
    </w:p>
    <w:p w14:paraId="57C9612C" w14:textId="77777777" w:rsidR="00DF4522" w:rsidRPr="00531789" w:rsidRDefault="00DF4522" w:rsidP="00DF4522">
      <w:pPr>
        <w:spacing w:line="360" w:lineRule="auto"/>
        <w:jc w:val="both"/>
        <w:rPr>
          <w:rFonts w:ascii="Cambria" w:hAnsi="Cambria"/>
        </w:rPr>
      </w:pPr>
      <w:r>
        <w:rPr>
          <w:rFonts w:ascii="Cambria" w:hAnsi="Cambria"/>
        </w:rPr>
        <w:t xml:space="preserve">This implies that annual barley may not respond favourably to future elevated carbon dioxide; an increase in carbon and nitrogen sink capacity during vegetative growth will be required to improve source capacity and yield effectively.  </w:t>
      </w:r>
      <w:r w:rsidRPr="00531789">
        <w:rPr>
          <w:rFonts w:ascii="Cambria" w:hAnsi="Cambria"/>
        </w:rPr>
        <w:t xml:space="preserve">The supply of carbon and nitrogen to crops is a pertinent issue in the current global context of rising </w:t>
      </w:r>
      <w:r>
        <w:rPr>
          <w:rFonts w:ascii="Cambria" w:hAnsi="Cambria"/>
        </w:rPr>
        <w:t>CO</w:t>
      </w:r>
      <w:r w:rsidRPr="005F6DC1">
        <w:rPr>
          <w:rFonts w:ascii="Cambria" w:hAnsi="Cambria"/>
          <w:vertAlign w:val="subscript"/>
        </w:rPr>
        <w:t>2</w:t>
      </w:r>
      <w:r w:rsidRPr="00531789">
        <w:rPr>
          <w:rFonts w:ascii="Cambria" w:hAnsi="Cambria"/>
        </w:rPr>
        <w:t xml:space="preserve"> levels and increasin</w:t>
      </w:r>
      <w:r>
        <w:rPr>
          <w:rFonts w:ascii="Cambria" w:hAnsi="Cambria"/>
        </w:rPr>
        <w:t xml:space="preserve">g environmental pollution </w:t>
      </w:r>
      <w:r>
        <w:rPr>
          <w:rFonts w:ascii="Cambria" w:hAnsi="Cambria"/>
          <w:i/>
        </w:rPr>
        <w:t>via</w:t>
      </w:r>
      <w:r w:rsidRPr="00531789">
        <w:rPr>
          <w:rFonts w:ascii="Cambria" w:hAnsi="Cambria"/>
        </w:rPr>
        <w:t xml:space="preserve"> nitrogen fertiliser use. </w:t>
      </w:r>
      <w:r>
        <w:rPr>
          <w:rFonts w:ascii="Cambria" w:hAnsi="Cambria"/>
        </w:rPr>
        <w:t xml:space="preserve"> T</w:t>
      </w:r>
      <w:r w:rsidRPr="00531789">
        <w:rPr>
          <w:rFonts w:ascii="Cambria" w:hAnsi="Cambria"/>
        </w:rPr>
        <w:t>o implement the findings of th</w:t>
      </w:r>
      <w:r>
        <w:rPr>
          <w:rFonts w:ascii="Cambria" w:hAnsi="Cambria"/>
        </w:rPr>
        <w:t>is research effectively for crop improvement</w:t>
      </w:r>
      <w:r w:rsidRPr="00531789">
        <w:rPr>
          <w:rFonts w:ascii="Cambria" w:hAnsi="Cambria"/>
        </w:rPr>
        <w:t xml:space="preserve">, it will be important to carry out field experiments over the whole lifetime of the crop, and </w:t>
      </w:r>
      <w:r>
        <w:rPr>
          <w:rFonts w:ascii="Cambria" w:hAnsi="Cambria"/>
        </w:rPr>
        <w:t xml:space="preserve">to </w:t>
      </w:r>
      <w:r w:rsidRPr="00531789">
        <w:rPr>
          <w:rFonts w:ascii="Cambria" w:hAnsi="Cambria"/>
        </w:rPr>
        <w:t>gain a deeper understanding of how carbon and nitrogen interact in the context of plant growth.</w:t>
      </w:r>
    </w:p>
    <w:p w14:paraId="63A1AB4D" w14:textId="77777777" w:rsidR="00DF4522" w:rsidRDefault="00DF4522" w:rsidP="00DF4522">
      <w:pPr>
        <w:spacing w:line="360" w:lineRule="auto"/>
        <w:jc w:val="both"/>
        <w:rPr>
          <w:rFonts w:ascii="Cambria" w:hAnsi="Cambria"/>
          <w:b/>
        </w:rPr>
        <w:sectPr w:rsidR="00DF4522" w:rsidSect="001549A7">
          <w:pgSz w:w="11906" w:h="16838"/>
          <w:pgMar w:top="1418" w:right="1418" w:bottom="1418" w:left="2268" w:header="709" w:footer="1134" w:gutter="0"/>
          <w:pgNumType w:fmt="lowerRoman" w:start="1"/>
          <w:cols w:space="708"/>
          <w:docGrid w:linePitch="360"/>
        </w:sectPr>
      </w:pPr>
    </w:p>
    <w:p w14:paraId="4C358C67" w14:textId="77777777" w:rsidR="00DF4522" w:rsidRPr="00531789" w:rsidRDefault="00DF4522" w:rsidP="00DF4522">
      <w:pPr>
        <w:spacing w:line="360" w:lineRule="auto"/>
        <w:jc w:val="both"/>
        <w:rPr>
          <w:rFonts w:ascii="Cambria" w:hAnsi="Cambria"/>
          <w:b/>
        </w:rPr>
      </w:pPr>
    </w:p>
    <w:p w14:paraId="3D5826AE" w14:textId="77777777" w:rsidR="00DF4522" w:rsidRPr="00531789" w:rsidRDefault="00DF4522" w:rsidP="00DF4522">
      <w:pPr>
        <w:spacing w:line="360" w:lineRule="auto"/>
        <w:jc w:val="both"/>
        <w:rPr>
          <w:rFonts w:ascii="Cambria" w:hAnsi="Cambria"/>
          <w:b/>
        </w:rPr>
      </w:pPr>
    </w:p>
    <w:p w14:paraId="79D0C430" w14:textId="77777777" w:rsidR="00DF4522" w:rsidRPr="00531789" w:rsidRDefault="00DF4522" w:rsidP="00DF4522">
      <w:pPr>
        <w:spacing w:line="360" w:lineRule="auto"/>
        <w:jc w:val="both"/>
        <w:rPr>
          <w:rFonts w:ascii="Cambria" w:hAnsi="Cambria"/>
          <w:b/>
        </w:rPr>
      </w:pPr>
    </w:p>
    <w:p w14:paraId="5903639E" w14:textId="77777777" w:rsidR="00DF4522" w:rsidRPr="00531789" w:rsidRDefault="00DF4522" w:rsidP="00DF4522">
      <w:pPr>
        <w:spacing w:line="360" w:lineRule="auto"/>
        <w:jc w:val="both"/>
        <w:rPr>
          <w:rFonts w:ascii="Cambria" w:hAnsi="Cambria"/>
          <w:b/>
        </w:rPr>
      </w:pPr>
    </w:p>
    <w:p w14:paraId="721179BD" w14:textId="77777777" w:rsidR="00DF4522" w:rsidRPr="00531789" w:rsidRDefault="00DF4522" w:rsidP="00DF4522">
      <w:pPr>
        <w:spacing w:line="360" w:lineRule="auto"/>
        <w:jc w:val="both"/>
        <w:rPr>
          <w:rFonts w:ascii="Cambria" w:hAnsi="Cambria"/>
          <w:b/>
        </w:rPr>
      </w:pPr>
    </w:p>
    <w:p w14:paraId="23784398" w14:textId="77777777" w:rsidR="00DF4522" w:rsidRDefault="00DF4522" w:rsidP="00DF4522">
      <w:pPr>
        <w:pStyle w:val="Heading1"/>
        <w:jc w:val="center"/>
        <w:rPr>
          <w:rFonts w:ascii="Cambria" w:hAnsi="Cambria"/>
          <w:color w:val="auto"/>
        </w:rPr>
      </w:pPr>
      <w:bookmarkStart w:id="11" w:name="_Toc322267573"/>
      <w:bookmarkStart w:id="12" w:name="_Toc322267695"/>
      <w:bookmarkStart w:id="13" w:name="_Toc322267859"/>
      <w:r>
        <w:rPr>
          <w:rFonts w:ascii="Cambria" w:hAnsi="Cambria"/>
          <w:color w:val="auto"/>
        </w:rPr>
        <w:br w:type="page"/>
      </w:r>
    </w:p>
    <w:p w14:paraId="57C5E27A" w14:textId="77777777" w:rsidR="00DF4522" w:rsidRDefault="00DF4522" w:rsidP="00DF4522">
      <w:pPr>
        <w:pStyle w:val="Heading1"/>
        <w:jc w:val="center"/>
        <w:rPr>
          <w:rFonts w:ascii="Cambria" w:hAnsi="Cambria"/>
          <w:color w:val="auto"/>
        </w:rPr>
        <w:sectPr w:rsidR="00DF4522" w:rsidSect="004631DA">
          <w:type w:val="oddPage"/>
          <w:pgSz w:w="11906" w:h="16838"/>
          <w:pgMar w:top="1418" w:right="1418" w:bottom="1418" w:left="2268" w:header="709" w:footer="709" w:gutter="0"/>
          <w:pgNumType w:fmt="lowerRoman" w:start="1"/>
          <w:cols w:space="708"/>
          <w:titlePg/>
          <w:docGrid w:linePitch="360"/>
        </w:sectPr>
      </w:pPr>
    </w:p>
    <w:p w14:paraId="5D8E4E5E" w14:textId="77777777" w:rsidR="00DF4522" w:rsidRPr="00531789" w:rsidRDefault="00DF4522" w:rsidP="00DF4522">
      <w:pPr>
        <w:pStyle w:val="Heading1"/>
        <w:jc w:val="center"/>
        <w:rPr>
          <w:rFonts w:ascii="Cambria" w:hAnsi="Cambria"/>
          <w:color w:val="auto"/>
        </w:rPr>
      </w:pPr>
      <w:bookmarkStart w:id="14" w:name="_Toc331253002"/>
      <w:r w:rsidRPr="00531789">
        <w:rPr>
          <w:rFonts w:ascii="Cambria" w:hAnsi="Cambria"/>
          <w:color w:val="auto"/>
        </w:rPr>
        <w:t>Chapter 1: General introduction</w:t>
      </w:r>
      <w:bookmarkEnd w:id="11"/>
      <w:bookmarkEnd w:id="12"/>
      <w:bookmarkEnd w:id="13"/>
      <w:bookmarkEnd w:id="14"/>
    </w:p>
    <w:p w14:paraId="37614324" w14:textId="77777777" w:rsidR="00DF4522" w:rsidRDefault="00DF4522" w:rsidP="00DF4522">
      <w:pPr>
        <w:spacing w:line="360" w:lineRule="auto"/>
        <w:jc w:val="both"/>
        <w:rPr>
          <w:rFonts w:ascii="Cambria" w:hAnsi="Cambria"/>
        </w:rPr>
      </w:pPr>
    </w:p>
    <w:p w14:paraId="7FB911B0" w14:textId="77777777" w:rsidR="009F095C" w:rsidRDefault="009F095C" w:rsidP="00DF4522">
      <w:pPr>
        <w:spacing w:line="360" w:lineRule="auto"/>
        <w:jc w:val="both"/>
        <w:rPr>
          <w:rFonts w:ascii="Cambria" w:hAnsi="Cambria"/>
        </w:rPr>
      </w:pPr>
    </w:p>
    <w:p w14:paraId="29599180" w14:textId="77777777" w:rsidR="00DF4522" w:rsidRPr="00531789" w:rsidRDefault="00DF4522" w:rsidP="00DF4522">
      <w:pPr>
        <w:spacing w:line="360" w:lineRule="auto"/>
        <w:jc w:val="both"/>
        <w:rPr>
          <w:rFonts w:ascii="Cambria" w:hAnsi="Cambria"/>
        </w:rPr>
      </w:pPr>
      <w:r w:rsidRPr="00531789">
        <w:rPr>
          <w:rFonts w:ascii="Cambria" w:hAnsi="Cambria"/>
        </w:rPr>
        <w:t xml:space="preserve">Growth is a fundamental and fascinating area of biology.  The sessile nature of plants means that their growth patterns are essential for resource capture – plants must grow towards the resources they require, using leaves to capture light and carbon dioxide, and roots to obtain water and soil nutrients.  Whilst plants employ a dazzling array of resource acquisition strategies, from symbiotic interactions with soil microbes to maximise uptake of limiting nutrients </w:t>
      </w:r>
      <w:r w:rsidRPr="00531789">
        <w:rPr>
          <w:rFonts w:ascii="Cambria" w:hAnsi="Cambria"/>
        </w:rPr>
        <w:fldChar w:fldCharType="begin" w:fldLock="1"/>
      </w:r>
      <w:r w:rsidRPr="00531789">
        <w:rPr>
          <w:rFonts w:ascii="Cambria" w:hAnsi="Cambria"/>
        </w:rPr>
        <w:instrText>ADDIN CSL_CITATION { "citationItems" : [ { "id" : "ITEM-1", "itemData" : { "author" : [ { "dropping-particle" : "", "family" : "Read", "given" : "D J", "non-dropping-particle" : "", "parse-names" : false, "suffix" : "" } ], "container-title" : "Experientia", "id" : "ITEM-1", "issued" : { "date-parts" : [ [ "1991" ] ] }, "page" : "376-391", "title" : "Mycorrhizas in ecosystems", "type" : "article-journal", "volume" : "47" }, "uris" : [ "http://www.mendeley.com/documents/?uuid=8c6495c7-a586-478f-926f-db4d23d81713" ] } ], "mendeley" : { "formattedCitation" : "(Read, 1991)", "plainTextFormattedCitation" : "(Read, 1991)", "previouslyFormattedCitation" : "(Read, 1991)"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(Read, 1991)</w:t>
      </w:r>
      <w:r w:rsidRPr="00531789">
        <w:rPr>
          <w:rFonts w:ascii="Cambria" w:hAnsi="Cambria"/>
        </w:rPr>
        <w:fldChar w:fldCharType="end"/>
      </w:r>
      <w:r w:rsidRPr="00531789">
        <w:rPr>
          <w:rFonts w:ascii="Cambria" w:hAnsi="Cambria"/>
        </w:rPr>
        <w:t xml:space="preserve">, to the enterprising photosynthetic activity of the glumes and awns of cereal grains </w:t>
      </w:r>
      <w:r w:rsidRPr="00531789">
        <w:rPr>
          <w:rFonts w:ascii="Cambria" w:hAnsi="Cambria"/>
        </w:rPr>
        <w:fldChar w:fldCharType="begin" w:fldLock="1"/>
      </w:r>
      <w:r>
        <w:rPr>
          <w:rFonts w:ascii="Cambria" w:hAnsi="Cambria"/>
        </w:rPr>
        <w:instrText>ADDIN CSL_CITATION { "citationItems" : [ { "id" : "ITEM-1", "itemData" : { "DOI" : "10.1093/jxb/eru298", "author" : [ { "dropping-particle" : "", "family" : "Sanchez-Bragado", "given" : "Rut", "non-dropping-particle" : "", "parse-names" : false, "suffix" : "" }, { "dropping-particle" : "", "family" : "Molero", "given" : "Gemma", "non-dropping-particle" : "", "parse-names" : false, "suffix" : "" }, { "dropping-particle" : "", "family" : "Reynolds", "given" : "Matthew P", "non-dropping-particle" : "", "parse-names" : false, "suffix" : "" }, { "dropping-particle" : "", "family" : "Araus", "given" : "Jose Luis", "non-dropping-particle" : "", "parse-names" : false, "suffix" : "" } ], "id" : "ITEM-1", "issue" : "18", "issued" : { "date-parts" : [ [ "2014" ] ] }, "page" : "5401-5413", "title" : "Relative contribution of shoot and ear photosynthesis to grain filling in wheat under good agronomical conditions assessed by differential organ \u03b4 13 C", "type" : "article-journal", "volume" : "65" }, "uris" : [ "http://www.mendeley.com/documents/?uuid=626eb452-6bb7-4005-badd-63f91f4df95d" ] } ], "mendeley" : { "formattedCitation" : "(Sanchez-Bragado &lt;i&gt;et al.&lt;/i&gt;, 2014)", "plainTextFormattedCitation" : "(Sanchez-Bragado et al., 2014)", "previouslyFormattedCitation" : "(Sanchez-Bragado &lt;i&gt;et al.&lt;/i&gt;, 2014)"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(Sanchez-Bragado </w:t>
      </w:r>
      <w:r w:rsidRPr="002C5907">
        <w:rPr>
          <w:rFonts w:ascii="Cambria" w:hAnsi="Cambria"/>
          <w:i/>
          <w:noProof/>
        </w:rPr>
        <w:t>et al.</w:t>
      </w:r>
      <w:r w:rsidRPr="002C5907">
        <w:rPr>
          <w:rFonts w:ascii="Cambria" w:hAnsi="Cambria"/>
          <w:noProof/>
        </w:rPr>
        <w:t>, 2014)</w:t>
      </w:r>
      <w:r w:rsidRPr="00531789">
        <w:rPr>
          <w:rFonts w:ascii="Cambria" w:hAnsi="Cambria"/>
        </w:rPr>
        <w:fldChar w:fldCharType="end"/>
      </w:r>
      <w:r w:rsidRPr="00531789">
        <w:rPr>
          <w:rFonts w:ascii="Cambria" w:hAnsi="Cambria"/>
        </w:rPr>
        <w:t xml:space="preserve">, they are also balancing growth and survival, a key trade-off that comprises a significant axis of variation in global plant traits </w:t>
      </w:r>
      <w:r w:rsidRPr="00531789">
        <w:rPr>
          <w:rFonts w:ascii="Cambria" w:hAnsi="Cambria"/>
        </w:rPr>
        <w:fldChar w:fldCharType="begin" w:fldLock="1"/>
      </w:r>
      <w:r>
        <w:rPr>
          <w:rFonts w:ascii="Cambria" w:hAnsi="Cambria"/>
        </w:rPr>
        <w:instrText>ADDIN CSL_CITATION { "citationItems" : [ { "id" : "ITEM-1", "itemData" : { "author" : [ { "dropping-particle" : "", "family" : "Wright", "given" : "Ian J", "non-dropping-particle" : "", "parse-names" : false, "suffix" : "" }, { "dropping-particle" : "", "family" : "Reich", "given" : "Peter B", "non-dropping-particle" : "", "parse-names" : false, "suffix" : "" }, { "dropping-particle" : "", "family" : "Westoby", "given" : "Mark", "non-dropping-particle" : "", "parse-names" : false, "suffix" : "" }, { "dropping-particle" : "", "family" : "Ackerly", "given" : "David D", "non-dropping-particle" : "", "parse-names" : false, "suffix" : "" }, { "dropping-particle" : "", "family" : "Baruch", "given" : "Zdravko", "non-dropping-particle" : "", "parse-names" : false, "suffix" : "" }, { "dropping-particle" : "", "family" : "Bongers", "given" : "Frans", "non-dropping-particle" : "", "parse-names" : false, "suffix" : "" }, { "dropping-particle" : "", "family" : "Cavender-bares", "given" : "Jeannine", "non-dropping-particle" : "", "parse-names" : false, "suffix" : "" }, { "dropping-particle" : "", "family" : "Chapin", "given" : "Terry", "non-dropping-particle" : "", "parse-names" : false, "suffix" : "" }, { "dropping-particle" : "", "family" : "Cornelissen", "given" : "Johannes H C", "non-dropping-particle" : "", "parse-names" : false, "suffix" : "" }, { "dropping-particle" : "", "family" : "Diemer", "given" : "Matthias", "non-dropping-particle" : "", "parse-names" : false, "suffix" : "" }, { "dropping-particle" : "", "family" : "Flexas", "given" : "Jaume", "non-dropping-particle" : "", "parse-names" : false, "suffix" : "" }, { "dropping-particle" : "", "family" : "Garnier", "given" : "Eric", "non-dropping-particle" : "", "parse-names" : false, "suffix" : "" }, { "dropping-particle" : "", "family" : "Groom", "given" : "Philip K", "non-dropping-particle" : "", "parse-names" : false, "suffix" : "" }, { "dropping-particle" : "", "family" : "Gulias", "given" : "Javier", "non-dropping-particle" : "", "parse-names" : false, "suffix" : "" }, { "dropping-particle" : "", "family" : "Hikosaka", "given" : "Kouki", "non-dropping-particle" : "", "parse-names" : false, "suffix" : "" }, { "dropping-particle" : "", "family" : "Lamont", "given" : "Byron B", "non-dropping-particle" : "", "parse-names" : false, "suffix" : "" }, { "dropping-particle" : "", "family" : "Lee", "given" : "Tali", "non-dropping-particle" : "", "parse-names" : false, "suffix" : "" }, { "dropping-particle" : "", "family" : "Lee", "given" : "William", "non-dropping-particle" : "", "parse-names" : false, "suffix" : "" }, { "dropping-particle" : "", "family" : "Lusk", "given" : "Christopher", "non-dropping-particle" : "", "parse-names" : false, "suffix" : "" }, { "dropping-particle" : "", "family" : "Midgley", "given" : "Jeremy J", "non-dropping-particle" : "", "parse-names" : false, "suffix" : "" }, { "dropping-particle" : "", "family" : "Navas", "given" : "Marie-Laure", "non-dropping-particle" : "", "parse-names" : false, "suffix" : "" }, { "dropping-particle" : "", "family" : "Niinemets", "given" : "Ulo", "non-dropping-particle" : "", "parse-names" : false, "suffix" : "" }, { "dropping-particle" : "", "family" : "Oleksyn", "given" : "Jacek", "non-dropping-particle" : "", "parse-names" : false, "suffix" : "" }, { "dropping-particle" : "", "family" : "Osada", "given" : "Noriyuki", "non-dropping-particle" : "", "parse-names" : false, "suffix" : "" }, { "dropping-particle" : "", "family" : "Poorter", "given" : "Hendrik", "non-dropping-particle" : "", "parse-names" : false, "suffix" : "" }, { "dropping-particle" : "", "family" : "Poot", "given" : "Pieter", "non-dropping-particle" : "", "parse-names" : false, "suffix" : "" }, { "dropping-particle" : "", "family" : "Prior", "given" : "Lynda", "non-dropping-particle" : "", "parse-names" : false, "suffix" : "" }, { "dropping-particle" : "", "family" : "Pyankov", "given" : "Vladimir I", "non-dropping-particle" : "", "parse-names" : false, "suffix" : "" }, { "dropping-particle" : "", "family" : "Roumet", "given" : "Catherine", "non-dropping-particle" : "", "parse-names" : false, "suffix" : "" }, { "dropping-particle" : "", "family" : "Thomas", "given" : "Sean C", "non-dropping-particle" : "", "parse-names" : false, "suffix" : "" }, { "dropping-particle" : "", "family" : "Tjoelker", "given" : "Mark G", "non-dropping-particle" : "", "parse-names" : false, "suffix" : "" }, { "dropping-particle" : "", "family" : "Veneklaas", "given" : "Erik J", "non-dropping-particle" : "", "parse-names" : false, "suffix" : "" }, { "dropping-particle" : "", "family" : "Villar", "given" : "Rafael", "non-dropping-particle" : "", "parse-names" : false, "suffix" : "" } ], "container-title" : "Nature", "id" : "ITEM-1", "issued" : { "date-parts" : [ [ "2004" ] ] }, "page" : "821-827", "title" : "The worldwide leaf economics spectrum", "type" : "article-journal", "volume" : "428" }, "uris" : [ "http://www.mendeley.com/documents/?uuid=e66b67a4-aad1-43f1-b16d-40dc7dc417ff" ] }, { "id" : "ITEM-2", "itemData" : { "DOI" : "10.1038/nature16489", "ISBN" : "1476-4687", "ISSN" : "0028-0836", "PMID" : "26700811", "abstract" : "Earth is home to a remarkable diversity of plant forms and life histories, yet comparatively few essential trait combinations have proved evolutionarily viable in today\u2019s terrestrial biosphere. By analysing worldwide variation in six major traits critical to growth, survival and reproduction within the largest sample of vascular plant species ever compiled, we found that occupancy of six-dimensional trait space is strongly concentrated, indicating coordination and trade-offs. Three- quarters of trait variation is captured in a two-dimensional global spectrum of plant form and function. One major dimension within this plane reflects the size of whole plants and their parts; the other represents the leaf economics spectrum, which balances leaf construction costs against growth potential. The global plant trait spectrum provides a backdrop for elucidating constraints on evolution, for functionally qualifying species and ecosystems, and for improving models that predict future vegetation based on continuous variation in plant form and function.", "author" : [ { "dropping-particle" : "", "family" : "D\u00edaz", "given" : "Sandra", "non-dropping-particle" : "", "parse-names" : false, "suffix" : "" }, { "dropping-particle" : "", "family" : "Kattge", "given" : "Jens", "non-dropping-particle" : "", "parse-names" : false, "suffix" : "" }, { "dropping-particle" : "", "family" : "Cornelissen", "given" : "Johannes H C", "non-dropping-particle" : "", "parse-names" : false, "suffix" : "" }, { "dropping-particle" : "", "family" : "Wright", "given" : "Ian J", "non-dropping-particle" : "", "parse-names" : false, "suffix" : "" }, { "dropping-particle" : "", "family" : "Lavorel", "given" : "Sandra", "non-dropping-particle" : "", "parse-names" : false, "suffix" : "" }, { "dropping-particle" : "", "family" : "Dray", "given" : "St\u00e9phane", "non-dropping-particle" : "", "parse-names" : false, "suffix" : "" }, { "dropping-particle" : "", "family" : "Reu", "given" : "Bj\u00f6rn", "non-dropping-particle" : "", "parse-names" : false, "suffix" : "" }, { "dropping-particle" : "", "family" : "Kleyer", "given" : "Michael", "non-dropping-particle" : "", "parse-names" : false, "suffix" : "" }, { "dropping-particle" : "", "family" : "Wirth", "given" : "Christian", "non-dropping-particle" : "", "parse-names" : false, "suffix" : "" }, { "dropping-particle" : "", "family" : "Prentice", "given" : "I Colin", "non-dropping-particle" : "", "parse-names" : false, "suffix" : "" }, { "dropping-particle" : "", "family" : "Garnier", "given" : "Eric", "non-dropping-particle" : "", "parse-names" : false, "suffix" : "" }, { "dropping-particle" : "", "family" : "B\u00f6nisch", "given" : "Gerhard", "non-dropping-particle" : "", "parse-names" : false, "suffix" : "" }, { "dropping-particle" : "", "family" : "Westoby", "given" : "Mark", "non-dropping-particle" : "", "parse-names" : false, "suffix" : "" }, { "dropping-particle" : "", "family" : "Poorter", "given" : "Hendrik", "non-dropping-particle" : "", "parse-names" : false, "suffix" : "" }, { "dropping-particle" : "", "family" : "Reich", "given" : "Peter B", "non-dropping-particle" : "", "parse-names" : false, "suffix" : "" }, { "dropping-particle" : "", "family" : "Moles", "given" : "Angela T", "non-dropping-particle" : "", "parse-names" : false, "suffix" : "" }, { "dropping-particle" : "", "family" : "Dickie", "given" : "John", "non-dropping-particle" : "", "parse-names" : false, "suffix" : "" }, { "dropping-particle" : "", "family" : "Gillison", "given" : "Andrew N", "non-dropping-particle" : "", "parse-names" : false, "suffix" : "" }, { "dropping-particle" : "", "family" : "Zanne", "given" : "Amy E", "non-dropping-particle" : "", "parse-names" : false, "suffix" : "" }, { "dropping-particle" : "", "family" : "Chave", "given" : "Jerome", "non-dropping-particle" : "", "parse-names" : false, "suffix" : "" }, { "dropping-particle" : "", "family" : "Wright", "given" : "S. J.", "non-dropping-particle" : "", "parse-names" : false, "suffix" : "" }, { "dropping-particle" : "", "family" : "Sheremet'ev", "given" : "Serge N", "non-dropping-particle" : "", "parse-names" : false, "suffix" : "" }, { "dropping-particle" : "", "family" : "Jactel", "given" : "Herv\u00e9", "non-dropping-particle" : "", "parse-names" : false, "suffix" : "" }, { "dropping-particle" : "", "family" : "Christopher", "given" : "Baraloto", "non-dropping-particle" : "", "parse-names" : false, "suffix" : "" }, { "dropping-particle" : "", "family" : "Cerabolini", "given" : "Bruno", "non-dropping-particle" : "", "parse-names" : false, "suffix" : "" }, { "dropping-particle" : "", "family" : "Pierce", "given" : "Simon", "non-dropping-particle" : "", "parse-names" : false, "suffix" : "" }, { "dropping-particle" : "", "family" : "Shipley", "given" : "Bill", "non-dropping-particle" : "", "parse-names" : false, "suffix" : "" }, { "dropping-particle" : "", "family" : "Kirkup", "given" : "Donald", "non-dropping-particle" : "", "parse-names" : false, "suffix" : "" }, { "dropping-particle" : "", "family" : "Casanoves", "given" : "Fernando", "non-dropping-particle" : "", "parse-names" : false, "suffix" : "" }, { "dropping-particle" : "", "family" : "Joswig", "given" : "Julia S", "non-dropping-particle" : "", "parse-names" : false, "suffix" : "" }, { "dropping-particle" : "", "family" : "G\u00fcnther", "given" : "Angela", "non-dropping-particle" : "", "parse-names" : false, "suffix" : "" }, { "dropping-particle" : "", "family" : "Falczuk", "given" : "Valeria", "non-dropping-particle" : "", "parse-names" : false, "suffix" : "" }, { "dropping-particle" : "", "family" : "R\u00fcger", "given" : "Nadja", "non-dropping-particle" : "", "parse-names" : false, "suffix" : "" }, { "dropping-particle" : "", "family" : "Mahecha", "given" : "Miguel D.", "non-dropping-particle" : "", "parse-names" : false, "suffix" : "" }, { "dropping-particle" : "", "family" : "Gorn\u00e9", "given" : "Lucas D.", "non-dropping-particle" : "", "parse-names" : false, "suffix" : "" } ], "container-title" : "Nature", "id" : "ITEM-2", "issue" : "7585", "issued" : { "date-parts" : [ [ "2016" ] ] }, "page" : "167-183", "publisher" : "Nature Publishing Group", "title" : "The global spectrum of plant form and function", "type" : "article-journal", "volume" : "529" }, "uris" : [ "http://www.mendeley.com/documents/?uuid=d84a497b-53e2-43b0-be53-f5f1f48bde89" ] } ], "mendeley" : { "formattedCitation" : "(Wright &lt;i&gt;et al.&lt;/i&gt;, 2004; D\u00edaz &lt;i&gt;et al.&lt;/i&gt;, 2016)", "plainTextFormattedCitation" : "(Wright et al., 2004; D\u00edaz et al., 2016)", "previouslyFormattedCitation" : "(Wright &lt;i&gt;et al.&lt;/i&gt;, 2004; D\u00edaz &lt;i&gt;et al.&lt;/i&gt;, 2016)"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(Wright </w:t>
      </w:r>
      <w:r w:rsidRPr="002C5907">
        <w:rPr>
          <w:rFonts w:ascii="Cambria" w:hAnsi="Cambria"/>
          <w:i/>
          <w:noProof/>
        </w:rPr>
        <w:t>et al.</w:t>
      </w:r>
      <w:r w:rsidRPr="002C5907">
        <w:rPr>
          <w:rFonts w:ascii="Cambria" w:hAnsi="Cambria"/>
          <w:noProof/>
        </w:rPr>
        <w:t xml:space="preserve">, 2004; Díaz </w:t>
      </w:r>
      <w:r w:rsidRPr="002C5907">
        <w:rPr>
          <w:rFonts w:ascii="Cambria" w:hAnsi="Cambria"/>
          <w:i/>
          <w:noProof/>
        </w:rPr>
        <w:t>et al.</w:t>
      </w:r>
      <w:r w:rsidRPr="002C5907">
        <w:rPr>
          <w:rFonts w:ascii="Cambria" w:hAnsi="Cambria"/>
          <w:noProof/>
        </w:rPr>
        <w:t>, 2016)</w:t>
      </w:r>
      <w:r w:rsidRPr="00531789">
        <w:rPr>
          <w:rFonts w:ascii="Cambria" w:hAnsi="Cambria"/>
        </w:rPr>
        <w:fldChar w:fldCharType="end"/>
      </w:r>
      <w:r w:rsidRPr="00531789">
        <w:rPr>
          <w:rFonts w:ascii="Cambria" w:hAnsi="Cambria"/>
        </w:rPr>
        <w:t>.</w:t>
      </w:r>
    </w:p>
    <w:p w14:paraId="6C2F91AC" w14:textId="77777777" w:rsidR="00DF4522" w:rsidRPr="00531789" w:rsidRDefault="00DF4522" w:rsidP="00DF4522">
      <w:pPr>
        <w:spacing w:line="360" w:lineRule="auto"/>
        <w:jc w:val="both"/>
        <w:rPr>
          <w:rFonts w:ascii="Cambria" w:hAnsi="Cambria"/>
        </w:rPr>
      </w:pPr>
    </w:p>
    <w:p w14:paraId="77F459D5" w14:textId="13486E0A" w:rsidR="00DF4522" w:rsidRPr="00531789" w:rsidRDefault="00DF4522" w:rsidP="00DF4522">
      <w:pPr>
        <w:spacing w:line="360" w:lineRule="auto"/>
        <w:jc w:val="both"/>
        <w:rPr>
          <w:rFonts w:ascii="Cambria" w:hAnsi="Cambria"/>
        </w:rPr>
      </w:pPr>
      <w:r w:rsidRPr="00531789">
        <w:rPr>
          <w:rFonts w:ascii="Cambria" w:hAnsi="Cambria"/>
        </w:rPr>
        <w:t xml:space="preserve">Not only is plant growth an interesting field of study in its own right, it is also of vital importance for humanity, since we are heavily dependent on plants for food, fuel, shelter, clothing, medicines and oxygen.  Growth contributes strongly to crop yield, and in a world of food insecurity and climate change </w:t>
      </w:r>
      <w:r w:rsidRPr="00531789">
        <w:rPr>
          <w:rFonts w:ascii="Cambria" w:hAnsi="Cambria"/>
        </w:rPr>
        <w:fldChar w:fldCharType="begin" w:fldLock="1"/>
      </w:r>
      <w:r>
        <w:rPr>
          <w:rFonts w:ascii="Cambria" w:hAnsi="Cambria"/>
        </w:rPr>
        <w:instrText>ADDIN CSL_CITATION { "citationItems" : [ { "id" : "ITEM-1", "itemData" : { "abstract" : "Recent research paints an ominous picture of climate impacts on agriculture, in contrast to the relative optimism of research from the 1990s. Continued use of the earlier research findings, in economic models and policy analyses, contributes to an unwarranted complacency about the urgency of climate policy. Earlier research concluded that the initial stages of climate change would bring net benefits to global agriculture, thanks to carbon fertilization and longer growing seasons in high-latitude regions. This conclusion has been challenged in at least three respects. First, newer experimental studies have sharply reduced older estimates of carbon fertilization effects. Second, the effect of temperature on many crops has been found to involve thresholds, above which yields rapidly decline; the number of hours above the threshold is typically more important than the average temperature. Third, climate change will bring significant changes in precipitation; in a number of important areas, decreases in precipitation may cause declines in agricultural production. Simple, aggregated economic analyses of climate change have often omitted these crucial effects of precipitation. Adaptation to warmer and often drier conditions is necessary but not sufficient for agriculture. Within a few decades, business-as-usual climate change would reach levels at which adaptation is no longer possible. Emission reduction and climate stabilization are essential to any long-run solution for global agriculture.", "author" : [ { "dropping-particle" : "", "family" : "Ackerman", "given" : "Frank", "non-dropping-particle" : "", "parse-names" : false, "suffix" : "" }, { "dropping-particle" : "", "family" : "Stanton", "given" : "Elizabeth A", "non-dropping-particle" : "", "parse-names" : false, "suffix" : "" } ], "id" : "ITEM-1", "issue" : "February", "issued" : { "date-parts" : [ [ "2013" ] ] }, "number" : "13-01", "number-of-pages" : "1-17", "title" : "Climate Impacts on Agriculture: A Challenge to Complacency?", "type" : "report" }, "uris" : [ "http://www.mendeley.com/documents/?uuid=5c7297ce-2cd5-4f4b-8bb9-af0339601ee3" ] }, { "id" : "ITEM-2", "itemData" : { "DOI" : "10.1073/pnas.1424031112", "ISSN" : "0027-8424", "author" : [ { "dropping-particle" : "", "family" : "Ort", "given" : "Donald R.", "non-dropping-particle" : "", "parse-names" : false, "suffix" : "" }, { "dropping-particle" : "", "family" : "Merchant", "given" : "Sabeeha S.", "non-dropping-particle" : "", "parse-names" : false, "suffix" : "" }, { "dropping-particle" : "", "family" : "Alric", "given" : "Jean", "non-dropping-particle" : "", "parse-names" : false, "suffix" : "" }, { "dropping-particle" : "", "family" : "Barkan", "given" : "Alice", "non-dropping-particle" : "", "parse-names" : false, "suffix" : "" }, { "dropping-particle" : "", "family" : "Blankenship", "given" : "Robert E.", "non-dropping-particle" : "", "parse-names" : false, "suffix" : "" }, { "dropping-particle" : "", "family" : "Bock", "given" : "Ralph", "non-dropping-particle" : "", "parse-names" : false, "suffix" : "" }, { "dropping-particle" : "", "family" : "Croce", "given" : "Roberta", "non-dropping-particle" : "", "parse-names" : false, "suffix" : "" }, { "dropping-particle" : "", "family" : "Hanson", "given" : "Maureen R.", "non-dropping-particle" : "", "parse-names" : false, "suffix" : "" }, { "dropping-particle" : "", "family" : "Hibberd", "given" : "Julian M.", "non-dropping-particle" : "", "parse-names" : false, "suffix" : "" }, { "dropping-particle" : "", "family" : "Long", "given" : "Stephen P.", "non-dropping-particle" : "", "parse-names" : false, "suffix" : "" }, { "dropping-particle" : "", "family" : "Moore", "given" : "Thomas A.", "non-dropping-particle" : "", "parse-names" : false, "suffix" : "" }, { "dropping-particle" : "", "family" : "Moroney", "given" : "James", "non-dropping-particle" : "", "parse-names" : false, "suffix" : "" }, { "dropping-particle" : "", "family" : "Niyogi", "given" : "Krishna K.", "non-dropping-particle" : "", "parse-names" : false, "suffix" : "" }, { "dropping-particle" : "", "family" : "Parry", "given" : "Martin A. J.", "non-dropping-particle" : "", "parse-names" : false, "suffix" : "" }, { "dropping-particle" : "", "family" : "Peralta-Yahya", "given" : "Pamela P.", "non-dropping-particle" : "", "parse-names" : false, "suffix" : "" }, { "dropping-particle" : "", "family" : "Prince", "given" : "Roger C.", "non-dropping-particle" : "", "parse-names" : false, "suffix" : "" }, { "dropping-particle" : "", "family" : "Redding", "given" : "Kevin E.", "non-dropping-particle" : "", "parse-names" : false, "suffix" : "" }, { "dropping-particle" : "", "family" : "Spalding", "given" : "Martin H.", "non-dropping-particle" : "", "parse-names" : false, "suffix" : "" }, { "dropping-particle" : "", "family" : "Wijk", "given" : "Klaas J.", "non-dropping-particle" : "van", "parse-names" : false, "suffix" : "" }, { "dropping-particle" : "", "family" : "Vermaas", "given" : "Wim F. J.", "non-dropping-particle" : "", "parse-names" : false, "suffix" : "" }, { "dropping-particle" : "", "family" : "Caemmerer", "given" : "Susanne", "non-dropping-particle" : "von", "parse-names" : false, "suffix" : "" }, { "dropping-particle" : "", "family" : "Weber", "given" : "Andreas P. M.", "non-dropping-particle" : "", "parse-names" : false, "suffix" : "" }, { "dropping-particle" : "", "family" : "Yeates", "given" : "Todd O.", "non-dropping-particle" : "", "parse-names" : false, "suffix" : "" }, { "dropping-particle" : "", "family" : "Yuan", "given" : "Joshua S.", "non-dropping-particle" : "", "parse-names" : false, "suffix" : "" }, { "dropping-particle" : "", "family" : "Zhu", "given" : "Xin Guang", "non-dropping-particle" : "", "parse-names" : false, "suffix" : "" } ], "container-title" : "Proceedings of the National Academy of Sciences", "id" : "ITEM-2", "issue" : "28", "issued" : { "date-parts" : [ [ "2015" ] ] }, "page" : "8529-8536", "title" : "Redesigning photosynthesis to sustainably meet global food and bioenergy demand", "type" : "article-journal", "volume" : "112" }, "uris" : [ "http://www.mendeley.com/documents/?uuid=0bc4e791-4287-41e7-a651-3b3b894d2151" ] }, { "id" : "ITEM-3", "itemData" : { "ISBN" : "9789251085424", "author" : [ { "dropping-particle" : "", "family" : "FAO", "given" : "", "non-dropping-particle" : "", "parse-names" : false, "suffix" : "" }, { "dropping-particle" : "", "family" : "IFAD", "given" : "", "non-dropping-particle" : "", "parse-names" : false, "suffix" : "" }, { "dropping-particle" : "", "family" : "WFP.", "given" : "", "non-dropping-particle" : "", "parse-names" : false, "suffix" : "" } ], "id" : "ITEM-3", "issued" : { "date-parts" : [ [ "2014" ] ] }, "publisher-place" : "Rome, FAO.", "title" : "The State of Food Insecurity in the World. Strengthening the enabling environment for food security and nutrition.", "type" : "report" }, "uris" : [ "http://www.mendeley.com/documents/?uuid=9aa14123-98ed-4352-b7d5-911e71b17c54" ] } ], "mendeley" : { "formattedCitation" : "(Ackerman and Stanton, 2013; FAO &lt;i&gt;et al.&lt;/i&gt;, 2014; Ort &lt;i&gt;et al.&lt;/i&gt;, 2015)", "plainTextFormattedCitation" : "(Ackerman and Stanton, 2013; FAO et al., 2014; Ort et al., 2015)", "previouslyFormattedCitation" : "(Ackerman and Stanton, 2013; FAO &lt;i&gt;et al.&lt;/i&gt;, 2014; Ort &lt;i&gt;et al.&lt;/i&gt;, 2015)"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(Ackerman and Stanton, 2013; FAO </w:t>
      </w:r>
      <w:r w:rsidRPr="002C5907">
        <w:rPr>
          <w:rFonts w:ascii="Cambria" w:hAnsi="Cambria"/>
          <w:i/>
          <w:noProof/>
        </w:rPr>
        <w:t>et al.</w:t>
      </w:r>
      <w:r w:rsidRPr="002C5907">
        <w:rPr>
          <w:rFonts w:ascii="Cambria" w:hAnsi="Cambria"/>
          <w:noProof/>
        </w:rPr>
        <w:t xml:space="preserve">, 2014; Ort </w:t>
      </w:r>
      <w:r w:rsidRPr="002C5907">
        <w:rPr>
          <w:rFonts w:ascii="Cambria" w:hAnsi="Cambria"/>
          <w:i/>
          <w:noProof/>
        </w:rPr>
        <w:t>et al.</w:t>
      </w:r>
      <w:r w:rsidRPr="002C5907">
        <w:rPr>
          <w:rFonts w:ascii="Cambria" w:hAnsi="Cambria"/>
          <w:noProof/>
        </w:rPr>
        <w:t>, 2015)</w:t>
      </w:r>
      <w:r w:rsidRPr="00531789">
        <w:rPr>
          <w:rFonts w:ascii="Cambria" w:hAnsi="Cambria"/>
        </w:rPr>
        <w:fldChar w:fldCharType="end"/>
      </w:r>
      <w:r w:rsidRPr="00531789">
        <w:rPr>
          <w:rFonts w:ascii="Cambria" w:hAnsi="Cambria"/>
        </w:rPr>
        <w:t xml:space="preserve">, deepening our understanding of the factors limiting crop growth will be essential if future yields are to be maintained and increased in the face of environmental change.  The supply and demand for resources is, just as in our global economy, a critical system underpinning growth and survival in the micro-economy that exists within each plant.  Source tissues provide net intake of resources from the environment and have a net export of these resources to the rest of the plant; sink tissues have a net uptake of resources from the source.  During vegetative growth, leaves are net sources for carbon and roots are net sinks, whilst the opposite is true for nitrogen, and the finely-tuned balance between source and sink activity is a vital influence on plant growth </w:t>
      </w:r>
      <w:r w:rsidRPr="00531789">
        <w:rPr>
          <w:rFonts w:ascii="Cambria" w:hAnsi="Cambria"/>
        </w:rPr>
        <w:fldChar w:fldCharType="begin" w:fldLock="1"/>
      </w:r>
      <w:r w:rsidR="009133B6">
        <w:rPr>
          <w:rFonts w:ascii="Cambria" w:hAnsi="Cambria"/>
        </w:rPr>
        <w:instrText>ADDIN CSL_CITATION { "citationItems" : [ { "id" : "ITEM-1", "itemData" : { "DOI" : "10.1093/jxb/erv447", "ISSN" : "0022-0957", "author" : [ { "dropping-particle" : "", "family" : "White",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"Journal of Experimental Botany", "id" : "ITEM-1", "issue" : "1", "issued" : { "date-parts" : [ [ "2016" ] ] }, "page" : "31-45", "title" : "How can we make plants grow faster? A source\u2013sink perspective on growth rate", "type" : "article-journal", "volume" : "67" }, "uris" : [ "http://www.mendeley.com/documents/?uuid=071fcd57-e076-410e-903a-444abfb30785" ] } ], "mendeley" : { "formattedCitation" : "(White &lt;i&gt;et al.&lt;/i&gt;, 2016)", "manualFormatting" : "(White et al., 2016; Chapter 2)", "plainTextFormattedCitation" : "(White et al., 2016)", "previouslyFormattedCitation" : "(White &lt;i&gt;et al.&lt;/i&gt;, 2016)" }, "properties" : { "noteIndex" : 0 }, "schema" : "https://github.com/citation-style-language/schema/raw/master/csl-citation.json" }</w:instrText>
      </w:r>
      <w:r w:rsidRPr="00531789">
        <w:rPr>
          <w:rFonts w:ascii="Cambria" w:hAnsi="Cambria"/>
        </w:rPr>
        <w:fldChar w:fldCharType="separate"/>
      </w:r>
      <w:r w:rsidRPr="00E410AA">
        <w:rPr>
          <w:rFonts w:ascii="Cambria" w:hAnsi="Cambria"/>
          <w:noProof/>
        </w:rPr>
        <w:t xml:space="preserve">(White </w:t>
      </w:r>
      <w:r w:rsidRPr="00E410AA">
        <w:rPr>
          <w:rFonts w:ascii="Cambria" w:hAnsi="Cambria"/>
          <w:i/>
          <w:noProof/>
        </w:rPr>
        <w:t>et al.</w:t>
      </w:r>
      <w:r w:rsidRPr="00E410AA">
        <w:rPr>
          <w:rFonts w:ascii="Cambria" w:hAnsi="Cambria"/>
          <w:noProof/>
        </w:rPr>
        <w:t xml:space="preserve">, </w:t>
      </w:r>
      <w:r w:rsidR="000055CC">
        <w:rPr>
          <w:rFonts w:ascii="Cambria" w:hAnsi="Cambria"/>
          <w:noProof/>
        </w:rPr>
        <w:t>2016</w:t>
      </w:r>
      <w:r>
        <w:rPr>
          <w:rFonts w:ascii="Cambria" w:hAnsi="Cambria"/>
          <w:noProof/>
        </w:rPr>
        <w:t>; Chapter 2</w:t>
      </w:r>
      <w:r w:rsidRPr="00E410AA">
        <w:rPr>
          <w:rFonts w:ascii="Cambria" w:hAnsi="Cambria"/>
          <w:noProof/>
        </w:rPr>
        <w:t>)</w:t>
      </w:r>
      <w:r w:rsidRPr="00531789">
        <w:rPr>
          <w:rFonts w:ascii="Cambria" w:hAnsi="Cambria"/>
        </w:rPr>
        <w:fldChar w:fldCharType="end"/>
      </w:r>
      <w:r w:rsidRPr="00531789">
        <w:rPr>
          <w:rFonts w:ascii="Cambria" w:hAnsi="Cambria"/>
        </w:rPr>
        <w:t xml:space="preserve">.  </w:t>
      </w:r>
    </w:p>
    <w:p w14:paraId="74274560" w14:textId="77777777" w:rsidR="00DF4522" w:rsidRPr="00531789" w:rsidRDefault="00DF4522" w:rsidP="00DF4522">
      <w:pPr>
        <w:spacing w:line="360" w:lineRule="auto"/>
        <w:jc w:val="both"/>
        <w:rPr>
          <w:rFonts w:ascii="Cambria" w:hAnsi="Cambria"/>
        </w:rPr>
      </w:pPr>
    </w:p>
    <w:p w14:paraId="219D5D9A" w14:textId="77777777" w:rsidR="00DF4522" w:rsidRPr="00531789" w:rsidRDefault="00DF4522" w:rsidP="00DF4522">
      <w:pPr>
        <w:spacing w:line="360" w:lineRule="auto"/>
        <w:jc w:val="both"/>
        <w:rPr>
          <w:rFonts w:ascii="Cambria" w:hAnsi="Cambria"/>
        </w:rPr>
      </w:pPr>
      <w:r w:rsidRPr="00531789">
        <w:rPr>
          <w:rFonts w:ascii="Cambria" w:hAnsi="Cambria"/>
        </w:rPr>
        <w:t xml:space="preserve">Myriad research efforts, including </w:t>
      </w:r>
      <w:r>
        <w:rPr>
          <w:rFonts w:ascii="Cambria" w:hAnsi="Cambria"/>
        </w:rPr>
        <w:t>a number</w:t>
      </w:r>
      <w:r w:rsidRPr="00531789">
        <w:rPr>
          <w:rFonts w:ascii="Cambria" w:hAnsi="Cambria"/>
        </w:rPr>
        <w:t xml:space="preserve"> of global consortia, have been concentrated on the improvement of crops, investigating how yields may be increased and crops may be safeguarded against future climate change </w:t>
      </w:r>
      <w:r w:rsidRPr="00531789">
        <w:rPr>
          <w:rFonts w:ascii="Cambria" w:hAnsi="Cambria"/>
        </w:rPr>
        <w:fldChar w:fldCharType="begin" w:fldLock="1"/>
      </w:r>
      <w:r>
        <w:rPr>
          <w:rFonts w:ascii="Cambria" w:hAnsi="Cambria"/>
        </w:rPr>
        <w:instrText>ADDIN CSL_CITATION { "citationItems" : [ { "id" : "ITEM-1", "itemData" : { "DOI" : "10.1111/j.1365-3040.2012.02588.x", "ISSN" : "1365-3040", "PMID" : "22860982", "abstract" : "Wheat provides 20% of calories and protein consumed by humans. Recent genetic gains are &lt;1% per annum (p.a.), insufficient to meet future demand. The Wheat Yield Consortium brings expertise in photosynthesis, crop adaptation and genetics to a common breeding platform. Theory suggest radiation use efficiency (RUE) of wheat could be increased \u223c50%; strategies include modifying specificity, catalytic rate and regulation of Rubisco, up-regulating Calvin cycle enzymes, introducing chloroplast CO(2) concentrating mechanisms, optimizing light and N distribution of canopies while minimizing photoinhibition, and increasing spike photosynthesis. Maximum yield expression will also require dynamic optimization of source: sink so that dry matter partitioning to reproductive structures is not at the cost of the roots, stems and leaves needed to maintain physiological and structural integrity. Crop development should favour spike fertility to maximize harvest index so phenology must be tailored to different photoperiods, and sensitivity to unpredictable weather must be modulated to reduce conservative responses that reduce harvest index. Strategic crossing of complementary physiological traits will be augmented with wide crossing, while genome-wide selection and high throughput phenotyping and genotyping will increase efficiency of progeny screening. To ensure investment in breeding achieves agronomic impact, sustainable crop management must also be promoted through crop improvement networks.", "author" : [ { "dropping-particle" : "", "family" : "Reynolds", "given" : "Matthew", "non-dropping-particle" : "", "parse-names" : false, "suffix" : "" }, { "dropping-particle" : "", "family" : "Foulkes", "given" : "John", "non-dropping-particle" : "", "parse-names" : false, "suffix" : "" }, { "dropping-particle" : "", "family" : "Furbank", "given" : "Robert", "non-dropping-particle" : "", "parse-names" : false, "suffix" : "" }, { "dropping-particle" : "", "family" : "Griffiths", "given" : "Simon", "non-dropping-particle" : "", "parse-names" : false, "suffix" : "" }, { "dropping-particle" : "", "family" : "King", "given" : "Julie", "non-dropping-particle" : "", "parse-names" : false, "suffix" : "" }, { "dropping-particle" : "", "family" : "Murchie", "given" : "Erik", "non-dropping-particle" : "", "parse-names" : false, "suffix" : "" }, { "dropping-particle" : "", "family" : "Parry", "given" : "Martin", "non-dropping-particle" : "", "parse-names" : false, "suffix" : "" }, { "dropping-particle" : "", "family" : "Slafer", "given" : "Gustavo", "non-dropping-particle" : "", "parse-names" : false, "suffix" : "" } ], "container-title" : "Plant, Cell &amp; Environment", "id" : "ITEM-1", "issue" : "10", "issued" : { "date-parts" : [ [ "2012", "10" ] ] }, "page" : "1799-1823", "title" : "Achieving yield gains in wheat.", "type" : "article-journal", "volume" : "35" }, "uris" : [ "http://www.mendeley.com/documents/?uuid=6c6afd16-ef8e-4b75-a4e7-35772b7ff51f" ] }, { "id" : "ITEM-2", "itemData" : { "DOI" : "10.1073/pnas.1424031112", "ISSN" : "0027-8424", "author" : [ { "dropping-particle" : "", "family" : "Ort", "given" : "Donald R.", "non-dropping-particle" : "", "parse-names" : false, "suffix" : "" }, { "dropping-particle" : "", "family" : "Merchant", "given" : "Sabeeha S.", "non-dropping-particle" : "", "parse-names" : false, "suffix" : "" }, { "dropping-particle" : "", "family" : "Alric", "given" : "Jean", "non-dropping-particle" : "", "parse-names" : false, "suffix" : "" }, { "dropping-particle" : "", "family" : "Barkan", "given" : "Alice", "non-dropping-particle" : "", "parse-names" : false, "suffix" : "" }, { "dropping-particle" : "", "family" : "Blankenship", "given" : "Robert E.", "non-dropping-particle" : "", "parse-names" : false, "suffix" : "" }, { "dropping-particle" : "", "family" : "Bock", "given" : "Ralph", "non-dropping-particle" : "", "parse-names" : false, "suffix" : "" }, { "dropping-particle" : "", "family" : "Croce", "given" : "Roberta", "non-dropping-particle" : "", "parse-names" : false, "suffix" : "" }, { "dropping-particle" : "", "family" : "Hanson", "given" : "Maureen R.", "non-dropping-particle" : "", "parse-names" : false, "suffix" : "" }, { "dropping-particle" : "", "family" : "Hibberd", "given" : "Julian M.", "non-dropping-particle" : "", "parse-names" : false, "suffix" : "" }, { "dropping-particle" : "", "family" : "Long", "given" : "Stephen P.", "non-dropping-particle" : "", "parse-names" : false, "suffix" : "" }, { "dropping-particle" : "", "family" : "Moore", "given" : "Thomas A.", "non-dropping-particle" : "", "parse-names" : false, "suffix" : "" }, { "dropping-particle" : "", "family" : "Moroney", "given" : "James", "non-dropping-particle" : "", "parse-names" : false, "suffix" : "" }, { "dropping-particle" : "", "family" : "Niyogi", "given" : "Krishna K.", "non-dropping-particle" : "", "parse-names" : false, "suffix" : "" }, { "dropping-particle" : "", "family" : "Parry", "given" : "Martin A. J.", "non-dropping-particle" : "", "parse-names" : false, "suffix" : "" }, { "dropping-particle" : "", "family" : "Peralta-Yahya", "given" : "Pamela P.", "non-dropping-particle" : "", "parse-names" : false, "suffix" : "" }, { "dropping-particle" : "", "family" : "Prince", "given" : "Roger C.", "non-dropping-particle" : "", "parse-names" : false, "suffix" : "" }, { "dropping-particle" : "", "family" : "Redding", "given" : "Kevin E.", "non-dropping-particle" : "", "parse-names" : false, "suffix" : "" }, { "dropping-particle" : "", "family" : "Spalding", "given" : "Martin H.", "non-dropping-particle" : "", "parse-names" : false, "suffix" : "" }, { "dropping-particle" : "", "family" : "Wijk", "given" : "Klaas J.", "non-dropping-particle" : "van", "parse-names" : false, "suffix" : "" }, { "dropping-particle" : "", "family" : "Vermaas", "given" : "Wim F. J.", "non-dropping-particle" : "", "parse-names" : false, "suffix" : "" }, { "dropping-particle" : "", "family" : "Caemmerer", "given" : "Susanne", "non-dropping-particle" : "von", "parse-names" : false, "suffix" : "" }, { "dropping-particle" : "", "family" : "Weber", "given" : "Andreas P. M.", "non-dropping-particle" : "", "parse-names" : false, "suffix" : "" }, { "dropping-particle" : "", "family" : "Yeates", "given" : "Todd O.", "non-dropping-particle" : "", "parse-names" : false, "suffix" : "" }, { "dropping-particle" : "", "family" : "Yuan", "given" : "Joshua S.", "non-dropping-particle" : "", "parse-names" : false, "suffix" : "" }, { "dropping-particle" : "", "family" : "Zhu", "given" : "Xin Guang", "non-dropping-particle" : "", "parse-names" : false, "suffix" : "" } ], "container-title" : "Proceedings of the National Academy of Sciences", "id" : "ITEM-2", "issue" : "28", "issued" : { "date-parts" : [ [ "2015" ] ] }, "page" : "8529-8536", "title" : "Redesigning photosynthesis to sustainably meet global food and bioenergy demand", "type" : "article-journal", "volume" : "112" }, "uris" : [ "http://www.mendeley.com/documents/?uuid=0bc4e791-4287-41e7-a651-3b3b894d2151" ] }, { "id" : "ITEM-3", "itemData" : { "DOI" : "10.1126/science.1220177", "ISSN" : "1095-9203", "PMID" : "22745421", "abstract" : "Another \"green revolution\" is needed for crop yields to meet demands for food. The international C(4) Rice Consortium is working toward introducing a higher-capacity photosynthetic mechanism--the C(4) pathway--into rice to increase yield. The goal is to identify the genes necessary to install C(4) photosynthesis in rice through different approaches, including genomic and transcriptional sequence comparisons and mutant screening.", "author" : [ { "dropping-particle" : "", "family" : "Caemmerer", "given" : "Susanne", "non-dropping-particle" : "von", "parse-names" : false, "suffix" : "" }, { "dropping-particle" : "", "family" : "Quick", "given" : "W Paul", "non-dropping-particle" : "", "parse-names" : false, "suffix" : "" }, { "dropping-particle" : "", "family" : "Furbank", "given" : "Robert T", "non-dropping-particle" : "", "parse-names" : false, "suffix" : "" } ], "container-title" : "Science", "id" : "ITEM-3", "issue" : "6089", "issued" : { "date-parts" : [ [ "2012", "6", "29" ] ] }, "page" : "1671-2", "title" : "The development of C4 rice: current progress and future challenges.", "type" : "article-journal", "volume" : "336" }, "uris" : [ "http://www.mendeley.com/documents/?uuid=731fc3cf-d38b-4c78-abf9-503120c7324d" ] } ], "mendeley" : { "formattedCitation" : "(von Caemmerer &lt;i&gt;et al.&lt;/i&gt;, 2012; Reynolds &lt;i&gt;et al.&lt;/i&gt;, 2012; Ort &lt;i&gt;et al.&lt;/i&gt;, 2015)", "manualFormatting" : "(e.g. von Caemmerer et al., 2012; Reynolds et al., 2012; Ort et al., 2015)", "plainTextFormattedCitation" : "(von Caemmerer et al., 2012; Reynolds et al., 2012; Ort et al., 2015)", "previouslyFormattedCitation" : "(von Caemmerer &lt;i&gt;et al.&lt;/i&gt;, 2012; Reynolds &lt;i&gt;et al.&lt;/i&gt;, 2012; Ort &lt;i&gt;et al.&lt;/i&gt;, 2015)"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 xml:space="preserve">(e.g. von Caemmerer </w:t>
      </w:r>
      <w:r w:rsidRPr="00531789">
        <w:rPr>
          <w:rFonts w:ascii="Cambria" w:hAnsi="Cambria"/>
          <w:i/>
          <w:noProof/>
        </w:rPr>
        <w:t>et al.</w:t>
      </w:r>
      <w:r w:rsidRPr="00531789">
        <w:rPr>
          <w:rFonts w:ascii="Cambria" w:hAnsi="Cambria"/>
          <w:noProof/>
        </w:rPr>
        <w:t xml:space="preserve">, 2012; Reynolds </w:t>
      </w:r>
      <w:r w:rsidRPr="00531789">
        <w:rPr>
          <w:rFonts w:ascii="Cambria" w:hAnsi="Cambria"/>
          <w:i/>
          <w:noProof/>
        </w:rPr>
        <w:t>et al.</w:t>
      </w:r>
      <w:r w:rsidRPr="00531789">
        <w:rPr>
          <w:rFonts w:ascii="Cambria" w:hAnsi="Cambria"/>
          <w:noProof/>
        </w:rPr>
        <w:t xml:space="preserve">, 2012; Ort </w:t>
      </w:r>
      <w:r w:rsidRPr="00531789">
        <w:rPr>
          <w:rFonts w:ascii="Cambria" w:hAnsi="Cambria"/>
          <w:i/>
          <w:noProof/>
        </w:rPr>
        <w:t>et al.</w:t>
      </w:r>
      <w:r w:rsidRPr="00531789">
        <w:rPr>
          <w:rFonts w:ascii="Cambria" w:hAnsi="Cambria"/>
          <w:noProof/>
        </w:rPr>
        <w:t>, 2015)</w:t>
      </w:r>
      <w:r w:rsidRPr="00531789">
        <w:rPr>
          <w:rFonts w:ascii="Cambria" w:hAnsi="Cambria"/>
        </w:rPr>
        <w:fldChar w:fldCharType="end"/>
      </w:r>
      <w:r w:rsidRPr="00531789">
        <w:rPr>
          <w:rFonts w:ascii="Cambria" w:hAnsi="Cambria"/>
        </w:rPr>
        <w:t xml:space="preserve"> and although many of these focus primarily on improving carbon source capacity </w:t>
      </w:r>
      <w:r w:rsidRPr="0079342F">
        <w:rPr>
          <w:rFonts w:ascii="Cambria" w:hAnsi="Cambria"/>
          <w:i/>
        </w:rPr>
        <w:t>via</w:t>
      </w:r>
      <w:r w:rsidRPr="00531789">
        <w:rPr>
          <w:rFonts w:ascii="Cambria" w:hAnsi="Cambria"/>
        </w:rPr>
        <w:t xml:space="preserve"> photosynthesis, there has also been significant research into the need for sink improvement in concert with source development </w:t>
      </w:r>
      <w:r w:rsidRPr="00531789">
        <w:rPr>
          <w:rFonts w:ascii="Cambria" w:hAnsi="Cambria"/>
        </w:rPr>
        <w:fldChar w:fldCharType="begin" w:fldLock="1"/>
      </w:r>
      <w:r>
        <w:rPr>
          <w:rFonts w:ascii="Cambria" w:hAnsi="Cambria"/>
        </w:rPr>
        <w:instrText>ADDIN CSL_CITATION { "citationItems" : [ { "id" : "ITEM-1", "itemData" : { "DOI" : "10.1093/jxb/erq300", "ISSN" : "1460-2431", "PMID" : "20952627", "abstract" : "A substantial increase in grain yield potential is required, along with better use of water and fertilizer, to ensure food security and environmental protection in future decades. For improvements in photosynthetic capacity to result in additional wheat yield, extra assimilates must be partitioned to developing spikes and grains and/or potential grain weight increased to accommodate the extra assimilates. At the same time, improvement in dry matter partitioning to spikes should ensure that it does not increase stem or root lodging. It is therefore crucial that improvements in structural and reproductive aspects of growth accompany increases in photosynthesis to enhance the net agronomic benefits of genetic modifications. In this article, six complementary approaches are proposed, namely: (i) optimizing developmental pattern to maximize spike fertility and grain number, (ii) optimizing spike growth to maximize grain number and dry matter harvest index, (iii) improving spike fertility through desensitizing floret abortion to environmental cues, (iv) improving potential grain size and grain filling, and (v) improving lodging resistance. Since many of the traits tackled in these approaches interact strongly, an integrative modelling approach is also proposed, to (vi) identify any trade-offs between key traits, hence to define target ideotypes in quantitative terms. The potential for genetic dissection of key traits via quantitative trait loci analysis is discussed for the efficient deployment of existing variation in breeding programmes. These proposals should maximize returns in food production from investments in increased crop biomass by increasing spike fertility, grain number per unit area and harvest index whilst optimizing the trade-offs with potential grain weight and lodging resistance.", "author" : [ { "dropping-particle" : "", "family" : "Foulkes", "given" : "M John", "non-dropping-particle" : "", "parse-names" : false, "suffix" : "" }, { "dropping-particle" : "", "family" : "Slafer", "given" : "Gustavo A", "non-dropping-particle" : "", "parse-names" : false, "suffix" : "" }, { "dropping-particle" : "", "family" : "Davies", "given" : "William J", "non-dropping-particle" : "", "parse-names" : false, "suffix" : "" }, { "dropping-particle" : "", "family" : "Berry", "given" : "Pete M", "non-dropping-particle" : "", "parse-names" : false, "suffix" : "" }, { "dropping-particle" : "", "family" : "Sylvester-Bradley", "given" : "Roger", "non-dropping-particle" : "", "parse-names" : false, "suffix" : "" }, { "dropping-particle" : "", "family" : "Martre", "given" : "Pierre", "non-dropping-particle" : "", "parse-names" : false, "suffix" : "" }, { "dropping-particle" : "", "family" : "Calderini", "given" : "Daniel F", "non-dropping-particle" : "", "parse-names" : false, "suffix" : "" }, { "dropping-particle" : "", "family" : "Griffiths", "given" : "Simon", "non-dropping-particle" : "", "parse-names" : false, "suffix" : "" }, { "dropping-particle" : "", "family" : "Reynolds", "given" : "Matthew P", "non-dropping-particle" : "", "parse-names" : false, "suffix" : "" } ], "container-title" : "Journal of Experimental Botany", "id" : "ITEM-1", "issue" : "2", "issued" : { "date-parts" : [ [ "2011", "1" ] ] }, "page" : "469-86", "title" : "Raising yield potential of wheat. III. Optimizing partitioning to grain while maintaining lodging resistance.", "type" : "article-journal", "volume" : "62" }, "uris" : [ "http://www.mendeley.com/documents/?uuid=c14691dd-6133-4c29-a786-2265a333692d" ] } ], "mendeley" : { "formattedCitation" : "(Foulkes &lt;i&gt;et al.&lt;/i&gt;, 2011)", "manualFormatting" : "(e.g. Foulkes et al., 2011)", "plainTextFormattedCitation" : "(Foulkes et al., 2011)", "previouslyFormattedCitation" : "(Foulkes &lt;i&gt;et al.&lt;/i&gt;, 2011)"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 xml:space="preserve">(e.g. Foulkes </w:t>
      </w:r>
      <w:r w:rsidRPr="00531789">
        <w:rPr>
          <w:rFonts w:ascii="Cambria" w:hAnsi="Cambria"/>
          <w:i/>
          <w:noProof/>
        </w:rPr>
        <w:t>et al.</w:t>
      </w:r>
      <w:r w:rsidRPr="00531789">
        <w:rPr>
          <w:rFonts w:ascii="Cambria" w:hAnsi="Cambria"/>
          <w:noProof/>
        </w:rPr>
        <w:t>, 2011)</w:t>
      </w:r>
      <w:r w:rsidRPr="00531789">
        <w:rPr>
          <w:rFonts w:ascii="Cambria" w:hAnsi="Cambria"/>
        </w:rPr>
        <w:fldChar w:fldCharType="end"/>
      </w:r>
      <w:r w:rsidRPr="00531789">
        <w:rPr>
          <w:rFonts w:ascii="Cambria" w:hAnsi="Cambria"/>
        </w:rPr>
        <w:t>.  However, different disciplines define growth in very different ways and a framework for using source-sink interactions to underpin and therefore unite different perspectives on growth has not previously been established.</w:t>
      </w:r>
    </w:p>
    <w:p w14:paraId="2D1C9BD0" w14:textId="77777777" w:rsidR="00DF4522" w:rsidRPr="00531789" w:rsidRDefault="00DF4522" w:rsidP="00DF4522">
      <w:pPr>
        <w:spacing w:line="360" w:lineRule="auto"/>
        <w:jc w:val="both"/>
        <w:rPr>
          <w:rFonts w:ascii="Cambria" w:hAnsi="Cambria"/>
        </w:rPr>
      </w:pPr>
    </w:p>
    <w:p w14:paraId="3D923D40" w14:textId="094D6501" w:rsidR="00DF4522" w:rsidRPr="00531789" w:rsidRDefault="00DF4522" w:rsidP="00DF4522">
      <w:pPr>
        <w:spacing w:line="360" w:lineRule="auto"/>
        <w:jc w:val="both"/>
        <w:rPr>
          <w:rFonts w:ascii="Cambria" w:hAnsi="Cambria"/>
        </w:rPr>
      </w:pPr>
      <w:r w:rsidRPr="00531789">
        <w:rPr>
          <w:rFonts w:ascii="Cambria" w:hAnsi="Cambria"/>
        </w:rPr>
        <w:t xml:space="preserve">Furthermore, whilst a range of experimental manipulations has been used to probe the relative contribution of source and sink to growth – including alterations of substrate availability, removal or inactivation of source or sink tissues, and genetic modification </w:t>
      </w:r>
      <w:r w:rsidRPr="00531789">
        <w:rPr>
          <w:rFonts w:ascii="Cambria" w:hAnsi="Cambria"/>
        </w:rPr>
        <w:fldChar w:fldCharType="begin" w:fldLock="1"/>
      </w:r>
      <w:r w:rsidR="009133B6">
        <w:rPr>
          <w:rFonts w:ascii="Cambria" w:hAnsi="Cambria"/>
        </w:rPr>
        <w:instrText>ADDIN CSL_CITATION { "citationItems" : [ { "id" : "ITEM-1", "itemData" : { "DOI" : "10.1093/jxb/erv447", "ISSN" : "0022-0957", "author" : [ { "dropping-particle" : "", "family" : "White",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"Journal of Experimental Botany", "id" : "ITEM-1", "issue" : "1", "issued" : { "date-parts" : [ [ "2016" ] ] }, "page" : "31-45", "title" : "How can we make plants grow faster? A source\u2013sink perspective on growth rate", "type" : "article-journal", "volume" : "67" }, "uris" : [ "http://www.mendeley.com/documents/?uuid=071fcd57-e076-410e-903a-444abfb30785" ] } ], "mendeley" : { "formattedCitation" : "(White &lt;i&gt;et al.&lt;/i&gt;, 2016)", "manualFormatting" : "(reviewed by White et al., 2016)", "plainTextFormattedCitation" : "(White et al., 2016)", "previouslyFormattedCitation" : "(White &lt;i&gt;et al.&lt;/i&gt;, 2016)"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 xml:space="preserve">(reviewed by White </w:t>
      </w:r>
      <w:r w:rsidRPr="00531789">
        <w:rPr>
          <w:rFonts w:ascii="Cambria" w:hAnsi="Cambria"/>
          <w:i/>
          <w:noProof/>
        </w:rPr>
        <w:t>et al.</w:t>
      </w:r>
      <w:r w:rsidRPr="00531789">
        <w:rPr>
          <w:rFonts w:ascii="Cambria" w:hAnsi="Cambria"/>
          <w:noProof/>
        </w:rPr>
        <w:t xml:space="preserve">, </w:t>
      </w:r>
      <w:r w:rsidR="000055CC">
        <w:rPr>
          <w:rFonts w:ascii="Cambria" w:hAnsi="Cambria"/>
          <w:noProof/>
        </w:rPr>
        <w:t>2016</w:t>
      </w:r>
      <w:r w:rsidRPr="00531789">
        <w:rPr>
          <w:rFonts w:ascii="Cambria" w:hAnsi="Cambria"/>
          <w:noProof/>
        </w:rPr>
        <w:t>)</w:t>
      </w:r>
      <w:r w:rsidRPr="00531789">
        <w:rPr>
          <w:rFonts w:ascii="Cambria" w:hAnsi="Cambria"/>
        </w:rPr>
        <w:fldChar w:fldCharType="end"/>
      </w:r>
      <w:r w:rsidRPr="00531789">
        <w:rPr>
          <w:rFonts w:ascii="Cambria" w:hAnsi="Cambria"/>
        </w:rPr>
        <w:t xml:space="preserve"> – such experiments have generally focused on carbon.  However, both carbon and nitrogen are important resources for plant growth, being the two mineral nutrients required in largest quantities </w:t>
      </w:r>
      <w:r w:rsidRPr="00531789">
        <w:rPr>
          <w:rFonts w:ascii="Cambria" w:hAnsi="Cambria"/>
        </w:rPr>
        <w:fldChar w:fldCharType="begin" w:fldLock="1"/>
      </w:r>
      <w:r>
        <w:rPr>
          <w:rFonts w:ascii="Cambria" w:hAnsi="Cambria"/>
        </w:rPr>
        <w:instrText>ADDIN CSL_CITATION { "citationItems" : [ { "id" : "ITEM-1", "itemData" : { "DOI" : "10.1016/j.tplants.2006.07.004", "ISBN" : "1360-1385 (Print)\\n1360-1385 (Linking)", "ISSN" : "13601385", "PMID" : "16899391", "abstract" : "Inorganic nitrogen is a substrate for nitrogen assimilation and also functions as a signal triggering widespread changes in gene expression that modulate metabolism and development. To integrate the actions of the nitrogen signal at the whole plant level, plants use multiple signaling routes that communicate internal and external nitrogen status. One route depends on nitrate itself and one uses cytokinin as a messenger. Recent genome-wide research has shown that the nitrate-specific signal regulates a wide variety of metabolic processes including nitrogen and carbon metabolism, and cytokinin biosynthesis. Cytokinin-mediated signaling is related to the control of development, protein synthesis and acquisition of macronutrients. The coordination and interaction of both regulatory pathways is important for normal plant growth under variable nitrogen supply conditions. ?? 2006 Elsevier Ltd. All rights reserved.", "author" : [ { "dropping-particle" : "", "family" : "Sakakibara", "given" : "Hitoshi", "non-dropping-particle" : "", "parse-names" : false, "suffix" : "" }, { "dropping-particle" : "", "family" : "Takei", "given" : "Kentaro", "non-dropping-particle" : "", "parse-names" : false, "suffix" : "" }, { "dropping-particle" : "", "family" : "Hirose", "given" : "Naoya", "non-dropping-particle" : "", "parse-names" : false, "suffix" : "" } ], "container-title" : "Trends in Plant Science", "id" : "ITEM-1", "issue" : "9", "issued" : { "date-parts" : [ [ "2006" ] ] }, "page" : "440-448", "title" : "Interactions between nitrogen and cytokinin in the regulation of metabolism and development", "type" : "article-journal", "volume" : "11" }, "uris" : [ "http://www.mendeley.com/documents/?uuid=fb0fbb3f-7134-4fb3-bf61-b11f1eb73a85" ] } ], "mendeley" : { "formattedCitation" : "(Sakakibara &lt;i&gt;et al.&lt;/i&gt;, 2006)", "plainTextFormattedCitation" : "(Sakakibara et al., 2006)", "previouslyFormattedCitation" : "(Sakakibara &lt;i&gt;et al.&lt;/i&gt;, 2006)"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(Sakakibara </w:t>
      </w:r>
      <w:r w:rsidRPr="002C5907">
        <w:rPr>
          <w:rFonts w:ascii="Cambria" w:hAnsi="Cambria"/>
          <w:i/>
          <w:noProof/>
        </w:rPr>
        <w:t>et al.</w:t>
      </w:r>
      <w:r w:rsidRPr="002C5907">
        <w:rPr>
          <w:rFonts w:ascii="Cambria" w:hAnsi="Cambria"/>
          <w:noProof/>
        </w:rPr>
        <w:t>, 2006)</w:t>
      </w:r>
      <w:r w:rsidRPr="00531789">
        <w:rPr>
          <w:rFonts w:ascii="Cambria" w:hAnsi="Cambria"/>
        </w:rPr>
        <w:fldChar w:fldCharType="end"/>
      </w:r>
      <w:r w:rsidRPr="00531789">
        <w:rPr>
          <w:rFonts w:ascii="Cambria" w:hAnsi="Cambria"/>
        </w:rPr>
        <w:t xml:space="preserve">, and there is significant crosstalk between </w:t>
      </w:r>
      <w:r>
        <w:rPr>
          <w:rFonts w:ascii="Cambria" w:hAnsi="Cambria"/>
        </w:rPr>
        <w:t xml:space="preserve">signalling pathways for </w:t>
      </w:r>
      <w:r w:rsidRPr="00531789">
        <w:rPr>
          <w:rFonts w:ascii="Cambria" w:hAnsi="Cambria"/>
        </w:rPr>
        <w:t>the</w:t>
      </w:r>
      <w:r>
        <w:rPr>
          <w:rFonts w:ascii="Cambria" w:hAnsi="Cambria"/>
        </w:rPr>
        <w:t>se</w:t>
      </w:r>
      <w:r w:rsidRPr="00531789">
        <w:rPr>
          <w:rFonts w:ascii="Cambria" w:hAnsi="Cambria"/>
        </w:rPr>
        <w:t xml:space="preserve"> two</w:t>
      </w:r>
      <w:r>
        <w:rPr>
          <w:rFonts w:ascii="Cambria" w:hAnsi="Cambria"/>
        </w:rPr>
        <w:t xml:space="preserve"> elements</w:t>
      </w:r>
      <w:r w:rsidRPr="00531789">
        <w:rPr>
          <w:rFonts w:ascii="Cambria" w:hAnsi="Cambria"/>
        </w:rPr>
        <w:t xml:space="preserve"> </w:t>
      </w:r>
      <w:r w:rsidRPr="00531789">
        <w:rPr>
          <w:rFonts w:ascii="Cambria" w:hAnsi="Cambria"/>
        </w:rPr>
        <w:fldChar w:fldCharType="begin" w:fldLock="1"/>
      </w:r>
      <w:r>
        <w:rPr>
          <w:rFonts w:ascii="Cambria" w:hAnsi="Cambria"/>
        </w:rPr>
        <w:instrText>ADDIN CSL_CITATION { "citationItems" : [ { "id" : "ITEM-1", "itemData" : { "DOI" : "10.1046/j.1365-3040.1999.00386.x", "ISSN" : "0140-7791", "author" : [ { "dropping-particle" : "", "family" : "Stitt", "given" : "M.", "non-dropping-particle" : "", "parse-names" : false, "suffix" : "" }, { "dropping-particle" : "", "family" : "Krapp", "given" : "A.", "non-dropping-particle" : "", "parse-names" : false, "suffix" : "" } ], "container-title" : "Plant, Cell &amp; Environment", "id" : "ITEM-1", "issue" : "6", "issued" : { "date-parts" : [ [ "1999", "6" ] ] }, "page" : "583-621", "title" : "The interaction between elevated carbon dioxide and nitrogen nutrition: the physiological and molecular background", "type" : "article-journal", "volume" : "22" }, "uris" : [ "http://www.mendeley.com/documents/?uuid=12d0f917-f3d6-43c6-92fa-0d13f38659a0" ] } ], "mendeley" : { "formattedCitation" : "(Stitt and Krapp, 1999)", "plainTextFormattedCitation" : "(Stitt and Krapp, 1999)", "previouslyFormattedCitation" : "(Stitt and Krapp, 1999)"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(Stitt and Krapp, 1999)</w:t>
      </w:r>
      <w:r w:rsidRPr="00531789">
        <w:rPr>
          <w:rFonts w:ascii="Cambria" w:hAnsi="Cambria"/>
        </w:rPr>
        <w:fldChar w:fldCharType="end"/>
      </w:r>
      <w:r w:rsidRPr="00531789">
        <w:rPr>
          <w:rFonts w:ascii="Cambria" w:hAnsi="Cambria"/>
        </w:rPr>
        <w:t xml:space="preserve">.  A view encompassing sources and sinks for carbon and nitrogen is therefore important if we are to improve the growth and yield of crops effectively for future harvests.  </w:t>
      </w:r>
    </w:p>
    <w:p w14:paraId="2E448D0E" w14:textId="77777777" w:rsidR="00DF4522" w:rsidRPr="00531789" w:rsidRDefault="00DF4522" w:rsidP="00DF4522">
      <w:pPr>
        <w:spacing w:line="360" w:lineRule="auto"/>
        <w:jc w:val="both"/>
        <w:rPr>
          <w:rFonts w:ascii="Cambria" w:hAnsi="Cambria"/>
        </w:rPr>
      </w:pPr>
    </w:p>
    <w:p w14:paraId="16E40C88" w14:textId="77777777" w:rsidR="00DF4522" w:rsidRPr="00531789" w:rsidRDefault="00DF4522" w:rsidP="00DF4522">
      <w:pPr>
        <w:spacing w:line="360" w:lineRule="auto"/>
        <w:jc w:val="both"/>
        <w:rPr>
          <w:rFonts w:ascii="Cambria" w:hAnsi="Cambria"/>
        </w:rPr>
      </w:pPr>
      <w:r w:rsidRPr="00531789">
        <w:rPr>
          <w:rFonts w:ascii="Cambria" w:hAnsi="Cambria"/>
        </w:rPr>
        <w:t xml:space="preserve">This thesis outlines a holistic view of growth, uniting perspectives from different disciplines, and then employs this integrated outlook to elucidate the relative contributions of carbon and nitrogen sources and sinks to growth in two barley species.  </w:t>
      </w:r>
    </w:p>
    <w:p w14:paraId="45C18AF5" w14:textId="77777777" w:rsidR="00DF4522" w:rsidRPr="00531789" w:rsidRDefault="00DF4522" w:rsidP="00DF4522">
      <w:pPr>
        <w:spacing w:line="360" w:lineRule="auto"/>
        <w:jc w:val="both"/>
        <w:rPr>
          <w:rFonts w:ascii="Cambria" w:hAnsi="Cambria"/>
        </w:rPr>
      </w:pPr>
    </w:p>
    <w:p w14:paraId="2CFCB2C5" w14:textId="77777777" w:rsidR="00DF4522" w:rsidRPr="00531789" w:rsidRDefault="00DF4522" w:rsidP="00DF4522">
      <w:pPr>
        <w:spacing w:line="360" w:lineRule="auto"/>
        <w:jc w:val="both"/>
        <w:rPr>
          <w:rFonts w:ascii="Cambria" w:hAnsi="Cambria"/>
        </w:rPr>
      </w:pPr>
      <w:r w:rsidRPr="00531789">
        <w:rPr>
          <w:rFonts w:ascii="Cambria" w:hAnsi="Cambria"/>
        </w:rPr>
        <w:t xml:space="preserve">Chapter 2 emphasises the need for an integrated view of growth, encompassing physiology, allocation and development.  This chapter extensively reviews the relevant literature and develops a novel synthesis of three perspectives on growth into a model that demonstrates how source and sink underpin growth.  </w:t>
      </w:r>
      <w:r>
        <w:rPr>
          <w:rFonts w:ascii="Cambria" w:hAnsi="Cambria"/>
        </w:rPr>
        <w:t>This chapter</w:t>
      </w:r>
      <w:r w:rsidRPr="00531789">
        <w:rPr>
          <w:rFonts w:ascii="Cambria" w:hAnsi="Cambria"/>
        </w:rPr>
        <w:t xml:space="preserve"> considers the importance of studying plant growth, sets out definitions of sources and sinks with examples, discusses the varying control of growth during ontogeny, reviews source-sink manipulations in the literature, discusses regulatory factors such as molecular feedbacks and finally unifies three perspectives on growth – physiology, allocation and development – into one equation.</w:t>
      </w:r>
    </w:p>
    <w:p w14:paraId="7562FA44" w14:textId="77777777" w:rsidR="00DF4522" w:rsidRPr="00531789" w:rsidRDefault="00DF4522" w:rsidP="00DF4522">
      <w:pPr>
        <w:spacing w:line="360" w:lineRule="auto"/>
        <w:jc w:val="both"/>
        <w:rPr>
          <w:rFonts w:ascii="Cambria" w:hAnsi="Cambria"/>
        </w:rPr>
      </w:pPr>
    </w:p>
    <w:p w14:paraId="71280693" w14:textId="77777777" w:rsidR="00DF4522" w:rsidRPr="00531789" w:rsidRDefault="00DF4522" w:rsidP="00DF4522">
      <w:pPr>
        <w:spacing w:line="360" w:lineRule="auto"/>
        <w:jc w:val="both"/>
        <w:rPr>
          <w:rFonts w:ascii="Cambria" w:hAnsi="Cambria"/>
        </w:rPr>
      </w:pPr>
      <w:r w:rsidRPr="00531789">
        <w:rPr>
          <w:rFonts w:ascii="Cambria" w:hAnsi="Cambria"/>
        </w:rPr>
        <w:t xml:space="preserve">Subsequent chapters of this thesis </w:t>
      </w:r>
      <w:r>
        <w:rPr>
          <w:rFonts w:ascii="Cambria" w:hAnsi="Cambria"/>
        </w:rPr>
        <w:t xml:space="preserve">(Chapters 3-5) </w:t>
      </w:r>
      <w:r w:rsidRPr="00531789">
        <w:rPr>
          <w:rFonts w:ascii="Cambria" w:hAnsi="Cambria"/>
        </w:rPr>
        <w:t xml:space="preserve">move towards the </w:t>
      </w:r>
      <w:r>
        <w:rPr>
          <w:rFonts w:ascii="Cambria" w:hAnsi="Cambria"/>
        </w:rPr>
        <w:t xml:space="preserve">integrated </w:t>
      </w:r>
      <w:r w:rsidRPr="00531789">
        <w:rPr>
          <w:rFonts w:ascii="Cambria" w:hAnsi="Cambria"/>
        </w:rPr>
        <w:t xml:space="preserve">viewpoint outlined in Chapter 2, using simultaneous measurements </w:t>
      </w:r>
      <w:r>
        <w:rPr>
          <w:rFonts w:ascii="Cambria" w:hAnsi="Cambria"/>
        </w:rPr>
        <w:t xml:space="preserve">at the whole plant scale </w:t>
      </w:r>
      <w:r w:rsidRPr="00531789">
        <w:rPr>
          <w:rFonts w:ascii="Cambria" w:hAnsi="Cambria"/>
        </w:rPr>
        <w:t xml:space="preserve">of photosynthesis, intermediate metabolites, storage metabolites, allocation and growth, at different times during vegetative development.  This experimental work is carried out in barley, which is the second most widely grown cereal crop in the UK and is also important globally.  </w:t>
      </w:r>
    </w:p>
    <w:p w14:paraId="2791299E" w14:textId="77777777" w:rsidR="00DF4522" w:rsidRPr="00531789" w:rsidRDefault="00DF4522" w:rsidP="00DF4522">
      <w:pPr>
        <w:spacing w:line="360" w:lineRule="auto"/>
        <w:jc w:val="both"/>
        <w:rPr>
          <w:rFonts w:ascii="Cambria" w:hAnsi="Cambria"/>
        </w:rPr>
      </w:pPr>
    </w:p>
    <w:p w14:paraId="06F661C0" w14:textId="77777777" w:rsidR="00DF4522" w:rsidRPr="00531789" w:rsidRDefault="00DF4522" w:rsidP="00DF4522">
      <w:pPr>
        <w:spacing w:line="360" w:lineRule="auto"/>
        <w:jc w:val="both"/>
        <w:rPr>
          <w:rFonts w:ascii="Cambria" w:hAnsi="Cambria"/>
        </w:rPr>
      </w:pPr>
      <w:r w:rsidRPr="00531789">
        <w:rPr>
          <w:rFonts w:ascii="Cambria" w:hAnsi="Cambria"/>
        </w:rPr>
        <w:t>Chapter 3 investigates how carbon source</w:t>
      </w:r>
      <w:r>
        <w:rPr>
          <w:rFonts w:ascii="Cambria" w:hAnsi="Cambria"/>
        </w:rPr>
        <w:t>s</w:t>
      </w:r>
      <w:r w:rsidRPr="00531789">
        <w:rPr>
          <w:rFonts w:ascii="Cambria" w:hAnsi="Cambria"/>
        </w:rPr>
        <w:t xml:space="preserve"> and sink</w:t>
      </w:r>
      <w:r>
        <w:rPr>
          <w:rFonts w:ascii="Cambria" w:hAnsi="Cambria"/>
        </w:rPr>
        <w:t>s</w:t>
      </w:r>
      <w:r w:rsidRPr="00531789">
        <w:rPr>
          <w:rFonts w:ascii="Cambria" w:hAnsi="Cambria"/>
        </w:rPr>
        <w:t xml:space="preserve"> interact during the vegetative development of annual barley, testing an innovative approach for investigating carbon source limitation (transient elevated CO</w:t>
      </w:r>
      <w:r w:rsidRPr="00531789">
        <w:rPr>
          <w:rFonts w:ascii="Cambria" w:hAnsi="Cambria"/>
          <w:vertAlign w:val="subscript"/>
        </w:rPr>
        <w:t xml:space="preserve">2 </w:t>
      </w:r>
      <w:r w:rsidRPr="00531789">
        <w:rPr>
          <w:rFonts w:ascii="Cambria" w:hAnsi="Cambria"/>
        </w:rPr>
        <w:t>treatment) coupled with a better</w:t>
      </w:r>
      <w:r>
        <w:rPr>
          <w:rFonts w:ascii="Cambria" w:hAnsi="Cambria"/>
        </w:rPr>
        <w:t>-</w:t>
      </w:r>
      <w:r w:rsidRPr="00531789">
        <w:rPr>
          <w:rFonts w:ascii="Cambria" w:hAnsi="Cambria"/>
        </w:rPr>
        <w:t>established method for looking at carbon sink limitation (defoliation).  This chapter includes measurements of carbon uptake, metabolites, allocation and growth to build a holistic picture of source-sink limitations and it tests the feasibility of using non-destructive growth measurements to estimate relative growth rate at the time of harvest.  The key finding of Chapter 3 is that sink limitation diminishes as plants get larger and growth slows during the vegetative development of annual barley.  The growth methodology worked well but the effect of transient CO</w:t>
      </w:r>
      <w:r w:rsidRPr="00531789">
        <w:rPr>
          <w:rFonts w:ascii="Cambria" w:hAnsi="Cambria"/>
          <w:vertAlign w:val="subscript"/>
        </w:rPr>
        <w:t>2</w:t>
      </w:r>
      <w:r w:rsidRPr="00531789">
        <w:rPr>
          <w:rFonts w:ascii="Cambria" w:hAnsi="Cambria"/>
        </w:rPr>
        <w:t xml:space="preserve"> was too subtle to be a useful experimental manipulation and the defoliation treatment did not induce expected effects, necessitating a change of approach in the following chapters.</w:t>
      </w:r>
    </w:p>
    <w:p w14:paraId="3510C3F0" w14:textId="77777777" w:rsidR="00DF4522" w:rsidRPr="00531789" w:rsidRDefault="00DF4522" w:rsidP="00DF4522">
      <w:pPr>
        <w:spacing w:line="360" w:lineRule="auto"/>
        <w:jc w:val="both"/>
        <w:rPr>
          <w:rFonts w:ascii="Cambria" w:hAnsi="Cambria"/>
        </w:rPr>
      </w:pPr>
    </w:p>
    <w:p w14:paraId="5F39A913" w14:textId="77777777" w:rsidR="00DF4522" w:rsidRPr="00531789" w:rsidRDefault="00DF4522" w:rsidP="00DF4522">
      <w:pPr>
        <w:spacing w:line="360" w:lineRule="auto"/>
        <w:jc w:val="both"/>
        <w:rPr>
          <w:rFonts w:ascii="Cambria" w:hAnsi="Cambria"/>
        </w:rPr>
      </w:pPr>
      <w:r w:rsidRPr="00531789">
        <w:rPr>
          <w:rFonts w:ascii="Cambria" w:hAnsi="Cambria"/>
        </w:rPr>
        <w:t xml:space="preserve">Chapter 4 builds </w:t>
      </w:r>
      <w:r>
        <w:rPr>
          <w:rFonts w:ascii="Cambria" w:hAnsi="Cambria"/>
        </w:rPr>
        <w:t>up</w:t>
      </w:r>
      <w:r w:rsidRPr="00531789">
        <w:rPr>
          <w:rFonts w:ascii="Cambria" w:hAnsi="Cambria"/>
        </w:rPr>
        <w:t>on Chapter 3 and employs a longer-term, non-invasive manipulation of carbon source activity: a gradient of CO</w:t>
      </w:r>
      <w:r w:rsidRPr="00531789">
        <w:rPr>
          <w:rFonts w:ascii="Cambria" w:hAnsi="Cambria"/>
          <w:vertAlign w:val="subscript"/>
        </w:rPr>
        <w:t>2</w:t>
      </w:r>
      <w:r w:rsidRPr="00531789">
        <w:rPr>
          <w:rFonts w:ascii="Cambria" w:hAnsi="Cambria"/>
        </w:rPr>
        <w:t xml:space="preserve"> is used to diminish or enhance the carbon supply through photosynthesis, to investigate the role of carbon source limitation in controlling differences in growth rate between species.  </w:t>
      </w:r>
      <w:r>
        <w:rPr>
          <w:rFonts w:ascii="Cambria" w:hAnsi="Cambria"/>
        </w:rPr>
        <w:t>In this chapter and in Chapter 5</w:t>
      </w:r>
      <w:r w:rsidRPr="00531789">
        <w:rPr>
          <w:rFonts w:ascii="Cambria" w:hAnsi="Cambria"/>
        </w:rPr>
        <w:t xml:space="preserve">, two species of barley are used: a fast growing domesticated elite annual barley and a slow growing wild perennial barley.  </w:t>
      </w:r>
      <w:r>
        <w:rPr>
          <w:rFonts w:ascii="Cambria" w:hAnsi="Cambria"/>
        </w:rPr>
        <w:t xml:space="preserve">This enables deeper analysis of source and sink limitation on growth, through investigation of </w:t>
      </w:r>
      <w:proofErr w:type="spellStart"/>
      <w:r>
        <w:rPr>
          <w:rFonts w:ascii="Cambria" w:hAnsi="Cambria"/>
        </w:rPr>
        <w:t>congenerics</w:t>
      </w:r>
      <w:proofErr w:type="spellEnd"/>
      <w:r>
        <w:rPr>
          <w:rFonts w:ascii="Cambria" w:hAnsi="Cambria"/>
        </w:rPr>
        <w:t xml:space="preserve"> with different growth habits.  </w:t>
      </w:r>
      <w:r w:rsidRPr="00531789">
        <w:rPr>
          <w:rFonts w:ascii="Cambria" w:hAnsi="Cambria"/>
        </w:rPr>
        <w:t>This chapter further expands on Chapter 3 by measuring metabolite concentrations in each</w:t>
      </w:r>
      <w:r>
        <w:rPr>
          <w:rFonts w:ascii="Cambria" w:hAnsi="Cambria"/>
        </w:rPr>
        <w:t xml:space="preserve"> major</w:t>
      </w:r>
      <w:r w:rsidRPr="00531789">
        <w:rPr>
          <w:rFonts w:ascii="Cambria" w:hAnsi="Cambria"/>
        </w:rPr>
        <w:t xml:space="preserve"> compartment of the whole plant, both pre-dawn and pre-dusk</w:t>
      </w:r>
      <w:r>
        <w:rPr>
          <w:rFonts w:ascii="Cambria" w:hAnsi="Cambria"/>
        </w:rPr>
        <w:t xml:space="preserve">.  As well as carrying out measurements of the parameters explored in Chapter 3, this chapter </w:t>
      </w:r>
      <w:r w:rsidRPr="00531789">
        <w:rPr>
          <w:rFonts w:ascii="Cambria" w:hAnsi="Cambria"/>
        </w:rPr>
        <w:t xml:space="preserve">includes the use of additional diagnostics such as amino </w:t>
      </w:r>
      <w:proofErr w:type="spellStart"/>
      <w:r w:rsidRPr="00531789">
        <w:rPr>
          <w:rFonts w:ascii="Cambria" w:hAnsi="Cambria"/>
        </w:rPr>
        <w:t>acid:sucrose</w:t>
      </w:r>
      <w:proofErr w:type="spellEnd"/>
      <w:r w:rsidRPr="00531789">
        <w:rPr>
          <w:rFonts w:ascii="Cambria" w:hAnsi="Cambria"/>
        </w:rPr>
        <w:t xml:space="preserve"> ratio to look at source limitation</w:t>
      </w:r>
      <w:r>
        <w:rPr>
          <w:rFonts w:ascii="Cambria" w:hAnsi="Cambria"/>
        </w:rPr>
        <w:t>,</w:t>
      </w:r>
      <w:r w:rsidRPr="00531789">
        <w:rPr>
          <w:rFonts w:ascii="Cambria" w:hAnsi="Cambria"/>
        </w:rPr>
        <w:t xml:space="preserve"> and tillering to look at plasticity of allocation</w:t>
      </w:r>
      <w:r>
        <w:rPr>
          <w:rFonts w:ascii="Cambria" w:hAnsi="Cambria"/>
        </w:rPr>
        <w:t>,</w:t>
      </w:r>
      <w:r w:rsidRPr="00531789">
        <w:rPr>
          <w:rFonts w:ascii="Cambria" w:hAnsi="Cambria"/>
        </w:rPr>
        <w:t xml:space="preserve"> </w:t>
      </w:r>
      <w:r>
        <w:rPr>
          <w:rFonts w:ascii="Cambria" w:hAnsi="Cambria"/>
        </w:rPr>
        <w:t>and</w:t>
      </w:r>
      <w:r w:rsidRPr="00531789">
        <w:rPr>
          <w:rFonts w:ascii="Cambria" w:hAnsi="Cambria"/>
        </w:rPr>
        <w:t xml:space="preserve"> focuses on one time point during development in order to build up an in-depth characterisation of the two species</w:t>
      </w:r>
      <w:r>
        <w:rPr>
          <w:rFonts w:ascii="Cambria" w:hAnsi="Cambria"/>
        </w:rPr>
        <w:t>.  This chapter</w:t>
      </w:r>
      <w:r w:rsidRPr="00531789">
        <w:rPr>
          <w:rFonts w:ascii="Cambria" w:hAnsi="Cambria"/>
        </w:rPr>
        <w:t xml:space="preserve"> found that growth in annual barley is more </w:t>
      </w:r>
      <w:r>
        <w:rPr>
          <w:rFonts w:ascii="Cambria" w:hAnsi="Cambria"/>
        </w:rPr>
        <w:t>limited by carbon sink development, revealed by carbohydrate accumulation under elevated CO</w:t>
      </w:r>
      <w:r w:rsidRPr="001E2F86">
        <w:rPr>
          <w:rFonts w:ascii="Cambria" w:hAnsi="Cambria"/>
          <w:vertAlign w:val="subscript"/>
        </w:rPr>
        <w:t>2</w:t>
      </w:r>
      <w:r>
        <w:rPr>
          <w:rFonts w:ascii="Cambria" w:hAnsi="Cambria"/>
        </w:rPr>
        <w:t xml:space="preserve">, while </w:t>
      </w:r>
      <w:r w:rsidRPr="00531789">
        <w:rPr>
          <w:rFonts w:ascii="Cambria" w:hAnsi="Cambria"/>
        </w:rPr>
        <w:t xml:space="preserve">growth in perennial barley is more </w:t>
      </w:r>
      <w:r>
        <w:rPr>
          <w:rFonts w:ascii="Cambria" w:hAnsi="Cambria"/>
        </w:rPr>
        <w:t>limited by carbon sources</w:t>
      </w:r>
      <w:r w:rsidRPr="00531789">
        <w:rPr>
          <w:rFonts w:ascii="Cambria" w:hAnsi="Cambria"/>
        </w:rPr>
        <w:t xml:space="preserve"> during vegetative development</w:t>
      </w:r>
      <w:r>
        <w:rPr>
          <w:rFonts w:ascii="Cambria" w:hAnsi="Cambria"/>
        </w:rPr>
        <w:t>, shown by its ability to increase photosynthetic rate and sink allocation under elevated CO</w:t>
      </w:r>
      <w:r w:rsidRPr="001E2F86">
        <w:rPr>
          <w:rFonts w:ascii="Cambria" w:hAnsi="Cambria"/>
          <w:vertAlign w:val="subscript"/>
        </w:rPr>
        <w:t>2</w:t>
      </w:r>
      <w:r>
        <w:rPr>
          <w:rFonts w:ascii="Cambria" w:hAnsi="Cambria"/>
        </w:rPr>
        <w:t>.  This developmental plasticity in the perennial reflects an opportunistic capacity to respond to changes in CO</w:t>
      </w:r>
      <w:r w:rsidRPr="00D304F3">
        <w:rPr>
          <w:rFonts w:ascii="Cambria" w:hAnsi="Cambria"/>
          <w:vertAlign w:val="subscript"/>
        </w:rPr>
        <w:t>2</w:t>
      </w:r>
      <w:r>
        <w:rPr>
          <w:rFonts w:ascii="Cambria" w:hAnsi="Cambria"/>
        </w:rPr>
        <w:t xml:space="preserve">. </w:t>
      </w:r>
    </w:p>
    <w:p w14:paraId="42182468" w14:textId="77777777" w:rsidR="00DF4522" w:rsidRPr="00531789" w:rsidRDefault="00DF4522" w:rsidP="00DF4522">
      <w:pPr>
        <w:spacing w:line="360" w:lineRule="auto"/>
        <w:jc w:val="both"/>
        <w:rPr>
          <w:rFonts w:ascii="Cambria" w:hAnsi="Cambria"/>
        </w:rPr>
      </w:pPr>
    </w:p>
    <w:p w14:paraId="33396FD7" w14:textId="3E6C5C47" w:rsidR="00DF4522" w:rsidRDefault="00DF4522" w:rsidP="00DF4522">
      <w:pPr>
        <w:spacing w:line="360" w:lineRule="auto"/>
        <w:jc w:val="both"/>
        <w:rPr>
          <w:rFonts w:ascii="Cambria" w:hAnsi="Cambria"/>
        </w:rPr>
      </w:pPr>
      <w:r w:rsidRPr="00531789">
        <w:rPr>
          <w:rFonts w:ascii="Cambria" w:hAnsi="Cambria"/>
        </w:rPr>
        <w:t>Chapter 5 moves towards a fuller characterisation of the barley species studied in Chapter 4, by using a nitrogen gradient analogous to the CO</w:t>
      </w:r>
      <w:r w:rsidRPr="00531789">
        <w:rPr>
          <w:rFonts w:ascii="Cambria" w:hAnsi="Cambria"/>
          <w:vertAlign w:val="subscript"/>
        </w:rPr>
        <w:t>2</w:t>
      </w:r>
      <w:r w:rsidRPr="00531789">
        <w:rPr>
          <w:rFonts w:ascii="Cambria" w:hAnsi="Cambria"/>
        </w:rPr>
        <w:t xml:space="preserve"> approach in Chapter 4 to investigate the contribution of nitrogen source and sink to vegetative growth in annual and perennial barley.  In this chapter, measurements were performed three times during vegetative growth to look for developmental effects, focusing on the time at which maximum relative growth rate occurs using data obtained from earlier chapters.  As for the experiments presented in</w:t>
      </w:r>
      <w:r>
        <w:rPr>
          <w:rFonts w:ascii="Cambria" w:hAnsi="Cambria"/>
        </w:rPr>
        <w:t xml:space="preserve"> the</w:t>
      </w:r>
      <w:r w:rsidRPr="00531789">
        <w:rPr>
          <w:rFonts w:ascii="Cambria" w:hAnsi="Cambria"/>
        </w:rPr>
        <w:t xml:space="preserve"> earlier chapters, Chapter 5 looks at uptake, metabolites, allocation and growth, and introduces a new method to measure nitrogen uptake rather than carbon uptake.  Chapter 5 found that </w:t>
      </w:r>
      <w:r>
        <w:rPr>
          <w:rFonts w:ascii="Cambria" w:hAnsi="Cambria"/>
        </w:rPr>
        <w:t xml:space="preserve">growth in </w:t>
      </w:r>
      <w:r w:rsidR="009F095C">
        <w:rPr>
          <w:rFonts w:ascii="Cambria" w:hAnsi="Cambria"/>
        </w:rPr>
        <w:t xml:space="preserve">annual </w:t>
      </w:r>
      <w:r>
        <w:rPr>
          <w:rFonts w:ascii="Cambria" w:hAnsi="Cambria"/>
        </w:rPr>
        <w:t xml:space="preserve">barley is more limited by nitrogen sink development than growth in </w:t>
      </w:r>
      <w:r w:rsidR="009F095C">
        <w:rPr>
          <w:rFonts w:ascii="Cambria" w:hAnsi="Cambria"/>
        </w:rPr>
        <w:t xml:space="preserve">perennial </w:t>
      </w:r>
      <w:r>
        <w:rPr>
          <w:rFonts w:ascii="Cambria" w:hAnsi="Cambria"/>
        </w:rPr>
        <w:t xml:space="preserve">barley during vegetative development, but both species showed evidence of nitrogen sink limitation.  </w:t>
      </w:r>
    </w:p>
    <w:p w14:paraId="3D845E93" w14:textId="77777777" w:rsidR="00DF4522" w:rsidRDefault="00DF4522" w:rsidP="00DF4522">
      <w:pPr>
        <w:spacing w:line="360" w:lineRule="auto"/>
        <w:jc w:val="both"/>
        <w:rPr>
          <w:rFonts w:ascii="Cambria" w:hAnsi="Cambria"/>
        </w:rPr>
      </w:pPr>
    </w:p>
    <w:p w14:paraId="1A2D1495" w14:textId="77777777" w:rsidR="00DF4522" w:rsidRPr="00531789" w:rsidRDefault="00DF4522" w:rsidP="00DF4522">
      <w:pPr>
        <w:spacing w:line="360" w:lineRule="auto"/>
        <w:jc w:val="both"/>
        <w:rPr>
          <w:rFonts w:ascii="Cambria" w:hAnsi="Cambria"/>
        </w:rPr>
      </w:pPr>
      <w:r>
        <w:rPr>
          <w:rFonts w:ascii="Cambria" w:hAnsi="Cambria"/>
        </w:rPr>
        <w:t xml:space="preserve">Finally, Chapter 6 draws together the findings of this thesis to provide the holistic insight into source and sink limitation of growth that I advocate here. </w:t>
      </w:r>
    </w:p>
    <w:p w14:paraId="279389CC" w14:textId="77777777" w:rsidR="009F095C" w:rsidRDefault="009F095C" w:rsidP="00DF4522">
      <w:pPr>
        <w:pStyle w:val="Heading1"/>
        <w:jc w:val="center"/>
        <w:rPr>
          <w:rFonts w:ascii="Cambria" w:hAnsi="Cambria"/>
          <w:color w:val="auto"/>
        </w:rPr>
      </w:pPr>
      <w:bookmarkStart w:id="15" w:name="_Toc322267574"/>
      <w:bookmarkStart w:id="16" w:name="_Toc322267696"/>
      <w:bookmarkStart w:id="17" w:name="_Toc322267860"/>
    </w:p>
    <w:p w14:paraId="4E7B502D" w14:textId="77777777" w:rsidR="00DF4522" w:rsidRPr="00531789" w:rsidRDefault="00DF4522" w:rsidP="00DF4522">
      <w:pPr>
        <w:pStyle w:val="Heading1"/>
        <w:jc w:val="center"/>
        <w:rPr>
          <w:rStyle w:val="Strong"/>
          <w:rFonts w:ascii="Cambria" w:hAnsi="Cambria" w:cstheme="majorBidi"/>
          <w:b/>
          <w:bCs/>
          <w:color w:val="auto"/>
        </w:rPr>
      </w:pPr>
      <w:bookmarkStart w:id="18" w:name="_Toc331253003"/>
      <w:r w:rsidRPr="00531789">
        <w:rPr>
          <w:rFonts w:ascii="Cambria" w:hAnsi="Cambria"/>
          <w:color w:val="auto"/>
        </w:rPr>
        <w:t xml:space="preserve">Chapter 2: </w:t>
      </w:r>
      <w:r w:rsidRPr="00531789">
        <w:rPr>
          <w:rStyle w:val="Strong"/>
          <w:rFonts w:ascii="Cambria" w:hAnsi="Cambria" w:cs="Arial"/>
          <w:b/>
          <w:color w:val="auto"/>
        </w:rPr>
        <w:t>How can we make plants grow faster?  A source-sink perspective on growth rate.</w:t>
      </w:r>
      <w:bookmarkEnd w:id="15"/>
      <w:bookmarkEnd w:id="16"/>
      <w:bookmarkEnd w:id="17"/>
      <w:bookmarkEnd w:id="18"/>
    </w:p>
    <w:p w14:paraId="6BBFA317" w14:textId="77777777" w:rsidR="00DF4522" w:rsidRPr="00531789" w:rsidRDefault="00DF4522" w:rsidP="00DF4522">
      <w:pPr>
        <w:spacing w:line="360" w:lineRule="auto"/>
        <w:rPr>
          <w:rFonts w:ascii="Cambria" w:hAnsi="Cambria" w:cs="Arial"/>
        </w:rPr>
      </w:pPr>
    </w:p>
    <w:p w14:paraId="31E093E8" w14:textId="77777777" w:rsidR="00DF4522" w:rsidRDefault="00DF4522" w:rsidP="00DF4522">
      <w:pPr>
        <w:spacing w:line="360" w:lineRule="auto"/>
        <w:rPr>
          <w:rFonts w:ascii="Cambria" w:hAnsi="Cambria" w:cs="Arial"/>
          <w:vertAlign w:val="superscript"/>
        </w:rPr>
      </w:pPr>
    </w:p>
    <w:p w14:paraId="0F96EA26" w14:textId="77777777" w:rsidR="00DF4522" w:rsidRDefault="00DF4522" w:rsidP="00DF4522">
      <w:pPr>
        <w:spacing w:line="360" w:lineRule="auto"/>
        <w:rPr>
          <w:rFonts w:ascii="Cambria" w:hAnsi="Cambria" w:cs="Arial"/>
          <w:vertAlign w:val="superscript"/>
        </w:rPr>
      </w:pPr>
    </w:p>
    <w:p w14:paraId="2BA1767E" w14:textId="77777777" w:rsidR="00DF4522" w:rsidRPr="00041DB1" w:rsidRDefault="00DF4522" w:rsidP="00DF4522">
      <w:pPr>
        <w:spacing w:line="360" w:lineRule="auto"/>
        <w:jc w:val="both"/>
        <w:rPr>
          <w:rFonts w:ascii="Cambria" w:hAnsi="Cambria"/>
        </w:rPr>
      </w:pPr>
      <w:r w:rsidRPr="00041DB1">
        <w:rPr>
          <w:rFonts w:ascii="Cambria" w:hAnsi="Cambria"/>
        </w:rPr>
        <w:t xml:space="preserve">Published in </w:t>
      </w:r>
      <w:r w:rsidRPr="00041DB1">
        <w:rPr>
          <w:rFonts w:ascii="Cambria" w:hAnsi="Cambria"/>
          <w:i/>
        </w:rPr>
        <w:t xml:space="preserve">Journal of Experimental Botany </w:t>
      </w:r>
      <w:r w:rsidRPr="00041DB1">
        <w:rPr>
          <w:rFonts w:ascii="Cambria" w:hAnsi="Cambria"/>
        </w:rPr>
        <w:t>Vol. 67, No. 1 pp. 31-45, 2016</w:t>
      </w:r>
    </w:p>
    <w:p w14:paraId="6C4B8C93" w14:textId="77777777" w:rsidR="00DF4522" w:rsidRDefault="00DF4522" w:rsidP="00DF4522">
      <w:pPr>
        <w:spacing w:line="360" w:lineRule="auto"/>
        <w:jc w:val="both"/>
        <w:rPr>
          <w:rFonts w:ascii="Cambria" w:hAnsi="Cambria"/>
        </w:rPr>
      </w:pPr>
      <w:r>
        <w:rPr>
          <w:rFonts w:ascii="Cambria" w:hAnsi="Cambria"/>
        </w:rPr>
        <w:t>Authors: Angela C. White, Alistair Rogers, Mark Rees and Colin P. Osborne</w:t>
      </w:r>
    </w:p>
    <w:p w14:paraId="295CC436" w14:textId="4849DB8D" w:rsidR="00DF4522" w:rsidRPr="007B4CCF" w:rsidRDefault="00DF4522" w:rsidP="00DF4522">
      <w:pPr>
        <w:spacing w:line="360" w:lineRule="auto"/>
        <w:rPr>
          <w:rFonts w:ascii="Cambria" w:hAnsi="Cambria" w:cs="Arial"/>
        </w:rPr>
      </w:pPr>
      <w:r>
        <w:rPr>
          <w:rFonts w:ascii="Cambria" w:hAnsi="Cambria" w:cs="Arial"/>
        </w:rPr>
        <w:t xml:space="preserve">This chapter is cited as ‘White </w:t>
      </w:r>
      <w:r w:rsidRPr="007B4CCF">
        <w:rPr>
          <w:rFonts w:ascii="Cambria" w:hAnsi="Cambria" w:cs="Arial"/>
          <w:i/>
        </w:rPr>
        <w:t>et al</w:t>
      </w:r>
      <w:r>
        <w:rPr>
          <w:rFonts w:ascii="Cambria" w:hAnsi="Cambria" w:cs="Arial"/>
        </w:rPr>
        <w:t xml:space="preserve">., </w:t>
      </w:r>
      <w:r w:rsidR="000055CC">
        <w:rPr>
          <w:rFonts w:ascii="Cambria" w:hAnsi="Cambria" w:cs="Arial"/>
        </w:rPr>
        <w:t>2016</w:t>
      </w:r>
      <w:r>
        <w:rPr>
          <w:rFonts w:ascii="Cambria" w:hAnsi="Cambria" w:cs="Arial"/>
        </w:rPr>
        <w:t>’</w:t>
      </w:r>
      <w:r>
        <w:rPr>
          <w:rFonts w:ascii="Cambria" w:hAnsi="Cambria" w:cs="Arial"/>
          <w:i/>
        </w:rPr>
        <w:t xml:space="preserve"> </w:t>
      </w:r>
      <w:r>
        <w:rPr>
          <w:rFonts w:ascii="Cambria" w:hAnsi="Cambria" w:cs="Arial"/>
        </w:rPr>
        <w:t>in this thesis.</w:t>
      </w:r>
    </w:p>
    <w:p w14:paraId="66E0192A" w14:textId="77777777" w:rsidR="00DF4522" w:rsidRPr="00531789" w:rsidRDefault="00DF4522" w:rsidP="00DF4522">
      <w:pPr>
        <w:spacing w:line="360" w:lineRule="auto"/>
        <w:rPr>
          <w:rFonts w:ascii="Cambria" w:hAnsi="Cambria" w:cs="Arial"/>
          <w:vertAlign w:val="superscript"/>
        </w:rPr>
      </w:pPr>
    </w:p>
    <w:p w14:paraId="3E326063" w14:textId="77777777" w:rsidR="00DF4522" w:rsidRPr="00531789" w:rsidRDefault="00DF4522" w:rsidP="00DF4522">
      <w:pPr>
        <w:pStyle w:val="Heading2"/>
        <w:rPr>
          <w:rStyle w:val="Strong"/>
          <w:rFonts w:ascii="Cambria" w:hAnsi="Cambria" w:cs="Arial"/>
          <w:b/>
          <w:color w:val="auto"/>
          <w:sz w:val="24"/>
          <w:szCs w:val="24"/>
        </w:rPr>
      </w:pPr>
      <w:bookmarkStart w:id="19" w:name="_Toc322267575"/>
      <w:bookmarkStart w:id="20" w:name="_Toc322267697"/>
      <w:bookmarkStart w:id="21" w:name="_Toc322267861"/>
      <w:bookmarkStart w:id="22" w:name="_Toc331253004"/>
      <w:r w:rsidRPr="00531789">
        <w:rPr>
          <w:rStyle w:val="Strong"/>
          <w:rFonts w:ascii="Cambria" w:hAnsi="Cambria" w:cs="Arial"/>
          <w:b/>
          <w:color w:val="auto"/>
          <w:sz w:val="24"/>
          <w:szCs w:val="24"/>
        </w:rPr>
        <w:t>A</w:t>
      </w:r>
      <w:bookmarkEnd w:id="19"/>
      <w:bookmarkEnd w:id="20"/>
      <w:bookmarkEnd w:id="21"/>
      <w:r>
        <w:rPr>
          <w:rStyle w:val="Strong"/>
          <w:rFonts w:ascii="Cambria" w:hAnsi="Cambria" w:cs="Arial"/>
          <w:b/>
          <w:color w:val="auto"/>
          <w:sz w:val="24"/>
          <w:szCs w:val="24"/>
        </w:rPr>
        <w:t>BSTRACT</w:t>
      </w:r>
      <w:bookmarkEnd w:id="22"/>
    </w:p>
    <w:p w14:paraId="2DA880AB" w14:textId="77777777" w:rsidR="00DF4522" w:rsidRPr="00531789" w:rsidRDefault="00DF4522" w:rsidP="00DF4522">
      <w:pPr>
        <w:rPr>
          <w:rFonts w:ascii="Cambria" w:hAnsi="Cambria"/>
        </w:rPr>
      </w:pPr>
    </w:p>
    <w:p w14:paraId="345CFDA2" w14:textId="77777777" w:rsidR="00DF4522" w:rsidRPr="00531789" w:rsidRDefault="00DF4522" w:rsidP="00DF4522">
      <w:pPr>
        <w:spacing w:line="360" w:lineRule="auto"/>
        <w:jc w:val="both"/>
        <w:rPr>
          <w:rStyle w:val="Strong"/>
          <w:rFonts w:ascii="Cambria" w:hAnsi="Cambria"/>
          <w:b w:val="0"/>
          <w:bCs w:val="0"/>
        </w:rPr>
      </w:pPr>
      <w:r w:rsidRPr="00531789">
        <w:rPr>
          <w:rFonts w:ascii="Cambria" w:hAnsi="Cambria"/>
        </w:rPr>
        <w:t xml:space="preserve">Growth is a major component of fitness in all organisms, an important mediator of competitive interactions in plant communities, and a central determinant of yield in crops.  Understanding what limits plant growth is therefore of fundamental importance to plant evolution, ecology, and crop science, but each discipline views the process from a different perspective. This review highlights the importance of source-sink interactions as determinants of growth.  The evidence for source- and sink-limitation of growth, and the ways in which regulatory molecular feedback systems act to maintain an appropriate </w:t>
      </w:r>
      <w:proofErr w:type="spellStart"/>
      <w:r w:rsidRPr="00531789">
        <w:rPr>
          <w:rFonts w:ascii="Cambria" w:hAnsi="Cambria"/>
        </w:rPr>
        <w:t>source:sink</w:t>
      </w:r>
      <w:proofErr w:type="spellEnd"/>
      <w:r w:rsidRPr="00531789">
        <w:rPr>
          <w:rFonts w:ascii="Cambria" w:hAnsi="Cambria"/>
        </w:rPr>
        <w:t xml:space="preserve"> balance, are first discussed. Evidence clearly shows that future increases in crop productivity depend crucially on a quantitative understanding of the extent to which sources or sinks limit growth, and how this changes during development. To identify bottlenecks limiting growth and yield, a holistic view of growth is required at the whole plant scale, incorporating mechanistic interactions between physiology, resource allocation, and plant development. Such a perspective on source-sink interactions will allow the development of a more integrated, whole-system level understanding of growth, with benefits across multiple disciplines.</w:t>
      </w:r>
    </w:p>
    <w:p w14:paraId="6E7AFDB3" w14:textId="77777777" w:rsidR="00DF4522" w:rsidRPr="00531789" w:rsidRDefault="00DF4522" w:rsidP="00DF4522">
      <w:pPr>
        <w:pStyle w:val="Heading1"/>
        <w:spacing w:before="0" w:line="360" w:lineRule="auto"/>
        <w:rPr>
          <w:rStyle w:val="Strong"/>
          <w:rFonts w:ascii="Cambria" w:hAnsi="Cambria" w:cs="Arial"/>
          <w:b/>
          <w:color w:val="auto"/>
          <w:sz w:val="24"/>
          <w:szCs w:val="24"/>
        </w:rPr>
      </w:pPr>
    </w:p>
    <w:p w14:paraId="7F63B1A9" w14:textId="77777777" w:rsidR="00DF4522" w:rsidRPr="00531789" w:rsidRDefault="00DF4522" w:rsidP="00DF4522">
      <w:pPr>
        <w:pStyle w:val="Heading1"/>
        <w:spacing w:before="0" w:line="360" w:lineRule="auto"/>
        <w:rPr>
          <w:rStyle w:val="Strong"/>
          <w:rFonts w:ascii="Cambria" w:hAnsi="Cambria" w:cs="Arial"/>
          <w:b/>
          <w:color w:val="auto"/>
          <w:sz w:val="24"/>
          <w:szCs w:val="24"/>
        </w:rPr>
      </w:pPr>
    </w:p>
    <w:p w14:paraId="2EA3A77E" w14:textId="77777777" w:rsidR="00DF4522" w:rsidRPr="00531789" w:rsidRDefault="00DF4522" w:rsidP="00DF4522">
      <w:pPr>
        <w:spacing w:line="360" w:lineRule="auto"/>
        <w:rPr>
          <w:rStyle w:val="Strong"/>
          <w:rFonts w:ascii="Cambria" w:eastAsia="MS Gothi" w:hAnsi="Cambria" w:cs="Arial"/>
          <w:bCs w:val="0"/>
          <w:kern w:val="32"/>
        </w:rPr>
      </w:pPr>
      <w:r w:rsidRPr="00531789">
        <w:rPr>
          <w:rStyle w:val="Strong"/>
          <w:rFonts w:ascii="Cambria" w:hAnsi="Cambria" w:cs="Arial"/>
        </w:rPr>
        <w:br w:type="page"/>
      </w:r>
    </w:p>
    <w:p w14:paraId="575D536E" w14:textId="77777777" w:rsidR="00DF4522" w:rsidRPr="00531789" w:rsidRDefault="00DF4522" w:rsidP="00DF4522">
      <w:pPr>
        <w:pStyle w:val="Heading2"/>
        <w:rPr>
          <w:rStyle w:val="Strong"/>
          <w:rFonts w:ascii="Cambria" w:hAnsi="Cambria" w:cs="Arial"/>
          <w:b/>
          <w:color w:val="auto"/>
          <w:sz w:val="24"/>
          <w:szCs w:val="24"/>
        </w:rPr>
      </w:pPr>
      <w:bookmarkStart w:id="23" w:name="_Toc322267576"/>
      <w:bookmarkStart w:id="24" w:name="_Toc322267698"/>
      <w:bookmarkStart w:id="25" w:name="_Toc322267862"/>
      <w:bookmarkStart w:id="26" w:name="_Toc331253005"/>
      <w:r w:rsidRPr="00531789">
        <w:rPr>
          <w:rStyle w:val="Strong"/>
          <w:rFonts w:ascii="Cambria" w:hAnsi="Cambria" w:cs="Arial"/>
          <w:b/>
          <w:color w:val="auto"/>
          <w:sz w:val="24"/>
          <w:szCs w:val="24"/>
        </w:rPr>
        <w:t>I</w:t>
      </w:r>
      <w:bookmarkEnd w:id="23"/>
      <w:bookmarkEnd w:id="24"/>
      <w:bookmarkEnd w:id="25"/>
      <w:r>
        <w:rPr>
          <w:rStyle w:val="Strong"/>
          <w:rFonts w:ascii="Cambria" w:hAnsi="Cambria" w:cs="Arial"/>
          <w:b/>
          <w:color w:val="auto"/>
          <w:sz w:val="24"/>
          <w:szCs w:val="24"/>
        </w:rPr>
        <w:t>NTRODUCTION</w:t>
      </w:r>
      <w:bookmarkEnd w:id="26"/>
    </w:p>
    <w:p w14:paraId="325687D1" w14:textId="77777777" w:rsidR="00DF4522" w:rsidRPr="00531789" w:rsidRDefault="00DF4522" w:rsidP="00DF4522">
      <w:pPr>
        <w:tabs>
          <w:tab w:val="left" w:pos="3780"/>
        </w:tabs>
        <w:spacing w:line="360" w:lineRule="auto"/>
        <w:jc w:val="both"/>
        <w:rPr>
          <w:rFonts w:ascii="Cambria" w:hAnsi="Cambria" w:cs="Arial"/>
        </w:rPr>
      </w:pPr>
    </w:p>
    <w:p w14:paraId="3CA52322" w14:textId="77777777" w:rsidR="00DF4522" w:rsidRPr="00531789" w:rsidRDefault="00DF4522" w:rsidP="00DF4522">
      <w:pPr>
        <w:tabs>
          <w:tab w:val="left" w:pos="3780"/>
        </w:tabs>
        <w:spacing w:line="360" w:lineRule="auto"/>
        <w:jc w:val="both"/>
        <w:rPr>
          <w:rFonts w:ascii="Cambria" w:hAnsi="Cambria" w:cs="Arial"/>
        </w:rPr>
      </w:pPr>
      <w:r w:rsidRPr="00531789">
        <w:rPr>
          <w:rFonts w:ascii="Cambria" w:hAnsi="Cambria" w:cs="Arial"/>
        </w:rPr>
        <w:t xml:space="preserve">Growth rates of plants vary widely: even in constant environmental conditions, relative growth rate can vary six-fold among species </w:t>
      </w:r>
      <w:r w:rsidRPr="00531789">
        <w:rPr>
          <w:rFonts w:ascii="Cambria" w:hAnsi="Cambria" w:cs="Arial"/>
        </w:rPr>
        <w:fldChar w:fldCharType="begin" w:fldLock="1"/>
      </w:r>
      <w:r w:rsidRPr="00531789">
        <w:rPr>
          <w:rFonts w:ascii="Cambria" w:hAnsi="Cambria" w:cs="Arial"/>
        </w:rPr>
        <w:instrText>ADDIN CSL_CITATION { "citationItems" : [ { "id" : "ITEM-1", "itemData" : { "author" : [ { "dropping-particle" : "", "family" : "Grime", "given" : "J P", "non-dropping-particle" : "", "parse-names" : false, "suffix" : "" }, { "dropping-particle" : "", "family" : "Hunt", "given" : "Roderick", "non-dropping-particle" : "", "parse-names" : false, "suffix" : "" } ], "container-title" : "Journal of Ecology", "id" : "ITEM-1", "issue" : "2", "issued" : { "date-parts" : [ [ "1975" ] ] }, "page" : "393-422", "title" : "Relative Growth-Rate: Its range and adaptive significance in a local flora", "type" : "article-journal", "volume" : "63" }, "uris" : [ "http://www.mendeley.com/documents/?uuid=043fcecc-14f4-4c54-950c-5739c24be347" ] } ], "mendeley" : { "formattedCitation" : "(Grime and Hunt, 1975)", "plainTextFormattedCitation" : "(Grime and Hunt, 1975)", "previouslyFormattedCitation" : "(Grime and Hunt, 1975)"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(Grime and Hunt, 1975)</w:t>
      </w:r>
      <w:r w:rsidRPr="00531789">
        <w:rPr>
          <w:rFonts w:ascii="Cambria" w:hAnsi="Cambria" w:cs="Arial"/>
        </w:rPr>
        <w:fldChar w:fldCharType="end"/>
      </w:r>
      <w:r w:rsidRPr="00531789">
        <w:rPr>
          <w:rFonts w:ascii="Cambria" w:hAnsi="Cambria" w:cs="Arial"/>
        </w:rPr>
        <w:t xml:space="preserve">.  This is not surprising given the astonishing variety of ecological niches occupied by plants in all the major biomes, where adaptation comes in part from matching growth rate to available resources </w:t>
      </w:r>
      <w:r w:rsidRPr="00531789">
        <w:rPr>
          <w:rFonts w:ascii="Cambria" w:hAnsi="Cambria" w:cs="Arial"/>
        </w:rPr>
        <w:fldChar w:fldCharType="begin" w:fldLock="1"/>
      </w:r>
      <w:r>
        <w:rPr>
          <w:rFonts w:ascii="Cambria" w:hAnsi="Cambria" w:cs="Arial"/>
        </w:rPr>
        <w:instrText>ADDIN CSL_CITATION { "citationItems" : [ { "id" : "ITEM-1", "itemData" : { "author" : [ { "dropping-particle" : "", "family" : "D\u00edaz", "given" : "S", "non-dropping-particle" : "", "parse-names" : false, "suffix" : "" }, { "dropping-particle" : "", "family" : "Hodgson", "given" : "J.G", "non-dropping-particle" : "", "parse-names" : false, "suffix" : "" }, { "dropping-particle" : "", "family" : "Thompson", "given" : "K", "non-dropping-particle" : "", "parse-names" : false, "suffix" : "" }, { "dropping-particle" : "", "family" : "Cabido", "given" : "M", "non-dropping-particle" : "", "parse-names" : false, "suffix" : "" }, { "dropping-particle" : "", "family" : "Cornelissen", "given" : "J.H.C.", "non-dropping-particle" : "", "parse-names" : false, "suffix" : "" }, { "dropping-particle" : "", "family" : "Jalili", "given" : "A", "non-dropping-particle" : "", "parse-names" : false, "suffix" : "" }, { "dropping-particle" : "", "family" : "Montserrat-Mart\u00ed", "given" : "G", "non-dropping-particle" : "", "parse-names" : false, "suffix" : "" }, { "dropping-particle" : "", "family" : "Grime", "given" : "J.P.", "non-dropping-particle" : "", "parse-names" : false, "suffix" : "" }, { "dropping-particle" : "", "family" : "Zarrinkamar", "given" : "F", "non-dropping-particle" : "", "parse-names" : false, "suffix" : "" }, { "dropping-particle" : "", "family" : "Asri", "given" : "Y", "non-dropping-particle" : "", "parse-names" : false, "suffix" : "" }, { "dropping-particle" : "", "family" : "Band", "given" : "S.R.", "non-dropping-particle" : "", "parse-names" : false, "suffix" : "" }, { "dropping-particle" : "", "family" : "Basconcelo", "given" : "S", "non-dropping-particle" : "", "parse-names" : false, "suffix" : "" }, { "dropping-particle" : "", "family" : "Castro-D\u00edez", "given" : "P", "non-dropping-particle" : "", "parse-names" : false, "suffix" : "" }, { "dropping-particle" : "", "family" : "Funes", "given" : "G", "non-dropping-particle" : "", "parse-names" : false, "suffix" : "" }, { "dropping-particle" : "", "family" : "Hamzehee", "given" : "B", "non-dropping-particle" : "", "parse-names" : false, "suffix" : "" }, { "dropping-particle" : "", "family" : "Khoshnevi", "given" : "M", "non-dropping-particle" : "", "parse-names" : false, "suffix" : "" }, { "dropping-particle" : "", "family" : "P\u00e9rez-Harguindeguy", "given" : "N", "non-dropping-particle" : "", "parse-names" : false, "suffix" : "" }, { "dropping-particle" : "", "family" : "P\u00e9rez-Rontom\u00e9", "given" : "M.C.", "non-dropping-particle" : "", "parse-names" : false, "suffix" : "" }, { "dropping-particle" : "", "family" : "Shirvany", "given" : "F.A.", "non-dropping-particle" : "", "parse-names" : false, "suffix" : "" }, { "dropping-particle" : "", "family" : "Vendramini", "given" : "F", "non-dropping-particle" : "", "parse-names" : false, "suffix" : "" }, { "dropping-particle" : "", "family" : "Yazdani", "given" : "S", "non-dropping-particle" : "", "parse-names" : false, "suffix" : "" }, { "dropping-particle" : "", "family" : "Abbas-Azimi", "given" : "R", "non-dropping-particle" : "", "parse-names" : false, "suffix" : "" }, { "dropping-particle" : "", "family" : "Bogaard", "given" : "A.", "non-dropping-particle" : "", "parse-names" : false, "suffix" : "" }, { "dropping-particle" : "", "family" : "Boustani", "given" : "S", "non-dropping-particle" : "", "parse-names" : false, "suffix" : "" }, { "dropping-particle" : "", "family" : "Charles", "given" : "M", "non-dropping-particle" : "", "parse-names" : false, "suffix" : "" }, { "dropping-particle" : "", "family" : "Dehghan", "given" : "M", "non-dropping-particle" : "", "parse-names" : false, "suffix" : "" }, { "dropping-particle" : "", "family" : "Torres-Espuny", "given" : "L", "non-dropping-particle" : "de", "parse-names" : false, "suffix" : "" }, { "dropping-particle" : "", "family" : "Falczuk", "given" : "V", "non-dropping-particle" : "", "parse-names" : false, "suffix" : "" }, { "dropping-particle" : "", "family" : "Guerrero-Campo", "given" : "J", "non-dropping-particle" : "", "parse-names" : false, "suffix" : "" }, { "dropping-particle" : "", "family" : "Hynd", "given" : "A", "non-dropping-particle" : "", "parse-names" : false, "suffix" : "" }, { "dropping-particle" : "", "family" : "Jones", "given" : "G", "non-dropping-particle" : "", "parse-names" : false, "suffix" : "" }, { "dropping-particle" : "", "family" : "Kowsary", "given" : "E", "non-dropping-particle" : "", "parse-names" : false, "suffix" : "" }, { "dropping-particle" : "", "family" : "Kazemi-Saeed", "given" : "F", "non-dropping-particle" : "", "parse-names" : false, "suffix" : "" }, { "dropping-particle" : "", "family" : "Maestro- Mart\u00ednez", "given" : "M", "non-dropping-particle" : "", "parse-names" : false, "suffix" : "" }, { "dropping-particle" : "", "family" : "Romo-D\u00edez", "given" : "A", "non-dropping-particle" : "", "parse-names" : false, "suffix" : "" }, { "dropping-particle" : "", "family" : "Shaw", "given" : "S", "non-dropping-particle" : "", "parse-names" : false, "suffix" : "" }, { "dropping-particle" : "", "family" : "Siavash", "given" : "B", "non-dropping-particle" : "", "parse-names" : false, "suffix" : "" }, { "dropping-particle" : "", "family" : "Villar-Salvador", "given" : "P", "non-dropping-particle" : "", "parse-names" : false, "suffix" : "" }, { "dropping-particle" : "", "family" : "Zak", "given" : "M.R.", "non-dropping-particle" : "", "parse-names" : false, "suffix" : "" } ], "container-title" : "Journal of Vegetation Science", "id" : "ITEM-1", "issued" : { "date-parts" : [ [ "2004" ] ] }, "page" : "295-304", "title" : "The plant traits that drive ecosystems : Evidence from three continents", "type" : "article-journal", "volume" : "15" }, "uris" : [ "http://www.mendeley.com/documents/?uuid=d358dbbc-4f3d-46f0-b7e7-f9787934c8c4" ] } ], "mendeley" : { "formattedCitation" : "(D\u00edaz &lt;i&gt;et al.&lt;/i&gt;, 2004)", "plainTextFormattedCitation" : "(D\u00edaz et al., 2004)", "previouslyFormattedCitation" : "(D\u00edaz &lt;i&gt;et al.&lt;/i&gt;, 2004)"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(Díaz </w:t>
      </w:r>
      <w:r w:rsidRPr="002C5907">
        <w:rPr>
          <w:rFonts w:ascii="Cambria" w:hAnsi="Cambria" w:cs="Arial"/>
          <w:i/>
          <w:noProof/>
        </w:rPr>
        <w:t>et al.</w:t>
      </w:r>
      <w:r w:rsidRPr="002C5907">
        <w:rPr>
          <w:rFonts w:ascii="Cambria" w:hAnsi="Cambria" w:cs="Arial"/>
          <w:noProof/>
        </w:rPr>
        <w:t>, 2004)</w:t>
      </w:r>
      <w:r w:rsidRPr="00531789">
        <w:rPr>
          <w:rFonts w:ascii="Cambria" w:hAnsi="Cambria" w:cs="Arial"/>
        </w:rPr>
        <w:fldChar w:fldCharType="end"/>
      </w:r>
      <w:r w:rsidRPr="00531789">
        <w:rPr>
          <w:rFonts w:ascii="Cambria" w:hAnsi="Cambria" w:cs="Arial"/>
        </w:rPr>
        <w:t xml:space="preserve">.  </w:t>
      </w:r>
      <w:r w:rsidRPr="00531789">
        <w:rPr>
          <w:rFonts w:ascii="Cambria" w:hAnsi="Cambria"/>
        </w:rPr>
        <w:t>Growth is controlled by proximate physiological and developmental mechanisms, but ultimately depends upon ecological adaptations and evolutionary history</w:t>
      </w:r>
      <w:r w:rsidRPr="00531789">
        <w:rPr>
          <w:rFonts w:ascii="Cambria" w:hAnsi="Cambria" w:cs="Arial"/>
        </w:rPr>
        <w:t xml:space="preserve">: plants with different growth strategies succeed in different ecosystems, and in different niches within those ecosystems.  For example, in the dynamic, diverse rainforest environment, rapidly-growing seedlings and lianas will quickly colonise gaps, whilst slow-growing epiphytes often stay poised and wait for a gap in the canopy before </w:t>
      </w:r>
      <w:proofErr w:type="spellStart"/>
      <w:r w:rsidRPr="00531789">
        <w:rPr>
          <w:rFonts w:ascii="Cambria" w:hAnsi="Cambria" w:cs="Arial"/>
        </w:rPr>
        <w:t>upregulating</w:t>
      </w:r>
      <w:proofErr w:type="spellEnd"/>
      <w:r w:rsidRPr="00531789">
        <w:rPr>
          <w:rFonts w:ascii="Cambria" w:hAnsi="Cambria" w:cs="Arial"/>
        </w:rPr>
        <w:t xml:space="preserve"> their rates of photosynthesis and growth </w:t>
      </w:r>
      <w:r w:rsidRPr="00531789">
        <w:rPr>
          <w:rFonts w:ascii="Cambria" w:hAnsi="Cambria" w:cs="Arial"/>
        </w:rPr>
        <w:fldChar w:fldCharType="begin" w:fldLock="1"/>
      </w:r>
      <w:r w:rsidRPr="00531789">
        <w:rPr>
          <w:rFonts w:ascii="Cambria" w:hAnsi="Cambria" w:cs="Arial"/>
        </w:rPr>
        <w:instrText>ADDIN CSL_CITATION { "citationItems" : [ { "id" : "ITEM-1", "itemData" : { "author" : [ { "dropping-particle" : "", "family" : "Hubbell", "given" : "Stephen P", "non-dropping-particle" : "", "parse-names" : false, "suffix" : "" }, { "dropping-particle" : "", "family" : "Foster", "given" : "Robin B", "non-dropping-particle" : "", "parse-names" : false, "suffix" : "" } ], "container-title" : "Oikos", "id" : "ITEM-1", "issue" : "1", "issued" : { "date-parts" : [ [ "1992" ] ] }, "page" : "48-61", "title" : "Short-term dynamics of a neotropical forest: why ecological research matters to tropical conservation and management", "type" : "article-journal", "volume" : "63" }, "uris" : [ "http://www.mendeley.com/documents/?uuid=a2af0357-d9c0-4167-996b-0262fc7582a7" ] } ], "mendeley" : { "formattedCitation" : "(Hubbell and Foster, 1992)", "plainTextFormattedCitation" : "(Hubbell and Foster, 1992)", "previouslyFormattedCitation" : "(Hubbell and Foster, 1992)"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(Hubbell and Foster, 1992)</w:t>
      </w:r>
      <w:r w:rsidRPr="00531789">
        <w:rPr>
          <w:rFonts w:ascii="Cambria" w:hAnsi="Cambria" w:cs="Arial"/>
        </w:rPr>
        <w:fldChar w:fldCharType="end"/>
      </w:r>
      <w:r w:rsidRPr="00531789">
        <w:rPr>
          <w:rFonts w:ascii="Cambria" w:hAnsi="Cambria" w:cs="Arial"/>
        </w:rPr>
        <w:t xml:space="preserve">.  Ecological life history theory points towards a growth-survival trade-off </w:t>
      </w:r>
      <w:r w:rsidRPr="00531789">
        <w:rPr>
          <w:rFonts w:ascii="Cambria" w:hAnsi="Cambria" w:cs="Arial"/>
        </w:rPr>
        <w:fldChar w:fldCharType="begin" w:fldLock="1"/>
      </w:r>
      <w:r>
        <w:rPr>
          <w:rFonts w:ascii="Cambria" w:hAnsi="Cambria" w:cs="Arial"/>
        </w:rPr>
        <w:instrText>ADDIN CSL_CITATION { "citationItems" : [ { "id" : "ITEM-1", "itemData" : { "DOI" : "10.1111/j.1461-0248.2010.01517.x", "ISSN" : "1461-0248", "PMID" : "20807232", "abstract" : "Cross-species analyses of plant functional traits have shed light on factors contributing to differences in performance and distribution, but to date most studies have focused on either leaves or stems. We extend these tissue-specific analyses of functional strategy towards a whole-plant approach by integrating data on functional traits for 13 448 leaves and wood tissues from 4672 trees representing 668 species of Neotropical trees. Strong correlations amongst traits previously defined as the leaf economics spectrum reflect a tradeoff between investments in productive leaves with rapid turnover vs. costly physical leaf structure with a long revenue stream. A second axis of variation, the 'stem economics spectrum', defines a similar tradeoff at the stem level: dense wood vs. high wood water content and thick bark. Most importantly, these two axes are orthogonal, suggesting that tradeoffs operate independently at the leaf and at the stem levels. By simplifying the multivariate ecological strategies of tropical trees into positions along these two spectra, our results provide a basis to improve global vegetation models predicting responses of tropical forests to global change.", "author" : [ { "dropping-particle" : "", "family" : "Baraloto", "given" : "Christopher", "non-dropping-particle" : "", "parse-names" : false, "suffix" : "" }, { "dropping-particle" : "", "family" : "Timothy Paine", "given" : "C E", "non-dropping-particle" : "", "parse-names" : false, "suffix" : "" }, { "dropping-particle" : "", "family" : "Poorter", "given" : "Lourens", "non-dropping-particle" : "", "parse-names" : false, "suffix" : "" }, { "dropping-particle" : "", "family" : "Beauchene", "given" : "Jacques", "non-dropping-particle" : "", "parse-names" : false, "suffix" : "" }, { "dropping-particle" : "", "family" : "Bonal", "given" : "Damien", "non-dropping-particle" : "", "parse-names" : false, "suffix" : "" }, { "dropping-particle" : "", "family" : "Domenach", "given" : "Anne-Marie", "non-dropping-particle" : "", "parse-names" : false, "suffix" : "" }, { "dropping-particle" : "", "family" : "H\u00e9rault", "given" : "Bruno", "non-dropping-particle" : "", "parse-names" : false, "suffix" : "" }, { "dropping-particle" : "", "family" : "Pati\u00f1o", "given" : "Sandra", "non-dropping-particle" : "", "parse-names" : false, "suffix" : "" }, { "dropping-particle" : "", "family" : "Roggy", "given" : "Jean-Christophe", "non-dropping-particle" : "", "parse-names" : false, "suffix" : "" }, { "dropping-particle" : "", "family" : "Chave", "given" : "Jerome", "non-dropping-particle" : "", "parse-names" : false, "suffix" : "" } ], "container-title" : "Ecology Letters", "id" : "ITEM-1", "issue" : "11", "issued" : { "date-parts" : [ [ "2010", "11" ] ] }, "page" : "1338-47", "title" : "Decoupled leaf and stem economics in rain forest trees.", "type" : "article-journal", "volume" : "13" }, "uris" : [ "http://www.mendeley.com/documents/?uuid=3b33260f-4183-4dc2-bff3-08f98d3c927a" ] } ], "mendeley" : { "formattedCitation" : "(Baraloto &lt;i&gt;et al.&lt;/i&gt;, 2010)", "manualFormatting" : "(e.g. Baraloto et al., 2010)", "plainTextFormattedCitation" : "(Baraloto et al., 2010)", "previouslyFormattedCitation" : "(Baraloto &lt;i&gt;et al.&lt;/i&gt;, 2010)"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 xml:space="preserve">(e.g. Baraloto </w:t>
      </w:r>
      <w:r w:rsidRPr="00531789">
        <w:rPr>
          <w:rFonts w:ascii="Cambria" w:hAnsi="Cambria" w:cs="Arial"/>
          <w:i/>
          <w:noProof/>
        </w:rPr>
        <w:t>et al</w:t>
      </w:r>
      <w:r w:rsidRPr="00531789">
        <w:rPr>
          <w:rFonts w:ascii="Cambria" w:hAnsi="Cambria" w:cs="Arial"/>
          <w:noProof/>
        </w:rPr>
        <w:t>., 2010)</w:t>
      </w:r>
      <w:r w:rsidRPr="00531789">
        <w:rPr>
          <w:rFonts w:ascii="Cambria" w:hAnsi="Cambria" w:cs="Arial"/>
        </w:rPr>
        <w:fldChar w:fldCharType="end"/>
      </w:r>
      <w:r w:rsidRPr="00531789">
        <w:rPr>
          <w:rFonts w:ascii="Cambria" w:hAnsi="Cambria" w:cs="Arial"/>
        </w:rPr>
        <w:t xml:space="preserve">, which helps to explain species differences in growth rate </w:t>
      </w:r>
      <w:r w:rsidRPr="00531789">
        <w:rPr>
          <w:rFonts w:ascii="Cambria" w:hAnsi="Cambria" w:cs="Arial"/>
        </w:rPr>
        <w:fldChar w:fldCharType="begin" w:fldLock="1"/>
      </w:r>
      <w:r>
        <w:rPr>
          <w:rFonts w:ascii="Cambria" w:hAnsi="Cambria" w:cs="Arial"/>
        </w:rPr>
        <w:instrText>ADDIN CSL_CITATION { "citationItems" : [ { "id" : "ITEM-1", "itemData" : { "DOI" : "10.1111/j.1365-2435.2006.01084.x", "ISSN" : "0269-8463", "author" : [ { "dropping-particle" : "", "family" : "Metcalf", "given" : "C. J. E.", "non-dropping-particle" : "", "parse-names" : false, "suffix" : "" }, { "dropping-particle" : "", "family" : "Rees", "given" : "M.", "non-dropping-particle" : "", "parse-names" : false, "suffix" : "" }, { "dropping-particle" : "", "family" : "Alexander", "given" : "J. M.", "non-dropping-particle" : "", "parse-names" : false, "suffix" : "" }, { "dropping-particle" : "", "family" : "Rose", "given" : "K.", "non-dropping-particle" : "", "parse-names" : false, "suffix" : "" } ], "container-title" : "Functional Ecology", "id" : "ITEM-1", "issue" : "2", "issued" : { "date-parts" : [ [ "2006", "4" ] ] }, "page" : "217-225", "title" : "Growth-survival trade-offs and allometries in rosette-forming perennials", "type" : "article-journal", "volume" : "20" }, "uris" : [ "http://www.mendeley.com/documents/?uuid=05ed1b69-04e3-4002-b4da-63ceb6d33315" ] } ], "mendeley" : { "formattedCitation" : "(Metcalf &lt;i&gt;et al.&lt;/i&gt;, 2006)", "plainTextFormattedCitation" : "(Metcalf et al., 2006)", "previouslyFormattedCitation" : "(Metcalf &lt;i&gt;et al.&lt;/i&gt;, 2006)"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(Metcalf </w:t>
      </w:r>
      <w:r w:rsidRPr="002C5907">
        <w:rPr>
          <w:rFonts w:ascii="Cambria" w:hAnsi="Cambria" w:cs="Arial"/>
          <w:i/>
          <w:noProof/>
        </w:rPr>
        <w:t>et al.</w:t>
      </w:r>
      <w:r w:rsidRPr="002C5907">
        <w:rPr>
          <w:rFonts w:ascii="Cambria" w:hAnsi="Cambria" w:cs="Arial"/>
          <w:noProof/>
        </w:rPr>
        <w:t>, 2006)</w:t>
      </w:r>
      <w:r w:rsidRPr="00531789">
        <w:rPr>
          <w:rFonts w:ascii="Cambria" w:hAnsi="Cambria" w:cs="Arial"/>
        </w:rPr>
        <w:fldChar w:fldCharType="end"/>
      </w:r>
      <w:r w:rsidRPr="00531789">
        <w:rPr>
          <w:rFonts w:ascii="Cambria" w:hAnsi="Cambria" w:cs="Arial"/>
        </w:rPr>
        <w:t xml:space="preserve">, and leads to niche partitioning </w:t>
      </w:r>
      <w:r w:rsidRPr="00531789">
        <w:rPr>
          <w:rFonts w:ascii="Cambria" w:hAnsi="Cambria" w:cs="Arial"/>
        </w:rPr>
        <w:fldChar w:fldCharType="begin" w:fldLock="1"/>
      </w:r>
      <w:r>
        <w:rPr>
          <w:rFonts w:ascii="Cambria" w:hAnsi="Cambria" w:cs="Arial"/>
        </w:rPr>
        <w:instrText>ADDIN CSL_CITATION { "citationItems" : [ { "id" : "ITEM-1", "itemData" : { "ISSN" : "0012-9658", "PMID" : "21302837", "abstract" : "A trade-off between growth and mortality rates characterizes tree species in closed canopy forests. This trade-off is maintained by inherent differences among species and spatial variation in light availability caused by canopy-opening disturbances. We evaluated conditions under which the trade-off is expressed and relationships with four key functional traits for 103 tree species from Barro Colorado Island, Panama. The trade-off is strongest for saplings for growth rates of the fastest growing individuals and mortality rates of the slowest growing individuals (r2 = 0.69), intermediate for saplings for average growth rates and overall mortality rates (r2 = 0.46), and much weaker for large trees (r2 &lt; or = 0.10). This parallels likely levels of spatial variation in light availability, which is greatest for fast- vs. slow-growing saplings and least for large trees with foliage in the forest canopy. Inherent attributes of species contributing to the trade-off include abilities to disperse, acquire resources, grow rapidly, and tolerate shade and other stresses. There is growing interest in the possibility that functional traits might provide insight into such ecological differences and a growing consensus that seed mass (SM), leaf mass per area (LMA), wood density (WD), and maximum height (H(max)) are key traits among forest trees. Seed mass, LMA, WD, and H(max) are predicted to be small for light-demanding species with rapid growth and mortality and large for shade-tolerant species with slow growth and mortality. Six of these trait-demographic rate predictions were realized for saplings; however, with the exception of WD, the relationships were weak (r2 &lt; 0.1 for three and r2 &lt; 0.2 for five of the six remaining relationships). The four traits together explained 43-44% of interspecific variation in species positions on the growth-mortality trade-off; however, WD alone accounted for &gt; 80% of the explained variation and, after WD was included, LMA and H(max) made insignificant contributions. Virtually the full range of values of SM, LMA, and H(max) occurred at all positions on the growth-mortality trade-off. Although WD provides a promising start, a successful trait-based ecology of tropical forest trees will require consideration of additional traits.", "author" : [ { "dropping-particle" : "", "family" : "Wright", "given" : "S Joseph", "non-dropping-particle" : "", "parse-names" : false, "suffix" : "" }, { "dropping-particle" : "", "family" : "Kitajima", "given" : "Kaoru", "non-dropping-particle" : "", "parse-names" : false, "suffix" : "" }, { "dropping-particle" : "", "family" : "Kraft", "given" : "Nathan J B", "non-dropping-particle" : "", "parse-names" : false, "suffix" : "" }, { "dropping-particle" : "", "family" : "Reich", "given" : "Peter B", "non-dropping-particle" : "", "parse-names" : false, "suffix" : "" }, { "dropping-particle" : "", "family" : "Wright", "given" : "Ian J", "non-dropping-particle" : "", "parse-names" : false, "suffix" : "" }, { "dropping-particle" : "", "family" : "Bunker", "given" : "Daniel E", "non-dropping-particle" : "", "parse-names" : false, "suffix" : "" }, { "dropping-particle" : "", "family" : "Condit", "given" : "Richard", "non-dropping-particle" : "", "parse-names" : false, "suffix" : "" }, { "dropping-particle" : "", "family" : "Dalling", "given" : "James W", "non-dropping-particle" : "", "parse-names" : false, "suffix" : "" }, { "dropping-particle" : "", "family" : "Davies", "given" : "Stuart J", "non-dropping-particle" : "", "parse-names" : false, "suffix" : "" }, { "dropping-particle" : "", "family" : "D\u00edaz", "given" : "Sandra", "non-dropping-particle" : "", "parse-names" : false, "suffix" : "" }, { "dropping-particle" : "", "family" : "Engelbrecht", "given" : "Bettina M J", "non-dropping-particle" : "", "parse-names" : false, "suffix" : "" }, { "dropping-particle" : "", "family" : "Harms", "given" : "Kyle E", "non-dropping-particle" : "", "parse-names" : false, "suffix" : "" }, { "dropping-particle" : "", "family" : "Hubbell", "given" : "Stephen P", "non-dropping-particle" : "", "parse-names" : false, "suffix" : "" }, { "dropping-particle" : "", "family" : "Marks", "given" : "Christian O", "non-dropping-particle" : "", "parse-names" : false, "suffix" : "" }, { "dropping-particle" : "", "family" : "Ruiz-Jaen", "given" : "Maria C", "non-dropping-particle" : "", "parse-names" : false, "suffix" : "" }, { "dropping-particle" : "", "family" : "Salvador", "given" : "Cristina M", "non-dropping-particle" : "", "parse-names" : false, "suffix" : "" }, { "dropping-particle" : "", "family" : "Zanne", "given" : "Amy E", "non-dropping-particle" : "", "parse-names" : false, "suffix" : "" } ], "container-title" : "Ecology", "id" : "ITEM-1", "issue" : "12", "issued" : { "date-parts" : [ [ "2010", "12" ] ] }, "page" : "3664-74", "title" : "Functional traits and the growth-mortality trade-off in tropical trees.", "type" : "article-journal", "volume" : "91" }, "uris" : [ "http://www.mendeley.com/documents/?uuid=303b73d7-d6e4-449c-b349-727c17752161" ] } ], "mendeley" : { "formattedCitation" : "(Wright &lt;i&gt;et al.&lt;/i&gt;, 2010)", "plainTextFormattedCitation" : "(Wright et al., 2010)", "previouslyFormattedCitation" : "(Wright &lt;i&gt;et al.&lt;/i&gt;, 2010)"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(Wright </w:t>
      </w:r>
      <w:r w:rsidRPr="002C5907">
        <w:rPr>
          <w:rFonts w:ascii="Cambria" w:hAnsi="Cambria" w:cs="Arial"/>
          <w:i/>
          <w:noProof/>
        </w:rPr>
        <w:t>et al.</w:t>
      </w:r>
      <w:r w:rsidRPr="002C5907">
        <w:rPr>
          <w:rFonts w:ascii="Cambria" w:hAnsi="Cambria" w:cs="Arial"/>
          <w:noProof/>
        </w:rPr>
        <w:t>, 2010)</w:t>
      </w:r>
      <w:r w:rsidRPr="00531789">
        <w:rPr>
          <w:rFonts w:ascii="Cambria" w:hAnsi="Cambria" w:cs="Arial"/>
        </w:rPr>
        <w:fldChar w:fldCharType="end"/>
      </w:r>
      <w:r w:rsidRPr="00531789">
        <w:rPr>
          <w:rFonts w:ascii="Cambria" w:hAnsi="Cambria" w:cs="Arial"/>
        </w:rPr>
        <w:t xml:space="preserve">.  Growth rate therefore represents a major axis of ecological variation among species, which correlates with changes in resource availability and risk of mortality, but trades off against defence and storage </w:t>
      </w:r>
      <w:r w:rsidRPr="00531789">
        <w:rPr>
          <w:rFonts w:ascii="Cambria" w:hAnsi="Cambria" w:cs="Arial"/>
        </w:rPr>
        <w:fldChar w:fldCharType="begin" w:fldLock="1"/>
      </w:r>
      <w:r>
        <w:rPr>
          <w:rFonts w:ascii="Cambria" w:hAnsi="Cambria" w:cs="Arial"/>
        </w:rPr>
        <w:instrText>ADDIN CSL_CITATION { "citationItems" : [ { "id" : "ITEM-1", "itemData" : { "author" : [ { "dropping-particle" : "", "family" : "Herms", "given" : "DA", "non-dropping-particle" : "", "parse-names" : false, "suffix" : "" }, { "dropping-particle" : "", "family" : "Mattson", "given" : "WJ", "non-dropping-particle" : "", "parse-names" : false, "suffix" : "" } ], "container-title" : "Quarterly Review of Biology", "id" : "ITEM-1", "issue" : "3", "issued" : { "date-parts" : [ [ "1992" ] ] }, "page" : "283-335", "title" : "The dilemma of plants: to grow or defend", "type" : "article-journal", "volume" : "67" }, "uris" : [ "http://www.mendeley.com/documents/?uuid=04a4f4d9-18fd-4777-a94f-0c6f5d573381" ] }, { "id" : "ITEM-2", "itemData" : { "author" : [ { "dropping-particle" : "", "family" : "Grime", "given" : "JP", "non-dropping-particle" : "", "parse-names" : false, "suffix" : "" } ], "container-title" : "American Naturalist", "id" : "ITEM-2", "issue" : "982", "issued" : { "date-parts" : [ [ "1977" ] ] }, "page" : "1169-1194", "title" : "Evidence for the existence of three primary strategies in plants and its relevance to ecological and evolutionary theory", "type" : "article-journal", "volume" : "111" }, "uris" : [ "http://www.mendeley.com/documents/?uuid=d3cfc96e-5709-456d-a5b2-4253aa398a05" ] }, { "id" : "ITEM-3", "itemData" : { "abstract" : "Small-seeded plant species are often reported to have high relative growth rate or RGR. However, because RGR declines as plants grow larger, small-seeded species could achieve higher RGR simply by virtue of their small size. In contrast, size-standardized growth rate or SGR factors out these size effects. Differences in SGR can thus only be due to differences in morphology, allocation, or physiology. We used nonlinear regression to calculate SGR for comparison with RGR for 10 groups of species spanning a wide range of life forms. We found that RGR was negatively correlated with seed mass in nearly all groups, but the relationship between SGR and seed mass was highly variable. We conclude that small- seeded species only sometimes possess additional adaptations for rapid growth over and above their general size advantage.", "author" : [ { "dropping-particle" : "", "family" : "Turnbull", "given" : "Linsday A.", "non-dropping-particle" : "", "parse-names" : false, "suffix" : "" }, { "dropping-particle" : "", "family" : "Philipson", "given" : "Christopher D.", "non-dropping-particle" : "", "parse-names" : false, "suffix" : "" }, { "dropping-particle" : "", "family" : "Purves", "given" : "Drew W.", "non-dropping-particle" : "", "parse-names" : false, "suffix" : "" }, { "dropping-particle" : "", "family" : "Atkinson", "given" : "Rebecca L.", "non-dropping-particle" : "", "parse-names" : false, "suffix" : "" }, { "dropping-particle" : "", "family" : "Cunniff", "given" : "Jennifer", "non-dropping-particle" : "", "parse-names" : false, "suffix" : "" }, { "dropping-particle" : "", "family" : "Goodenough", "given" : "Anne", "non-dropping-particle" : "", "parse-names" : false, "suffix" : "" }, { "dropping-particle" : "", "family" : "Hautier", "given" : "Yann", "non-dropping-particle" : "", "parse-names" : false, "suffix" : "" }, { "dropping-particle" : "", "family" : "Houghton", "given" : "Jennie", "non-dropping-particle" : "", "parse-names" : false, "suffix" : "" }, { "dropping-particle" : "", "family" : "Marthews", "given" : "Toby R.", "non-dropping-particle" : "", "parse-names" : false, "suffix" : "" }, { "dropping-particle" : "", "family" : "Osborne", "given" : "Colin P.", "non-dropping-particle" : "", "parse-names" : false, "suffix" : "" }, { "dropping-particle" : "", "family" : "Paul-Victor", "given" : "Cloe", "non-dropping-particle" : "", "parse-names" : false, "suffix" : "" }, { "dropping-particle" : "", "family" : "Rose", "given" : "Karen E.", "non-dropping-particle" : "", "parse-names" : false, "suffix" : "" }, { "dropping-particle" : "", "family" : "Saner", "given" : "Philippe", "non-dropping-particle" : "", "parse-names" : false, "suffix" : "" }, { "dropping-particle" : "", "family" : "Taylor", "given" : "Samuel H.", "non-dropping-particle" : "", "parse-names" : false, "suffix" : "" }, { "dropping-particle" : "", "family" : "Woodward", "given" : "F. Ian", "non-dropping-particle" : "", "parse-names" : false, "suffix" : "" }, { "dropping-particle" : "", "family" : "Hector", "given" : "Andy", "non-dropping-particle" : "", "parse-names" : false, "suffix" : "" }, { "dropping-particle" : "", "family" : "Rees", "given" : "Mark", "non-dropping-particle" : "", "parse-names" : false, "suffix" : "" } ], "container-title" : "Ecology", "id" : "ITEM-3", "issue" : "6", "issued" : { "date-parts" : [ [ "2012" ] ] }, "page" : "1283-1289", "title" : "Plant growth rates and seed size: a re-evaluation", "type" : "article-journal", "volume" : "93" }, "uris" : [ "http://www.mendeley.com/documents/?uuid=70ccabc0-3105-47cc-89cc-09650d6a329e" ] }, { "id" : "ITEM-4", "itemData" : { "DOI" : "10.1111/j.1461-0248.2009.01394.x", "ISSN" : "1461-0248", "PMID" : "19874384", "abstract" : "Growth rates play a fundamental role in many areas of biology (Q. Rev. Biol., 67, 1992, 283; Life History Invariants. Some Explorations of Symmetry in Evolutionary Biology, 1993; Philos. Trans. R. Soc. Lond. B Biol. Sci., 351, 1996, 1341; Plant Strategies, Vegetation Processes, and Ecosystem Properties, 2002; Trends Ecol. Evol., 18, 2003, 471; Q. Rev. Biol., 78, 2003, 23; J. Ecol., 95, 2007, 926.) but the cost and benefits of different growth rates are notoriously difficult to quantify (Q. Rev. Biol., 72, 1997, 149; Funct. Ecol., 17, 2003, 328). This is because (1) growth rate typically declines with size and yet the most widely used growth measure - relative growth rate or RGR (conventionally measured as the log of the ratio of successive sizes divided by the time interval) - is not size-corrected and so confounds growth and size, (2) organisms have access to different amounts of resource and (3) it is essential to allow for the long-term benefits of larger size. Here we experimentally demonstrate delayed costs and benefits of rapid growth in seven plant species using a novel method to calculate size-corrected RGR. In control treatments, fast-growing plants benefited from increased reproduction the following year; however, fast-growing plants subjected to an experimental stress treatment (defoliation) showed strongly reduced survival and reproduction the following year. Importantly, when growth was estimated using the classical RGR measure, no costs or benefits were found. These results support the idea that life-history trade-offs have a dominant role in life-history and ecological theory and that the widespread failure to detect them is partly due to methodological shortcomings.", "author" : [ { "dropping-particle" : "", "family" : "Rose", "given" : "Karen E", "non-dropping-particle" : "", "parse-names" : false, "suffix" : "" }, { "dropping-particle" : "", "family" : "Atkinson", "given" : "Rebecca L", "non-dropping-particle" : "", "parse-names" : false, "suffix" : "" }, { "dropping-particle" : "", "family" : "Turnbull", "given" : "Lindsay A", "non-dropping-particle" : "", "parse-names" : false, "suffix" : "" }, { "dropping-particle" : "", "family" : "Rees", "given" : "Mark", "non-dropping-particle" : "", "parse-names" : false, "suffix" : "" } ], "container-title" : "Ecology Letters", "id" : "ITEM-4", "issue" : "12", "issued" : { "date-parts" : [ [ "2009", "12" ] ] }, "page" : "1379-84", "title" : "The costs and benefits of fast living.", "type" : "article-journal", "volume" : "12" }, "uris" : [ "http://www.mendeley.com/documents/?uuid=1cd4b972-28f2-4cae-a4c8-f1fbb38f0c26" ] } ], "mendeley" : { "formattedCitation" : "(Grime, 1977; Herms and Mattson, 1992; Rose &lt;i&gt;et al.&lt;/i&gt;, 2009; Turnbull &lt;i&gt;et al.&lt;/i&gt;, 2012)", "plainTextFormattedCitation" : "(Grime, 1977; Herms and Mattson, 1992; Rose et al., 2009; Turnbull et al., 2012)", "previouslyFormattedCitation" : "(Grime, 1977; Herms and Mattson, 1992; Rose &lt;i&gt;et al.&lt;/i&gt;, 2009; Turnbull &lt;i&gt;et al.&lt;/i&gt;, 2012)"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(Grime, 1977; Herms and Mattson, 1992; Rose </w:t>
      </w:r>
      <w:r w:rsidRPr="002C5907">
        <w:rPr>
          <w:rFonts w:ascii="Cambria" w:hAnsi="Cambria" w:cs="Arial"/>
          <w:i/>
          <w:noProof/>
        </w:rPr>
        <w:t>et al.</w:t>
      </w:r>
      <w:r w:rsidRPr="002C5907">
        <w:rPr>
          <w:rFonts w:ascii="Cambria" w:hAnsi="Cambria" w:cs="Arial"/>
          <w:noProof/>
        </w:rPr>
        <w:t xml:space="preserve">, 2009; Turnbull </w:t>
      </w:r>
      <w:r w:rsidRPr="002C5907">
        <w:rPr>
          <w:rFonts w:ascii="Cambria" w:hAnsi="Cambria" w:cs="Arial"/>
          <w:i/>
          <w:noProof/>
        </w:rPr>
        <w:t>et al.</w:t>
      </w:r>
      <w:r w:rsidRPr="002C5907">
        <w:rPr>
          <w:rFonts w:ascii="Cambria" w:hAnsi="Cambria" w:cs="Arial"/>
          <w:noProof/>
        </w:rPr>
        <w:t>, 2012)</w:t>
      </w:r>
      <w:r w:rsidRPr="00531789">
        <w:rPr>
          <w:rFonts w:ascii="Cambria" w:hAnsi="Cambria" w:cs="Arial"/>
        </w:rPr>
        <w:fldChar w:fldCharType="end"/>
      </w:r>
      <w:r w:rsidRPr="00531789">
        <w:rPr>
          <w:rFonts w:ascii="Cambria" w:hAnsi="Cambria" w:cs="Arial"/>
        </w:rPr>
        <w:t xml:space="preserve">. </w:t>
      </w:r>
    </w:p>
    <w:p w14:paraId="2641B0C3" w14:textId="77777777" w:rsidR="00DF4522" w:rsidRPr="00531789" w:rsidRDefault="00DF4522" w:rsidP="00DF4522">
      <w:pPr>
        <w:tabs>
          <w:tab w:val="left" w:pos="3780"/>
        </w:tabs>
        <w:spacing w:line="360" w:lineRule="auto"/>
        <w:jc w:val="both"/>
        <w:rPr>
          <w:rFonts w:ascii="Cambria" w:hAnsi="Cambria" w:cs="Arial"/>
        </w:rPr>
      </w:pPr>
      <w:r w:rsidRPr="00531789">
        <w:rPr>
          <w:rFonts w:ascii="Cambria" w:hAnsi="Cambria" w:cs="Arial"/>
        </w:rPr>
        <w:t xml:space="preserve"> </w:t>
      </w:r>
    </w:p>
    <w:p w14:paraId="4126E169" w14:textId="77777777" w:rsidR="00DF4522" w:rsidRPr="00531789" w:rsidRDefault="00DF4522" w:rsidP="00DF4522">
      <w:pPr>
        <w:tabs>
          <w:tab w:val="left" w:pos="3780"/>
        </w:tabs>
        <w:spacing w:line="360" w:lineRule="auto"/>
        <w:jc w:val="both"/>
        <w:rPr>
          <w:rFonts w:ascii="Cambria" w:hAnsi="Cambria" w:cs="Arial"/>
        </w:rPr>
      </w:pPr>
      <w:r w:rsidRPr="00531789">
        <w:rPr>
          <w:rFonts w:ascii="Cambria" w:hAnsi="Cambria" w:cs="Arial"/>
        </w:rPr>
        <w:t xml:space="preserve">Proximate causes of growth rate variation include both external and internal factors </w:t>
      </w:r>
      <w:r w:rsidRPr="00531789">
        <w:rPr>
          <w:rFonts w:ascii="Cambria" w:hAnsi="Cambria" w:cs="Arial"/>
        </w:rPr>
        <w:fldChar w:fldCharType="begin" w:fldLock="1"/>
      </w:r>
      <w:r>
        <w:rPr>
          <w:rFonts w:ascii="Cambria" w:hAnsi="Cambria" w:cs="Arial"/>
        </w:rPr>
        <w:instrText>ADDIN CSL_CITATION { "citationItems" : [ { "id" : "ITEM-1", "itemData" : { "author" : [ { "dropping-particle" : "", "family" : "K\u00f6rner", "given" : "Christian", "non-dropping-particle" : "", "parse-names" : false, "suffix" : "" } ], "container-title" : "Functional Ecology", "id" : "ITEM-1", "issue" : "2", "issued" : { "date-parts" : [ [ "1991" ] ] }, "page" : "162-173", "title" : "Some often overlooked plant characteristics as determinants of plant growth : a reconsideration", "type" : "article-journal", "volume" : "5" }, "uris" : [ "http://www.mendeley.com/documents/?uuid=345efd34-a147-4ca1-8ff6-c228932f5b2c" ] } ], "mendeley" : { "formattedCitation" : "(K\u00f6rner, 1991)", "manualFormatting" : "(K\u00f6rner, 1991)", "plainTextFormattedCitation" : "(K\u00f6rner, 1991)", "previouslyFormattedCitation" : "(K\u00f6rner, 1991)"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(K</w:t>
      </w:r>
      <w:r w:rsidRPr="00531789">
        <w:rPr>
          <w:rFonts w:ascii="Cambria" w:hAnsi="Cambria"/>
          <w:bCs/>
          <w:noProof/>
        </w:rPr>
        <w:t>ö</w:t>
      </w:r>
      <w:r w:rsidRPr="00531789">
        <w:rPr>
          <w:rFonts w:ascii="Cambria" w:hAnsi="Cambria" w:cs="Arial"/>
          <w:noProof/>
        </w:rPr>
        <w:t>rner, 1991)</w:t>
      </w:r>
      <w:r w:rsidRPr="00531789">
        <w:rPr>
          <w:rFonts w:ascii="Cambria" w:hAnsi="Cambria" w:cs="Arial"/>
        </w:rPr>
        <w:fldChar w:fldCharType="end"/>
      </w:r>
      <w:r w:rsidRPr="00531789">
        <w:rPr>
          <w:rFonts w:ascii="Cambria" w:hAnsi="Cambria" w:cs="Arial"/>
        </w:rPr>
        <w:t xml:space="preserve">.  Externally, plants are affected by a plethora of abiotic and biotic factors including nutrient and light levels, temperature, competition and </w:t>
      </w:r>
      <w:proofErr w:type="spellStart"/>
      <w:r w:rsidRPr="00531789">
        <w:rPr>
          <w:rFonts w:ascii="Cambria" w:hAnsi="Cambria" w:cs="Arial"/>
        </w:rPr>
        <w:t>herbivory</w:t>
      </w:r>
      <w:proofErr w:type="spellEnd"/>
      <w:r w:rsidRPr="00531789">
        <w:rPr>
          <w:rFonts w:ascii="Cambria" w:hAnsi="Cambria" w:cs="Arial"/>
        </w:rPr>
        <w:t xml:space="preserve">, all of which influence the supply and demand for essential resources, and plants must ensure that growth rates are attuned accordingly </w:t>
      </w:r>
      <w:r w:rsidRPr="00531789">
        <w:rPr>
          <w:rFonts w:ascii="Cambria" w:hAnsi="Cambria" w:cs="Arial"/>
        </w:rPr>
        <w:fldChar w:fldCharType="begin" w:fldLock="1"/>
      </w:r>
      <w:r>
        <w:rPr>
          <w:rFonts w:ascii="Cambria" w:hAnsi="Cambria" w:cs="Arial"/>
        </w:rPr>
        <w:instrText>ADDIN CSL_CITATION { "citationItems" : [ { "id" : "ITEM-1", "itemData" : { "author" : [ { "dropping-particle" : "", "family" : "Bloom", "given" : "Arnold J", "non-dropping-particle" : "", "parse-names" : false, "suffix" : "" }, { "dropping-particle" : "", "family" : "Chapin", "given" : "F Stuart", "non-dropping-particle" : "", "parse-names" : false, "suffix" : "" }, { "dropping-particle" : "", "family" : "Mooney", "given" : "Harold A", "non-dropping-particle" : "", "parse-names" : false, "suffix" : "" } ], "container-title" : "Annual Review of Ecology and Systematics", "id" : "ITEM-1", "issued" : { "date-parts" : [ [ "1985" ] ] }, "page" : "363-392", "title" : "Resource Limitation in Plants - an Economic Analogy", "type" : "article-journal", "volume" : "16" }, "uris" : [ "http://www.mendeley.com/documents/?uuid=284f9c58-ad2d-48fa-a414-5513ba4d8bdb" ] }, { "id" : "ITEM-2", "itemData" : { "author" : [ { "dropping-particle" : "", "family" : "Coley", "given" : "Phyllis D", "non-dropping-particle" : "", "parse-names" : false, "suffix" : "" }, { "dropping-particle" : "", "family" : "Bryant", "given" : "John P", "non-dropping-particle" : "", "parse-names" : false, "suffix" : "" }, { "dropping-particle" : "", "family" : "Chapin", "given" : "F Stuart", "non-dropping-particle" : "", "parse-names" : false, "suffix" : "" } ], "container-title" : "Science", "id" : "ITEM-2", "issued" : { "date-parts" : [ [ "1985" ] ] }, "page" : "895-899", "title" : "Resource availability and plant antiherbivore defence", "type" : "article-journal", "volume" : "230" }, "uris" : [ "http://www.mendeley.com/documents/?uuid=4eec391a-334e-4018-a739-f156fd3e9a1b" ] } ], "mendeley" : { "formattedCitation" : "(Bloom &lt;i&gt;et al.&lt;/i&gt;, 1985; Coley &lt;i&gt;et al.&lt;/i&gt;, 1985)", "plainTextFormattedCitation" : "(Bloom et al., 1985; Coley et al., 1985)", "previouslyFormattedCitation" : "(Bloom &lt;i&gt;et al.&lt;/i&gt;, 1985; Coley &lt;i&gt;et al.&lt;/i&gt;, 1985)"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(Bloom </w:t>
      </w:r>
      <w:r w:rsidRPr="002C5907">
        <w:rPr>
          <w:rFonts w:ascii="Cambria" w:hAnsi="Cambria" w:cs="Arial"/>
          <w:i/>
          <w:noProof/>
        </w:rPr>
        <w:t>et al.</w:t>
      </w:r>
      <w:r w:rsidRPr="002C5907">
        <w:rPr>
          <w:rFonts w:ascii="Cambria" w:hAnsi="Cambria" w:cs="Arial"/>
          <w:noProof/>
        </w:rPr>
        <w:t xml:space="preserve">, 1985; Coley </w:t>
      </w:r>
      <w:r w:rsidRPr="002C5907">
        <w:rPr>
          <w:rFonts w:ascii="Cambria" w:hAnsi="Cambria" w:cs="Arial"/>
          <w:i/>
          <w:noProof/>
        </w:rPr>
        <w:t>et al.</w:t>
      </w:r>
      <w:r w:rsidRPr="002C5907">
        <w:rPr>
          <w:rFonts w:ascii="Cambria" w:hAnsi="Cambria" w:cs="Arial"/>
          <w:noProof/>
        </w:rPr>
        <w:t>, 1985)</w:t>
      </w:r>
      <w:r w:rsidRPr="00531789">
        <w:rPr>
          <w:rFonts w:ascii="Cambria" w:hAnsi="Cambria" w:cs="Arial"/>
        </w:rPr>
        <w:fldChar w:fldCharType="end"/>
      </w:r>
      <w:r w:rsidRPr="00531789">
        <w:rPr>
          <w:rFonts w:ascii="Cambria" w:hAnsi="Cambria" w:cs="Arial"/>
        </w:rPr>
        <w:t xml:space="preserve">.  Internally, plant growth is constrained by molecular, physiological and developmental processes: metabolic rates determine the capacity to take up and store resources, whilst allocation during development, rates of cell division and expansion, and developmental transitions from vegetative to reproductive growth all have important effects on resource use and partitioning.  These internal processes can all be understood within the framework of source-sink interactions: source activity refers to the rate at which essential external resources are acquired by the plant and made available internally, whilst sink activity refers to the internal drawdown of these resources. This drawdown encompasses resource sequestration in growth and storage, plus resource losses through respiration or exudation.  By necessity, the relationships between sinks and sources are both finely tuned and tightly regulated by feedback and </w:t>
      </w:r>
      <w:proofErr w:type="spellStart"/>
      <w:r w:rsidRPr="00531789">
        <w:rPr>
          <w:rFonts w:ascii="Cambria" w:hAnsi="Cambria" w:cs="Arial"/>
        </w:rPr>
        <w:t>feedforward</w:t>
      </w:r>
      <w:proofErr w:type="spellEnd"/>
      <w:r w:rsidRPr="00531789">
        <w:rPr>
          <w:rFonts w:ascii="Cambria" w:hAnsi="Cambria" w:cs="Arial"/>
        </w:rPr>
        <w:t xml:space="preserve"> mechanisms, many of which are now well characterised within tissues at the molecular level </w:t>
      </w:r>
      <w:r w:rsidRPr="00531789">
        <w:rPr>
          <w:rFonts w:ascii="Cambria" w:hAnsi="Cambria" w:cs="Arial"/>
        </w:rPr>
        <w:fldChar w:fldCharType="begin" w:fldLock="1"/>
      </w:r>
      <w:r w:rsidRPr="00531789">
        <w:rPr>
          <w:rFonts w:ascii="Cambria" w:hAnsi="Cambria" w:cs="Arial"/>
        </w:rPr>
        <w:instrText>ADDIN CSL_CITATION { "citationItems" : [ { "id" : "ITEM-1", "itemData" : { "DOI" : "10.1111/j.1365-3040.2007.01708.x", "ISSN" : "0140-7791", "PMID" : "17661751", "abstract" : "Plants must achieve a balance between carbon assimilation, storage and growth, but little is known about how this is achieved. We describe evidence for the existence of regulatory mechanisms that coordinate carbon supply and use, and the likely central role of sugar signalling. We propose the existence of both 'acute' and 'acclimatory' responses to alterations in carbon supply, the latter tuning the balance between carbon supply and demand to optimise the capacity for sustained growth. A full understanding of these responses requires new, systems-level approaches that integrate information from transcriptomic, enzyme activity, metabolomic and growth analyses. We illustrate the complexity of acute and acclimatory responses by consideration of the control of starch synthesis and degradation in leaves. Finally, we consider how carbon balance may be linked to growth, and the importance of these linkages for sustained plant growth in a changing environment.", "author" : [ { "dropping-particle" : "", "family" : "Smith", "given" : "Alison M", "non-dropping-particle" : "", "parse-names" : false, "suffix" : "" }, { "dropping-particle" : "", "family" : "Stitt", "given" : "Mark", "non-dropping-particle" : "", "parse-names" : false, "suffix" : "" } ], "container-title" : "Plant, Cell &amp; Environment", "id" : "ITEM-1", "issue" : "9", "issued" : { "date-parts" : [ [ "2007", "9" ] ] }, "page" : "1126-49", "title" : "Coordination of carbon supply and plant growth.", "type" : "article-journal", "volume" : "30" }, "uris" : [ "http://www.mendeley.com/documents/?uuid=5675458c-c801-4db7-8395-76bd083741f4" ] }, { "id" : "ITEM-2", "itemData" : { "DOI" : "10.3389/fpls.2014.00418", "ISSN" : "1664-462X", "PMID" : "25202319", "abstract" : "Considerable interest has been evoked by the analysis of the regulatory pathway in carbohydrate metabolism and cell growth involving the non-reducing disaccharide trehalose (TRE). TRE is at small concentrations in mesophytes such as Arabidopsis thaliana and Triticum aestivum, excluding a role in osmoregulation once suggested for it. Studies of TRE metabolism, and genetic modification of it, have shown a very wide and more important role of the pathway in regulation of many processes in development, growth, and photosynthesis. It has now been established that rather than TRE, it is trehalose 6-phosphate (T6P) which has such profound effects. T6P is the intermediary in TRE synthesis formed from glucose-6-phosphate and UDP-glucose, derived from sucrose, by the action of trehalose phosphate synthase. The concentration of T6P is determined both by the rate of synthesis, which depends on the sucrose concentration, and also by the rate of breakdown by trehalose-6-phosphate phosphatase which produces TRE. Changing T6P concentrations by genetically modifying the enzymes of synthesis and breakdown has altered photosynthesis, sugar metabolism, growth, and development which affect responses to, and recovery from, environmental factors. Many of the effects of T6P on metabolism and growth occur via the interaction of T6P with the SnRK1 protein kinase system. T6P inhibits the activity of SnRK1, which de-represses genes encoding proteins involved in anabolism. Consequently, a large concentration of sucrose increases T6P and thereby inhibits SnRK1, so stimulating growth of cells and their metabolic activity. The T6P/SnRK1 mechanism offers an important new view of how the distribution of assimilates to organs, such as developing grains in cereal plants, is achieved. This review briefly summarizes the factors determining, and limiting, yield of wheat (particularly mass/grain which is highly conserved) and considers how T6P/SnRK1 might function to determine grain yield and might be altered to increase them. Increasing the potential rate of filling and mass/grain are ways in which total crop yield could be increased with good husbandry which maintains crop assimilation Cereal yields globally are not increasing, despite the greater production required to meet human demand. Careful targeting of T6P is showing much promise for optimization of source/sink for yield improvement and offers yet further possibilities for increasing sink demand and grain size in wheat.", "author" : [ { "dropping-particle" : "", "family" : "Lawlor", "given" : "David W", "non-dropping-particle" : "", "parse-names" : false, "suffix" : "" }, { "dropping-particle" : "", "family" : "Paul", "given" : "Matthew J", "non-dropping-particle" : "", "parse-names" : false, "suffix" : "" } ], "container-title" : "Frontiers in Plant Science", "id" : "ITEM-2", "issue" : "August", "issued" : { "date-parts" : [ [ "2014", "1" ] ] }, "page" : "418", "title" : "Source/sink interactions underpin crop yield: the case for trehalose 6-phosphate/SnRK1 in improvement of wheat.", "type" : "article-journal", "volume" : "5" }, "uris" : [ "http://www.mendeley.com/documents/?uuid=c97af0ea-42dd-4e07-870d-deb434033f1a" ] } ], "mendeley" : { "formattedCitation" : "(Smith and Stitt, 2007; Lawlor and Paul, 2014)", "manualFormatting" : "(e.g. Smith and Stitt, 2007; Lawlor and Paul, 2014)", "plainTextFormattedCitation" : "(Smith and Stitt, 2007; Lawlor and Paul, 2014)", "previouslyFormattedCitation" : "(Smith and Stitt, 2007; Lawlor and Paul, 2014)"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(e.g. Smith and Stitt, 2007; Lawlor and Paul, 2014)</w:t>
      </w:r>
      <w:r w:rsidRPr="00531789">
        <w:rPr>
          <w:rFonts w:ascii="Cambria" w:hAnsi="Cambria" w:cs="Arial"/>
        </w:rPr>
        <w:fldChar w:fldCharType="end"/>
      </w:r>
      <w:r w:rsidRPr="00531789">
        <w:rPr>
          <w:rFonts w:ascii="Cambria" w:hAnsi="Cambria" w:cs="Arial"/>
        </w:rPr>
        <w:t xml:space="preserve">.  Since plants are sessile and can only influence external factors to a limited degree, the internal factors are well controlled.  As a consequence, it is these internal interactions of source and sink activity that must be responsible for the large intrinsic variation in relative growth rate among species under common environmental conditions. </w:t>
      </w:r>
    </w:p>
    <w:p w14:paraId="0BA2584F" w14:textId="77777777" w:rsidR="00DF4522" w:rsidRPr="00531789" w:rsidRDefault="00DF4522" w:rsidP="00DF4522">
      <w:pPr>
        <w:spacing w:line="360" w:lineRule="auto"/>
        <w:jc w:val="both"/>
        <w:rPr>
          <w:rFonts w:ascii="Cambria" w:hAnsi="Cambria" w:cs="Arial"/>
        </w:rPr>
      </w:pPr>
    </w:p>
    <w:p w14:paraId="6E227609"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The general principles governing the diversity in intrinsic growth rate among wild species also underpin the variation in yield potential among crop genotypes.  The current need to increase crop productivity for food and fuel, due to a rapidly-increasing global population, is urgent and well-documented </w:t>
      </w:r>
      <w:r w:rsidRPr="00531789">
        <w:rPr>
          <w:rFonts w:ascii="Cambria" w:hAnsi="Cambria" w:cs="Arial"/>
        </w:rPr>
        <w:fldChar w:fldCharType="begin" w:fldLock="1"/>
      </w:r>
      <w:r>
        <w:rPr>
          <w:rFonts w:ascii="Cambria" w:hAnsi="Cambria" w:cs="Arial"/>
        </w:rPr>
        <w:instrText>ADDIN CSL_CITATION { "citationItems" : [ { "id" : "ITEM-1", "itemData" : { "ISBN" : "9789251085424", "author" : [ { "dropping-particle" : "", "family" : "FAO", "given" : "", "non-dropping-particle" : "", "parse-names" : false, "suffix" : "" }, { "dropping-particle" : "", "family" : "IFAD", "given" : "", "non-dropping-particle" : "", "parse-names" : false, "suffix" : "" }, { "dropping-particle" : "", "family" : "WFP.", "given" : "", "non-dropping-particle" : "", "parse-names" : false, "suffix" : "" } ], "id" : "ITEM-1", "issued" : { "date-parts" : [ [ "2014" ] ] }, "publisher-place" : "Rome, FAO.", "title" : "The State of Food Insecurity in the World. Strengthening the enabling environment for food security and nutrition.", "type" : "report" }, "uris" : [ "http://www.mendeley.com/documents/?uuid=9aa14123-98ed-4352-b7d5-911e71b17c54" ] } ], "mendeley" : { "formattedCitation" : "(FAO &lt;i&gt;et al.&lt;/i&gt;, 2014)", "plainTextFormattedCitation" : "(FAO et al., 2014)", "previouslyFormattedCitation" : "(FAO &lt;i&gt;et al.&lt;/i&gt;, 2014)"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(FAO </w:t>
      </w:r>
      <w:r w:rsidRPr="002C5907">
        <w:rPr>
          <w:rFonts w:ascii="Cambria" w:hAnsi="Cambria" w:cs="Arial"/>
          <w:i/>
          <w:noProof/>
        </w:rPr>
        <w:t>et al.</w:t>
      </w:r>
      <w:r w:rsidRPr="002C5907">
        <w:rPr>
          <w:rFonts w:ascii="Cambria" w:hAnsi="Cambria" w:cs="Arial"/>
          <w:noProof/>
        </w:rPr>
        <w:t>, 2014)</w:t>
      </w:r>
      <w:r w:rsidRPr="00531789">
        <w:rPr>
          <w:rFonts w:ascii="Cambria" w:hAnsi="Cambria" w:cs="Arial"/>
        </w:rPr>
        <w:fldChar w:fldCharType="end"/>
      </w:r>
      <w:r w:rsidRPr="00531789">
        <w:rPr>
          <w:rFonts w:ascii="Cambria" w:hAnsi="Cambria" w:cs="Arial"/>
        </w:rPr>
        <w:t xml:space="preserve">.  Yield increases in rice and wheat due to breeding and genetic techniques are currently around 1% per year, a trajectory too low to meet future requirements, and this has motivated the development of global consortia for crop improvement </w:t>
      </w:r>
      <w:r w:rsidRPr="00531789">
        <w:rPr>
          <w:rFonts w:ascii="Cambria" w:hAnsi="Cambria" w:cs="Arial"/>
        </w:rPr>
        <w:fldChar w:fldCharType="begin" w:fldLock="1"/>
      </w:r>
      <w:r>
        <w:rPr>
          <w:rFonts w:ascii="Cambria" w:hAnsi="Cambria" w:cs="Arial"/>
        </w:rPr>
        <w:instrText>ADDIN CSL_CITATION { "citationItems" : [ { "id" : "ITEM-1", "itemData" : { "DOI" : "10.1111/j.1365-3040.2012.02588.x", "ISSN" : "1365-3040", "PMID" : "22860982", "abstract" : "Wheat provides 20% of calories and protein consumed by humans. Recent genetic gains are &lt;1% per annum (p.a.), insufficient to meet future demand. The Wheat Yield Consortium brings expertise in photosynthesis, crop adaptation and genetics to a common breeding platform. Theory suggest radiation use efficiency (RUE) of wheat could be increased \u223c50%; strategies include modifying specificity, catalytic rate and regulation of Rubisco, up-regulating Calvin cycle enzymes, introducing chloroplast CO(2) concentrating mechanisms, optimizing light and N distribution of canopies while minimizing photoinhibition, and increasing spike photosynthesis. Maximum yield expression will also require dynamic optimization of source: sink so that dry matter partitioning to reproductive structures is not at the cost of the roots, stems and leaves needed to maintain physiological and structural integrity. Crop development should favour spike fertility to maximize harvest index so phenology must be tailored to different photoperiods, and sensitivity to unpredictable weather must be modulated to reduce conservative responses that reduce harvest index. Strategic crossing of complementary physiological traits will be augmented with wide crossing, while genome-wide selection and high throughput phenotyping and genotyping will increase efficiency of progeny screening. To ensure investment in breeding achieves agronomic impact, sustainable crop management must also be promoted through crop improvement networks.", "author" : [ { "dropping-particle" : "", "family" : "Reynolds", "given" : "Matthew", "non-dropping-particle" : "", "parse-names" : false, "suffix" : "" }, { "dropping-particle" : "", "family" : "Foulkes", "given" : "John", "non-dropping-particle" : "", "parse-names" : false, "suffix" : "" }, { "dropping-particle" : "", "family" : "Furbank", "given" : "Robert", "non-dropping-particle" : "", "parse-names" : false, "suffix" : "" }, { "dropping-particle" : "", "family" : "Griffiths", "given" : "Simon", "non-dropping-particle" : "", "parse-names" : false, "suffix" : "" }, { "dropping-particle" : "", "family" : "King", "given" : "Julie", "non-dropping-particle" : "", "parse-names" : false, "suffix" : "" }, { "dropping-particle" : "", "family" : "Murchie", "given" : "Erik", "non-dropping-particle" : "", "parse-names" : false, "suffix" : "" }, { "dropping-particle" : "", "family" : "Parry", "given" : "Martin", "non-dropping-particle" : "", "parse-names" : false, "suffix" : "" }, { "dropping-particle" : "", "family" : "Slafer", "given" : "Gustavo", "non-dropping-particle" : "", "parse-names" : false, "suffix" : "" } ], "container-title" : "Plant, Cell &amp; Environment", "id" : "ITEM-1", "issue" : "10", "issued" : { "date-parts" : [ [ "2012", "10" ] ] }, "page" : "1799-1823", "title" : "Achieving yield gains in wheat.", "type" : "article-journal", "volume" : "35" }, "uris" : [ "http://www.mendeley.com/documents/?uuid=6c6afd16-ef8e-4b75-a4e7-35772b7ff51f" ] }, { "id" : "ITEM-2", "itemData" : { "DOI" : "10.1126/science.1220177", "ISSN" : "1095-9203", "PMID" : "22745421", "abstract" : "Another \"green revolution\" is needed for crop yields to meet demands for food. The international C(4) Rice Consortium is working toward introducing a higher-capacity photosynthetic mechanism--the C(4) pathway--into rice to increase yield. The goal is to identify the genes necessary to install C(4) photosynthesis in rice through different approaches, including genomic and transcriptional sequence comparisons and mutant screening.", "author" : [ { "dropping-particle" : "", "family" : "Caemmerer", "given" : "Susanne", "non-dropping-particle" : "von", "parse-names" : false, "suffix" : "" }, { "dropping-particle" : "", "family" : "Quick", "given" : "W Paul", "non-dropping-particle" : "", "parse-names" : false, "suffix" : "" }, { "dropping-particle" : "", "family" : "Furbank", "given" : "Robert T", "non-dropping-particle" : "", "parse-names" : false, "suffix" : "" } ], "container-title" : "Science", "id" : "ITEM-2", "issue" : "6089", "issued" : { "date-parts" : [ [ "2012", "6", "29" ] ] }, "page" : "1671-2", "title" : "The development of C4 rice: current progress and future challenges.", "type" : "article-journal", "volume" : "336" }, "uris" : [ "http://www.mendeley.com/documents/?uuid=731fc3cf-d38b-4c78-abf9-503120c7324d" ] }, { "id" : "ITEM-3", "itemData" : { "DOI" : "10.1073/pnas.1424031112", "ISSN" : "0027-8424", "author" : [ { "dropping-particle" : "", "family" : "Ort", "given" : "Donald R.", "non-dropping-particle" : "", "parse-names" : false, "suffix" : "" }, { "dropping-particle" : "", "family" : "Merchant", "given" : "Sabeeha S.", "non-dropping-particle" : "", "parse-names" : false, "suffix" : "" }, { "dropping-particle" : "", "family" : "Alric", "given" : "Jean", "non-dropping-particle" : "", "parse-names" : false, "suffix" : "" }, { "dropping-particle" : "", "family" : "Barkan", "given" : "Alice", "non-dropping-particle" : "", "parse-names" : false, "suffix" : "" }, { "dropping-particle" : "", "family" : "Blankenship", "given" : "Robert E.", "non-dropping-particle" : "", "parse-names" : false, "suffix" : "" }, { "dropping-particle" : "", "family" : "Bock", "given" : "Ralph", "non-dropping-particle" : "", "parse-names" : false, "suffix" : "" }, { "dropping-particle" : "", "family" : "Croce", "given" : "Roberta", "non-dropping-particle" : "", "parse-names" : false, "suffix" : "" }, { "dropping-particle" : "", "family" : "Hanson", "given" : "Maureen R.", "non-dropping-particle" : "", "parse-names" : false, "suffix" : "" }, { "dropping-particle" : "", "family" : "Hibberd", "given" : "Julian M.", "non-dropping-particle" : "", "parse-names" : false, "suffix" : "" }, { "dropping-particle" : "", "family" : "Long", "given" : "Stephen P.", "non-dropping-particle" : "", "parse-names" : false, "suffix" : "" }, { "dropping-particle" : "", "family" : "Moore", "given" : "Thomas A.", "non-dropping-particle" : "", "parse-names" : false, "suffix" : "" }, { "dropping-particle" : "", "family" : "Moroney", "given" : "James", "non-dropping-particle" : "", "parse-names" : false, "suffix" : "" }, { "dropping-particle" : "", "family" : "Niyogi", "given" : "Krishna K.", "non-dropping-particle" : "", "parse-names" : false, "suffix" : "" }, { "dropping-particle" : "", "family" : "Parry", "given" : "Martin A. J.", "non-dropping-particle" : "", "parse-names" : false, "suffix" : "" }, { "dropping-particle" : "", "family" : "Peralta-Yahya", "given" : "Pamela P.", "non-dropping-particle" : "", "parse-names" : false, "suffix" : "" }, { "dropping-particle" : "", "family" : "Prince", "given" : "Roger C.", "non-dropping-particle" : "", "parse-names" : false, "suffix" : "" }, { "dropping-particle" : "", "family" : "Redding", "given" : "Kevin E.", "non-dropping-particle" : "", "parse-names" : false, "suffix" : "" }, { "dropping-particle" : "", "family" : "Spalding", "given" : "Martin H.", "non-dropping-particle" : "", "parse-names" : false, "suffix" : "" }, { "dropping-particle" : "", "family" : "Wijk", "given" : "Klaas J.", "non-dropping-particle" : "van", "parse-names" : false, "suffix" : "" }, { "dropping-particle" : "", "family" : "Vermaas", "given" : "Wim F. J.", "non-dropping-particle" : "", "parse-names" : false, "suffix" : "" }, { "dropping-particle" : "", "family" : "Caemmerer", "given" : "Susanne", "non-dropping-particle" : "von", "parse-names" : false, "suffix" : "" }, { "dropping-particle" : "", "family" : "Weber", "given" : "Andreas P. M.", "non-dropping-particle" : "", "parse-names" : false, "suffix" : "" }, { "dropping-particle" : "", "family" : "Yeates", "given" : "Todd O.", "non-dropping-particle" : "", "parse-names" : false, "suffix" : "" }, { "dropping-particle" : "", "family" : "Yuan", "given" : "Joshua S.", "non-dropping-particle" : "", "parse-names" : false, "suffix" : "" }, { "dropping-particle" : "", "family" : "Zhu", "given" : "Xin Guang", "non-dropping-particle" : "", "parse-names" : false, "suffix" : "" } ], "container-title" : "Proceedings of the National Academy of Sciences", "id" : "ITEM-3", "issue" : "28", "issued" : { "date-parts" : [ [ "2015" ] ] }, "page" : "8529-8536", "title" : "Redesigning photosynthesis to sustainably meet global food and bioenergy demand", "type" : "article-journal", "volume" : "112" }, "uris" : [ "http://www.mendeley.com/documents/?uuid=0bc4e791-4287-41e7-a651-3b3b894d2151" ] } ], "mendeley" : { "formattedCitation" : "(von Caemmerer &lt;i&gt;et al.&lt;/i&gt;, 2012; Reynolds &lt;i&gt;et al.&lt;/i&gt;, 2012; Ort &lt;i&gt;et al.&lt;/i&gt;, 2015)", "plainTextFormattedCitation" : "(von Caemmerer et al., 2012; Reynolds et al., 2012; Ort et al., 2015)", "previouslyFormattedCitation" : "(von Caemmerer &lt;i&gt;et al.&lt;/i&gt;, 2012; Reynolds &lt;i&gt;et al.&lt;/i&gt;, 2012; Ort &lt;i&gt;et al.&lt;/i&gt;, 2015)"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(von Caemmerer </w:t>
      </w:r>
      <w:r w:rsidRPr="002C5907">
        <w:rPr>
          <w:rFonts w:ascii="Cambria" w:hAnsi="Cambria" w:cs="Arial"/>
          <w:i/>
          <w:noProof/>
        </w:rPr>
        <w:t>et al.</w:t>
      </w:r>
      <w:r w:rsidRPr="002C5907">
        <w:rPr>
          <w:rFonts w:ascii="Cambria" w:hAnsi="Cambria" w:cs="Arial"/>
          <w:noProof/>
        </w:rPr>
        <w:t xml:space="preserve">, 2012; Reynolds </w:t>
      </w:r>
      <w:r w:rsidRPr="002C5907">
        <w:rPr>
          <w:rFonts w:ascii="Cambria" w:hAnsi="Cambria" w:cs="Arial"/>
          <w:i/>
          <w:noProof/>
        </w:rPr>
        <w:t>et al.</w:t>
      </w:r>
      <w:r w:rsidRPr="002C5907">
        <w:rPr>
          <w:rFonts w:ascii="Cambria" w:hAnsi="Cambria" w:cs="Arial"/>
          <w:noProof/>
        </w:rPr>
        <w:t xml:space="preserve">, 2012; Ort </w:t>
      </w:r>
      <w:r w:rsidRPr="002C5907">
        <w:rPr>
          <w:rFonts w:ascii="Cambria" w:hAnsi="Cambria" w:cs="Arial"/>
          <w:i/>
          <w:noProof/>
        </w:rPr>
        <w:t>et al.</w:t>
      </w:r>
      <w:r w:rsidRPr="002C5907">
        <w:rPr>
          <w:rFonts w:ascii="Cambria" w:hAnsi="Cambria" w:cs="Arial"/>
          <w:noProof/>
        </w:rPr>
        <w:t>, 2015)</w:t>
      </w:r>
      <w:r w:rsidRPr="00531789">
        <w:rPr>
          <w:rFonts w:ascii="Cambria" w:hAnsi="Cambria" w:cs="Arial"/>
        </w:rPr>
        <w:fldChar w:fldCharType="end"/>
      </w:r>
      <w:r w:rsidRPr="00531789">
        <w:rPr>
          <w:rFonts w:ascii="Cambria" w:hAnsi="Cambria" w:cs="Arial"/>
        </w:rPr>
        <w:t xml:space="preserve">.  The primary focus for many of these is boosting photosynthetic carbon acquisition (source activity), yet sink activity is also believed to limit grain development in many major crops </w:t>
      </w:r>
      <w:r w:rsidRPr="00531789">
        <w:rPr>
          <w:rFonts w:ascii="Cambria" w:hAnsi="Cambria" w:cs="Arial"/>
        </w:rPr>
        <w:fldChar w:fldCharType="begin" w:fldLock="1"/>
      </w:r>
      <w:r>
        <w:rPr>
          <w:rFonts w:ascii="Cambria" w:hAnsi="Cambria" w:cs="Arial"/>
        </w:rPr>
        <w:instrText>ADDIN CSL_CITATION { "citationItems" : [ { "id" : "ITEM-1", "itemData" : { "DOI" : "10.1016/j.copbio.2011.12.013", "ISSN" : "1879-0429", "PMID" : "22261558", "abstract" : "Source and sink strength control plant carbon gain and yield. Source strength was recently engineered by modifying the large subunit of Rubisco, replacing the small subunit, and creating improved thermostable Rubisco activases. This technological breakthrough makes Rubisco engineering feasible at last. Enhancement of leaf transitory starch synthesis or induction of artificial sinks in leaves increased biomass and yield. Importantly, such approaches also had a positive feedback on source strength. In addition, novel targets for the improvement of carbon gain in crops have been identified that are especially relevant in the light of climate change.", "author" : [ { "dropping-particle" : "", "family" : "Peterhansel", "given" : "Christoph", "non-dropping-particle" : "", "parse-names" : false, "suffix" : "" }, { "dropping-particle" : "", "family" : "Offermann", "given" : "Sascha", "non-dropping-particle" : "", "parse-names" : false, "suffix" : "" } ], "container-title" : "Current Opinion in Biotechnology", "id" : "ITEM-1", "issue" : "2", "issued" : { "date-parts" : [ [ "2012", "4" ] ] }, "page" : "204-8", "publisher" : "Elsevier Ltd", "title" : "Re-engineering of carbon fixation in plants - challenges for plant biotechnology to improve yields in a high-CO2 world.", "type" : "article-journal", "volume" : "23" }, "uris" : [ "http://www.mendeley.com/documents/?uuid=d88261af-c545-47f4-bac3-bc6b86d5add4" ] }, { "id" : "ITEM-2", "itemData" : { "DOI" : "10.1093/jxb/ers124", "ISSN" : "1460-2431", "PMID" : "22732107", "abstract" : "A dramatic change in agricultural crops is needed in order to keep pace with the demands of an increasing human population, exponential need for renewable fuels, and uncertain climatic changes. Grasses make up the vast majority of agricultural commodities. How these grasses capture, transport, and store carbohydrates underpins all aspects of crop productivity. Sink-source dynamics within the plant direct how much, where, and when carbohydrates are allocated, as well as determine the harvestable tissue. Carbohydrate partitioning can limit the yield capacity of these plants, thus offering a potential target for crop improvement. Grasses have the ability to buffer this sink-source interaction by transiently storing carbohydrates in stem tissue when production from the source is greater than whole-plant demand. These reserves improve yield stability in grain crops by providing an alternative source when photosynthetic capacity is reduced during the later phases of grain filling, or during periods of environmental and biotic stresses. Domesticated grasses such as sugarcane and sweet sorghum have undergone selection for high accumulation of stem carbohydrates, which serve as the primary sources of sugars for human and animal consumption, as well as ethanol production for fuel. With the enormous expectations placed on agricultural production in the near future, research into carbohydrate partitioning in grasses is essential for maintaining and increasing yields in grass crops. This review highlights the current knowledge of non-structural carbohydrate dynamics in grass stems and discusses the impacts of stem reserves in essential agronomic grasses.", "author" : [ { "dropping-particle" : "", "family" : "Slewinski", "given" : "Thomas L", "non-dropping-particle" : "", "parse-names" : false, "suffix" : "" } ], "container-title" : "Journal of Experimental Botany", "id" : "ITEM-2", "issue" : "13", "issued" : { "date-parts" : [ [ "2012", "8" ] ] }, "note" : "Quoted from text:\n\nThere are periods in the plant life cycle where carbohydrate production in source tissues exceeds the demands of sink tissues, and vice versa. This is in agreement with a more integrative view of sink\u2013source interactions which emphasizes a co-limitation, rather than strictly sink or source limitation (Slafer, 2003; Alvaro et al.,2008; Acreche and Slafer, 2011). For example in wheat, stem carbohydrates progressively accumulate in the stem until the stage of rapid grain filling when stem carbohydrates reserves become mobile and partition to the developing grain (Ruuska et al., 2006).\n\nThe nature of the plant life cycle also has a dramatic impact on whole-plant carbohydrate partitioning (Thompson and Stewart, 1981). Most of the grain-producing grasses are monocarpic annuals with only one chance at producing offspring before the life cycle ends. Thus, carbohydrate reserves buffer against extended periods of low light or drought, allowing plants to produce some viable seed. Perennials go one step further by storing carbohydrates in stems and roots, which may include rhizomes, to fuel re-growth of new tissues in the spring. \n\nStorage and remobilization strategies depend to a large degree on the form in which carbohydrates are stored. Depending on the species, stem carbohydrates can be stored as soluble sugars, such as sucrose, fructans (soluble polymers of fructose), or starch (insoluble polymers of glucose) (Halford et al., 2011). The amount of stored carbohydrate in the stem also varies with the species and cultivar of grass and is dependent on the stage of development and growing conditions. Some grasses that have a central lacuna can also store carbohydrate in the chloranchyma cells along the periphery of the stem.\n\nSome grasses store NSCs in the form of polymers in the storage parenchyma cells, either as starch or as fructans (Fig. 1C) (Morvan-Bertrand et al., 2001; Xue et al., 2008). Grass species that are indigenous to temperate climates and that regularly experience periods of drought and frost typically utilize fructans as a carbohydrate storage pool (Halford et al., 2011). Fructans are synthesized in the vacuolar lumen from imported sucrose (Pollock et al., 2003). Only a few grasses use starch as a primary reserve in thestems (discussed below). Unlike fructans, starch is formed in the plastids/amyloplasts by metabolic events both in the plastid and in the cytosol. Remobilization requires the breakdown of starch in the plastids, then sucrose re- synthesis in the cytosol before export from the cell. For further discussions on starch metabolism, see Zeeman et al. (2010) and Weise et al. (2011).\n\nCarbohydrate partitioning in rice plants is also interesting because plants store carbohydrate reserves as sucrose in the leaves and both starch and sucrose in the stems\u2014a pattern that diverges from many of the grasses (Scofield et al., 2009).\n\nQuantifying NSCs in stems at harvest is one way todetect sink\u2013source imbalances in grain-producing grasses. A recent survey of major domestic cultivars of rice grown under normal agricultural conditions in Japan found that all varieties have significant NSC left in the straw (Park et al., 2011). Other reports indicate that if too much nitrogen is applied to fields, or plants express the staygreen condition longer than is needed for grain fill, stems become saturated with starch (Pan et al., 2011). This starch is then disposed of in the chaff during harvest, which decreases the harvest index. Interestingly, hybrid rice varieties also have reduced harvest index, presumably due to the same phenomenon. These data suggest that rice exhibits more sink than source limitation imposed by constraints in the transport or grain-filling processes. This raises some important questions. Will increasing carbohydrate source strength be enough to increase yield? Does increased and sustained photosynthesis correlate with increased grain fill and harvest index? Carbohydrate partitioning involves not only the production, storage, and utilization of carbohydrates, but is also critically depen- dent on transport. Transport is determined by both the physiology and vascular architecture of the transport system (Dinant and Lemoine, 2010). Rice panicles that produce more spikelets per panicle, so-called \u2018Super Rice\u2019, have problems filling grains produced on the inferior spikelets (Yang and Zhang, 2010b). These plants become more \u2018source limited\u2019 as spikelet density increases, but the grain-filling problem may result from inadequate vascular connections to the inferior spikelet. This results in normal grain filling in the superior spikelet, but reduced in the inferior spikelets, throughout the panicle (Yang et al., 2002). Such morphogenetic constraints in the vascular system can confound investigations into sink\u2013source dynamics (Watson and Casper, 1984) ..... Increasing productivity will most probably require an extensive redesign of the plant, including the physical architecture of the vascular system and buffering capabilities in the stem, not simply the introduction of the C4 photosynthetic syndrome.\n\nIs it possible to optimize the sugar transport streamfurther in order to convert more of the NSCs in the stem into grain mass? As the data highlighted above suggest, there is still much that remains unknown about carbohy- drate partitioning in rice, and how entire life cycle dynamics impact yield. Even though many aspects of carbohydrate partitioning remain elusive, there is potential for improve- ment in the way currently grown cultivars convert carbohy- drate stores into harvested grains.\n\nThe roles and mechanisms of storing and remobilizing stem carbohydrates in wheat have been more intensely studied than in other grain-bearing grasses (Schnyder, 1993; Blum et al., 1994; Wardlaw and Willenbrink, 2000). This is because early researchers discovered a direct correlation between carbohydrate storage in the stems and the ability of the plants to maintain high yield stability under drought or other environmentally deleterious conditions (Bindinger et al., 1977; Asseng and Herwaarden, 2003). Mobilized reserves from the stem tissues can contribute ;20\u201340% of the final grain weight under normal non-stressed growing conditions (Dreccer et al., 2009). \n\nAs breeders and basic scientists raise both source and sink potentials, the physical architecture of the vascular system itself may become the new limiting factor in the carbon economy of the plant (Asli and Houshmandfar, 2011). Buffering the supply with stem carbohydrate reserves may be one way to maximize transport through a constrained vascular route. However, eventually the vascular system itself will have to be altered to accommodate the high rates of transport to the developing florets and grains. More research is needed in this area to identify substantial bottlenecks in transport and grain-filling processes.\n\nPresumably, influx into storage parenchyma cells of thesegrasses is symplasmic, as it is in many tissues that accumulate sugar polymers (Aoki et al., 2004). Stem NSC in wheat, barley, and oat is mostly in the form of fructans stored in the vacuoles of the stem storage parenchyma cells. Other major carbohydrates do not significantly contribute to the NSC reserves, or show little variance between high and low stem NSC lines (Bancal and Tribo\u0131\u00a8, 1993; Ruuska et al., 2006). Starch is present in the stem and leaves of wheat, but has been suggested to function as a source for vegetative growth rather than for mobilization to the grain (Scofield et al., 2009). Fructan synthesis may depend more on sucrose availability, as seen when fructans become rapidly labelled when [14C]sucrose is injected into wheat stems (Hogan and Hendrix, 1986). However, fructan concentrations in wheat are not directly correlated with fructosyltranserase activity (Goggin and Setter, 2004).\n\n\nIn barley, the most promising potential to increaseradiation use efficiency may come from alterations in sink\u2013 source dynamics (Bingham et al., 2007; Newton et al., 2011). Barley appears to be much more sink than source limited. Presumably, the low sink capacity of barley leads to a reduction in photosynthetic productivity due to feedback inhibition.\n\nImproving stress tolerance in wheat by manipulating NSCs in stems has already been put into practice in areas where environmental conditions are suboptimal (Ehdaie et al., 2006). Such is the case in Australia where severe and terminal droughts are common (Bell et al., 2010). Wheat cultivars that have high NSCs in stems show improved floret fertility, grain filling, and yield stability when grown under rain-fed or drought conditions. When these lines are grown under irrigated and non-stress conditions, yields from high stem NSC lines are comparable with those of low NSC lines, suggesting there are no yield penalties associated with high NSCs if the plant does not experience stress (Foulkes et al., 2007).\n\nClosing the yield gap will require drastic exploitation of the sink\u2013source relationship in the grass crops. However, most sink or source components that directly affect yield appear to be negatively correlated with each other (Slafer et al., 1996). The nature of these negative relationships remains unknown. Therefore, new descriptive models are needed that diverge from simple sink- or source-limited systems, to whole-plant entire life cycle systems to understand these relationships fully.\n\nCan larger stem NSC reserves increase radiation use efficiency in the grasses (Reynolds et al., 2011)? It has been suggested that in barley, one of the most promising ways to increase radiation use efficiency is to increase sink strength and storage capacity (Newton et al., 2011), which includes NSC reserves in the stems.", "page" : "4647-70", "title" : "Non-structural carbohydrate partitioning in grass stems: a target to increase yield stability, stress tolerance, and biofuel production.", "type" : "article-journal", "volume" : "63" }, "uris" : [ "http://www.mendeley.com/documents/?uuid=21ab6445-1653-4121-b68f-0126cb60d2ee" ] }, { "id" : "ITEM-3", "itemData" : { "DOI" : "10.1016/j.fcr.2008.07.006", "ISSN" : "03784290", "author" : [ { "dropping-particle" : "", "family" : "Acreche", "given" : "Mart\u00edn M.", "non-dropping-particle" : "", "parse-names" : false, "suffix" : "" }, { "dropping-particle" : "", "family" : "Slafer", "given" : "Gustavo A.", "non-dropping-particle" : "", "parse-names" : false, "suffix" : "" } ], "container-title" : "Field Crops Research", "id" : "ITEM-3", "issue" : "2", "issued" : { "date-parts" : [ [ "2009", "2" ] ] }, "page" : "98-105", "title" : "Grain weight, radiation interception and use efficiency as affected by sink-strength in Mediterranean wheats released from 1940 to 2005", "type" : "article-journal", "volume" : "110" }, "uris" : [ "http://www.mendeley.com/documents/?uuid=c4038cd1-032b-4704-8eaf-d32835ccb089" ] } ], "mendeley" : { "formattedCitation" : "(Acreche and Slafer, 2009; Peterhansel and Offermann, 2012; Slewinski, 2012)", "plainTextFormattedCitation" : "(Acreche and Slafer, 2009; Peterhansel and Offermann, 2012; Slewinski, 2012)", "previouslyFormattedCitation" : "(Acreche and Slafer, 2009; Peterhansel and Offermann, 2012; Slewinski, 2012)"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(Acreche and Slafer, 2009; Peterhansel and Offermann, 2012; Slewinski, 2012)</w:t>
      </w:r>
      <w:r w:rsidRPr="00531789">
        <w:rPr>
          <w:rFonts w:ascii="Cambria" w:hAnsi="Cambria" w:cs="Arial"/>
        </w:rPr>
        <w:fldChar w:fldCharType="end"/>
      </w:r>
      <w:r w:rsidRPr="00531789">
        <w:rPr>
          <w:rFonts w:ascii="Cambria" w:hAnsi="Cambria" w:cs="Arial"/>
        </w:rPr>
        <w:t>.  Global efforts to elucidate the responses of crop photosynthesis and yield to future elevated atmospheric CO</w:t>
      </w:r>
      <w:r w:rsidRPr="00531789">
        <w:rPr>
          <w:rFonts w:ascii="Cambria" w:hAnsi="Cambria" w:cs="Arial"/>
          <w:vertAlign w:val="subscript"/>
        </w:rPr>
        <w:t>2</w:t>
      </w:r>
      <w:r w:rsidRPr="00531789">
        <w:rPr>
          <w:rFonts w:ascii="Cambria" w:hAnsi="Cambria" w:cs="Arial"/>
        </w:rPr>
        <w:t xml:space="preserve"> conditions show that the translation of a large and sustained stimulation of photosynthesis into growth and yield differs markedly between species and often falls short of the expected response </w:t>
      </w:r>
      <w:r w:rsidRPr="00531789">
        <w:rPr>
          <w:rFonts w:ascii="Cambria" w:hAnsi="Cambria" w:cs="Arial"/>
        </w:rPr>
        <w:fldChar w:fldCharType="begin" w:fldLock="1"/>
      </w:r>
      <w:r>
        <w:rPr>
          <w:rFonts w:ascii="Cambria" w:hAnsi="Cambria" w:cs="Arial"/>
        </w:rPr>
        <w:instrText>ADDIN CSL_CITATION { "citationItems" : [ { "id" : "ITEM-1", "itemData" : { "DOI" : "10.1126/science.1114722", "ISSN" : "1095-9203", "PMID" : "16809532", "abstract" : "Model projections suggest that although increased temperature and decreased soil moisture will act to reduce global crop yields by 2050, the direct fertilization effect of rising carbon dioxide concentration ([CO2]) will offset these losses. The CO2 fertilization factors used in models to project future yields were derived from enclosure studies conducted approximately 20 years ago. Free-air concentration enrichment (FACE) technology has now facilitated large-scale trials of the major grain crops at elevated [CO2] under fully open-air field conditions. In those trials, elevated [CO2] enhanced yield by approximately 50% less than in enclosure studies. This casts serious doubt on projections that rising [CO2] will fully offset losses due to climate change.", "author" : [ { "dropping-particle" : "", "family" : "Long", "given" : "Stephen P", "non-dropping-particle" : "", "parse-names" : false, "suffix" : "" }, { "dropping-particle" : "", "family" : "Ainsworth", "given" : "Elizabeth A", "non-dropping-particle" : "", "parse-names" : false, "suffix" : "" }, { "dropping-particle" : "", "family" : "Leakey", "given" : "Andrew D B", "non-dropping-particle" : "", "parse-names" : false, "suffix" : "" }, { "dropping-particle" : "", "family" : "N\u00f6sberger", "given" : "Josef", "non-dropping-particle" : "", "parse-names" : false, "suffix" : "" }, { "dropping-particle" : "", "family" : "Ort", "given" : "Donald R", "non-dropping-particle" : "", "parse-names" : false, "suffix" : "" } ], "container-title" : "Science", "id" : "ITEM-1", "issue" : "5782", "issued" : { "date-parts" : [ [ "2006", "6", "30" ] ] }, "page" : "1918-21", "title" : "Food for thought: lower-than-expected crop yield stimulation with rising CO2 concentrations.", "type" : "article-journal", "volume" : "312" }, "uris" : [ "http://www.mendeley.com/documents/?uuid=fce954b0-4240-4dd5-b2bd-ba2f991b3a7b" ] } ], "mendeley" : { "formattedCitation" : "(Long &lt;i&gt;et al.&lt;/i&gt;, 2006&lt;i&gt;a&lt;/i&gt;)", "plainTextFormattedCitation" : "(Long et al., 2006a)", "previouslyFormattedCitation" : "(Long &lt;i&gt;et al.&lt;/i&gt;, 2006&lt;i&gt;a&lt;/i&gt;)"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(Long </w:t>
      </w:r>
      <w:r w:rsidRPr="002C5907">
        <w:rPr>
          <w:rFonts w:ascii="Cambria" w:hAnsi="Cambria" w:cs="Arial"/>
          <w:i/>
          <w:noProof/>
        </w:rPr>
        <w:t>et al.</w:t>
      </w:r>
      <w:r w:rsidRPr="002C5907">
        <w:rPr>
          <w:rFonts w:ascii="Cambria" w:hAnsi="Cambria" w:cs="Arial"/>
          <w:noProof/>
        </w:rPr>
        <w:t>, 2006</w:t>
      </w:r>
      <w:r w:rsidRPr="002C5907">
        <w:rPr>
          <w:rFonts w:ascii="Cambria" w:hAnsi="Cambria" w:cs="Arial"/>
          <w:i/>
          <w:noProof/>
        </w:rPr>
        <w:t>a</w:t>
      </w:r>
      <w:r w:rsidRPr="002C5907">
        <w:rPr>
          <w:rFonts w:ascii="Cambria" w:hAnsi="Cambria" w:cs="Arial"/>
          <w:noProof/>
        </w:rPr>
        <w:t>)</w:t>
      </w:r>
      <w:r w:rsidRPr="00531789">
        <w:rPr>
          <w:rFonts w:ascii="Cambria" w:hAnsi="Cambria" w:cs="Arial"/>
        </w:rPr>
        <w:fldChar w:fldCharType="end"/>
      </w:r>
      <w:r w:rsidRPr="00531789">
        <w:rPr>
          <w:rFonts w:ascii="Cambria" w:hAnsi="Cambria" w:cs="Arial"/>
        </w:rPr>
        <w:t>. Achieving future yield targets requires that this translation of improved photosynthesis into yield is made effectively through enhanced sink development.  To achieve the 70% increase in crop productivity required by 2050, a greater understanding of the relationships between photosynthesis and growth, and the factors underpinning growth rates, is therefore essential.</w:t>
      </w:r>
    </w:p>
    <w:p w14:paraId="3B171EF9" w14:textId="77777777" w:rsidR="00DF4522" w:rsidRPr="00531789" w:rsidRDefault="00DF4522" w:rsidP="00DF4522">
      <w:pPr>
        <w:spacing w:line="360" w:lineRule="auto"/>
        <w:jc w:val="both"/>
        <w:rPr>
          <w:rFonts w:ascii="Cambria" w:hAnsi="Cambria" w:cs="Arial"/>
        </w:rPr>
      </w:pPr>
    </w:p>
    <w:p w14:paraId="010BF8EC"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This review discusses current understanding of plant growth rates, considering a range of factors from molecular to ecological, with a particular focus on source-sink interactions.  It emphasises the importance of sources and sinks as determinants of growth and as targets for crop improvement.  For the first time, this review argues the case for a fully integrated network analysis of physiology, allocation and development when considering growth across the diversity of wild and crop plants.  It highlights source and sink limitation as key areas where understanding could be improved, and suggests that quantitative estimates are required of how sources and sinks limit growth, the extent to which these limitations change at different stages of development within the same species, and their differences in species which vary in allocation and life history strategies.  </w:t>
      </w:r>
    </w:p>
    <w:p w14:paraId="43592DA2" w14:textId="77777777" w:rsidR="00DF4522" w:rsidRPr="00531789" w:rsidRDefault="00DF4522" w:rsidP="00DF4522">
      <w:pPr>
        <w:spacing w:line="360" w:lineRule="auto"/>
        <w:jc w:val="both"/>
        <w:rPr>
          <w:rFonts w:ascii="Cambria" w:hAnsi="Cambria" w:cs="Arial"/>
          <w:b/>
        </w:rPr>
      </w:pPr>
      <w:r w:rsidRPr="00531789">
        <w:rPr>
          <w:rFonts w:ascii="Cambria" w:hAnsi="Cambria" w:cs="Arial"/>
          <w:b/>
        </w:rPr>
        <w:t xml:space="preserve"> </w:t>
      </w:r>
    </w:p>
    <w:p w14:paraId="4F3866A9" w14:textId="77777777" w:rsidR="00DF4522" w:rsidRPr="00531789" w:rsidRDefault="00DF4522" w:rsidP="00DF4522">
      <w:pPr>
        <w:pStyle w:val="Heading2"/>
        <w:rPr>
          <w:rFonts w:ascii="Cambria" w:hAnsi="Cambria"/>
          <w:color w:val="auto"/>
        </w:rPr>
      </w:pPr>
      <w:bookmarkStart w:id="27" w:name="_Toc322267577"/>
      <w:bookmarkStart w:id="28" w:name="_Toc322267699"/>
      <w:bookmarkStart w:id="29" w:name="_Toc322267863"/>
      <w:bookmarkStart w:id="30" w:name="_Toc331253006"/>
      <w:r w:rsidRPr="00531789">
        <w:rPr>
          <w:rFonts w:ascii="Cambria" w:hAnsi="Cambria"/>
          <w:color w:val="auto"/>
        </w:rPr>
        <w:t>S</w:t>
      </w:r>
      <w:bookmarkEnd w:id="27"/>
      <w:bookmarkEnd w:id="28"/>
      <w:bookmarkEnd w:id="29"/>
      <w:r>
        <w:rPr>
          <w:rFonts w:ascii="Cambria" w:hAnsi="Cambria"/>
          <w:color w:val="auto"/>
        </w:rPr>
        <w:t>OURCE AND SINK DEFINITIONS</w:t>
      </w:r>
      <w:bookmarkEnd w:id="30"/>
    </w:p>
    <w:p w14:paraId="41C73949" w14:textId="77777777" w:rsidR="00DF4522" w:rsidRPr="00531789" w:rsidRDefault="00DF4522" w:rsidP="00DF4522">
      <w:pPr>
        <w:spacing w:line="360" w:lineRule="auto"/>
        <w:jc w:val="both"/>
        <w:rPr>
          <w:rFonts w:ascii="Cambria" w:hAnsi="Cambria" w:cs="Arial"/>
        </w:rPr>
      </w:pPr>
    </w:p>
    <w:p w14:paraId="12ED81D6" w14:textId="77777777" w:rsidR="00DF4522" w:rsidRPr="00531789" w:rsidRDefault="00DF4522" w:rsidP="00DF4522">
      <w:pPr>
        <w:spacing w:line="360" w:lineRule="auto"/>
        <w:jc w:val="both"/>
        <w:rPr>
          <w:rFonts w:ascii="Cambria" w:hAnsi="Cambria" w:cs="Arial"/>
        </w:rPr>
      </w:pPr>
      <w:r w:rsidRPr="00531789">
        <w:rPr>
          <w:rFonts w:ascii="Cambria" w:hAnsi="Cambria" w:cs="Arial"/>
        </w:rPr>
        <w:t>Source tissues are net exporters of an elemental resource required for plant growth, such as carbon or nitrogen, while sink tissues are net importers and are responsible for resource assimilation.  Mature leaves are net sources of carbon but sinks for nitrogen, whilst root tissues are net sources of nitrogen but sinks for carbon.  Cells require carbon and nitrogen for growth and development; nitrogen to maintain protein turnover; and carbon for respiration to fuel metabolic processes.  Other elements are also vital for growth, such as oxygen obtained from the air, hydrogen from water, and minerals found in soil including the macronutrients potassium and phosphorus, and numerous micronutrients. This review focuses on carbon and nitrogen only, because these elements are commonly limiting for growth, and effectively illustrate the balance between source and sink tissues.  Carbon is usually exchanged between sources and sinks as simple sugars, typically sucrose. The equivalent currency of exchange for nitrogen includes both inorganic ions (NO</w:t>
      </w:r>
      <w:r w:rsidRPr="00531789">
        <w:rPr>
          <w:rFonts w:ascii="Cambria" w:hAnsi="Cambria" w:cs="Arial"/>
          <w:vertAlign w:val="subscript"/>
        </w:rPr>
        <w:t>3</w:t>
      </w:r>
      <w:r w:rsidRPr="00531789">
        <w:rPr>
          <w:rFonts w:ascii="Cambria" w:hAnsi="Cambria" w:cs="Arial"/>
          <w:vertAlign w:val="superscript"/>
        </w:rPr>
        <w:t>-</w:t>
      </w:r>
      <w:r w:rsidRPr="00531789">
        <w:rPr>
          <w:rFonts w:ascii="Cambria" w:hAnsi="Cambria" w:cs="Arial"/>
        </w:rPr>
        <w:t xml:space="preserve">) and organic forms (typically amino acids).     </w:t>
      </w:r>
    </w:p>
    <w:p w14:paraId="3C9A99D4" w14:textId="77777777" w:rsidR="00DF4522" w:rsidRPr="00531789" w:rsidRDefault="00DF4522" w:rsidP="00DF4522">
      <w:pPr>
        <w:spacing w:line="360" w:lineRule="auto"/>
        <w:jc w:val="both"/>
        <w:rPr>
          <w:rFonts w:ascii="Cambria" w:hAnsi="Cambria" w:cs="Arial"/>
        </w:rPr>
      </w:pPr>
    </w:p>
    <w:p w14:paraId="120C1E81" w14:textId="77777777" w:rsidR="00DF4522" w:rsidRPr="00531789" w:rsidRDefault="00DF4522" w:rsidP="00DF4522">
      <w:pPr>
        <w:spacing w:line="360" w:lineRule="auto"/>
        <w:jc w:val="both"/>
        <w:rPr>
          <w:rFonts w:ascii="Cambria" w:hAnsi="Cambria" w:cs="Arial"/>
        </w:rPr>
      </w:pPr>
      <w:r w:rsidRPr="00531789">
        <w:rPr>
          <w:rFonts w:ascii="Cambria" w:hAnsi="Cambria" w:cs="Arial"/>
        </w:rPr>
        <w:t>Source tissues are generally responsible for the acquisition of resources from the external environment, although the remobilization of stored resources (e.g. to subsidise reproduction or regrowth after disturbance) may also turn a sink into an internal source.  A general definition of source strength should therefore consider the export rate of a particular resource from the source tissue. However, C- or N-uptake from the external environment is more commonly and easily measured than internal fluxes of sucrose or inorganic and organic nitrogen. Consequently, the term “source strength” usually refers to the net rate of uptake (</w:t>
      </w:r>
      <w:proofErr w:type="spellStart"/>
      <w:r w:rsidRPr="00531789">
        <w:rPr>
          <w:rFonts w:ascii="Cambria" w:hAnsi="Cambria" w:cs="Arial"/>
        </w:rPr>
        <w:t>mol</w:t>
      </w:r>
      <w:proofErr w:type="spellEnd"/>
      <w:r w:rsidRPr="00531789">
        <w:rPr>
          <w:rFonts w:ascii="Cambria" w:hAnsi="Cambria" w:cs="Arial"/>
        </w:rPr>
        <w:t xml:space="preserve"> s</w:t>
      </w:r>
      <w:r w:rsidRPr="00531789">
        <w:rPr>
          <w:rFonts w:ascii="Cambria" w:hAnsi="Cambria" w:cs="Arial"/>
          <w:vertAlign w:val="superscript"/>
        </w:rPr>
        <w:t>-1</w:t>
      </w:r>
      <w:r w:rsidRPr="00531789">
        <w:rPr>
          <w:rFonts w:ascii="Cambria" w:hAnsi="Cambria" w:cs="Arial"/>
        </w:rPr>
        <w:t>) for a particular resource from the external environment:</w:t>
      </w:r>
    </w:p>
    <w:p w14:paraId="75FAEF16" w14:textId="77777777" w:rsidR="00DF4522" w:rsidRPr="00531789" w:rsidRDefault="00DF4522" w:rsidP="00DF4522">
      <w:pPr>
        <w:spacing w:line="360" w:lineRule="auto"/>
        <w:jc w:val="both"/>
        <w:rPr>
          <w:rFonts w:ascii="Cambria" w:hAnsi="Cambria" w:cs="Arial"/>
        </w:rPr>
      </w:pPr>
    </w:p>
    <w:p w14:paraId="36B30FFC" w14:textId="77777777" w:rsidR="00DF4522" w:rsidRPr="00531789" w:rsidRDefault="00DF4522" w:rsidP="00DF4522">
      <w:pPr>
        <w:spacing w:line="360" w:lineRule="auto"/>
        <w:jc w:val="both"/>
        <w:rPr>
          <w:rFonts w:ascii="Cambria" w:hAnsi="Cambria" w:cs="Arial"/>
        </w:rPr>
      </w:pPr>
      <w:r w:rsidRPr="00531789">
        <w:rPr>
          <w:rFonts w:ascii="Cambria" w:hAnsi="Cambria" w:cs="Arial"/>
        </w:rPr>
        <w:tab/>
      </w:r>
      <m:oMath>
        <m:r>
          <w:rPr>
            <w:rFonts w:ascii="Cambria Math" w:hAnsi="Cambria Math" w:cs="Arial"/>
          </w:rPr>
          <m:t>Source strength=source size x source activity</m:t>
        </m:r>
      </m:oMath>
      <w:r w:rsidRPr="00531789">
        <w:rPr>
          <w:rFonts w:ascii="Cambria" w:hAnsi="Cambria" w:cs="Arial"/>
        </w:rPr>
        <w:tab/>
        <w:t xml:space="preserve">       (Equation 1),</w:t>
      </w:r>
    </w:p>
    <w:p w14:paraId="0E790D18" w14:textId="77777777" w:rsidR="00DF4522" w:rsidRPr="00531789" w:rsidRDefault="00DF4522" w:rsidP="00DF4522">
      <w:pPr>
        <w:spacing w:line="360" w:lineRule="auto"/>
        <w:jc w:val="both"/>
        <w:rPr>
          <w:rFonts w:ascii="Cambria" w:hAnsi="Cambria" w:cs="Arial"/>
        </w:rPr>
      </w:pPr>
    </w:p>
    <w:p w14:paraId="54F7FD53" w14:textId="77777777" w:rsidR="00DF4522" w:rsidRPr="00531789" w:rsidRDefault="00DF4522" w:rsidP="00DF4522">
      <w:pPr>
        <w:spacing w:line="360" w:lineRule="auto"/>
        <w:jc w:val="both"/>
        <w:rPr>
          <w:rFonts w:ascii="Cambria" w:hAnsi="Cambria" w:cs="Arial"/>
        </w:rPr>
      </w:pPr>
      <w:r w:rsidRPr="00531789">
        <w:rPr>
          <w:rFonts w:ascii="Cambria" w:hAnsi="Cambria" w:cs="Arial"/>
        </w:rPr>
        <w:t>where source size refers to the total biomass of source tissue (g), and source activity is the specific uptake rate of the resource (</w:t>
      </w:r>
      <w:proofErr w:type="spellStart"/>
      <w:r w:rsidRPr="00531789">
        <w:rPr>
          <w:rFonts w:ascii="Cambria" w:hAnsi="Cambria" w:cs="Arial"/>
        </w:rPr>
        <w:t>mol</w:t>
      </w:r>
      <w:proofErr w:type="spellEnd"/>
      <w:r w:rsidRPr="00531789">
        <w:rPr>
          <w:rFonts w:ascii="Cambria" w:hAnsi="Cambria" w:cs="Arial"/>
        </w:rPr>
        <w:t xml:space="preserve"> g</w:t>
      </w:r>
      <w:r w:rsidRPr="00531789">
        <w:rPr>
          <w:rFonts w:ascii="Cambria" w:hAnsi="Cambria" w:cs="Arial"/>
          <w:vertAlign w:val="superscript"/>
        </w:rPr>
        <w:t>-1</w:t>
      </w:r>
      <w:r w:rsidRPr="00531789">
        <w:rPr>
          <w:rFonts w:ascii="Cambria" w:hAnsi="Cambria" w:cs="Arial"/>
        </w:rPr>
        <w:t xml:space="preserve"> s</w:t>
      </w:r>
      <w:r w:rsidRPr="00531789">
        <w:rPr>
          <w:rFonts w:ascii="Cambria" w:hAnsi="Cambria" w:cs="Arial"/>
          <w:vertAlign w:val="superscript"/>
        </w:rPr>
        <w:t>-1</w:t>
      </w:r>
      <w:r w:rsidRPr="00531789">
        <w:rPr>
          <w:rFonts w:ascii="Cambria" w:hAnsi="Cambria" w:cs="Arial"/>
        </w:rPr>
        <w:t xml:space="preserve">; </w:t>
      </w:r>
      <w:r w:rsidRPr="00531789">
        <w:rPr>
          <w:rFonts w:ascii="Cambria" w:hAnsi="Cambria" w:cs="Arial"/>
        </w:rPr>
        <w:fldChar w:fldCharType="begin" w:fldLock="1"/>
      </w:r>
      <w:r w:rsidRPr="00531789">
        <w:rPr>
          <w:rFonts w:ascii="Cambria" w:hAnsi="Cambria" w:cs="Arial"/>
        </w:rPr>
        <w:instrText>ADDIN CSL_CITATION { "citationItems" : [ { "id" : "ITEM-1", "itemData" : { "author" : [ { "dropping-particle" : "", "family" : "Geiger", "given" : "D R", "non-dropping-particle" : "", "parse-names" : false, "suffix" : "" }, { "dropping-particle" : "", "family" : "Shieh", "given" : "W", "non-dropping-particle" : "", "parse-names" : false, "suffix" : "" } ], "container-title" : "Plant, Cell &amp; Environment", "id" : "ITEM-1", "issue" : "9", "issued" : { "date-parts" : [ [ "1993" ] ] }, "page" : "1017-1018", "title" : "Sink strength: learning to measure, measuring to learn", "type" : "article-journal", "volume" : "16" }, "uris" : [ "http://www.mendeley.com/documents/?uuid=b9f7c79f-01ed-4e5e-a48b-0c89d890af08" ] } ], "mendeley" : { "formattedCitation" : "(Geiger and Shieh, 1993)", "manualFormatting" : "based on Geiger and Shieh, 1993). ", "plainTextFormattedCitation" : "(Geiger and Shieh, 1993)", "previouslyFormattedCitation" : "(Geiger and Shieh, 1993)"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 xml:space="preserve">based on Geiger and Shieh, 1993). </w:t>
      </w:r>
      <w:r w:rsidRPr="00531789">
        <w:rPr>
          <w:rFonts w:ascii="Cambria" w:hAnsi="Cambria" w:cs="Arial"/>
        </w:rPr>
        <w:fldChar w:fldCharType="end"/>
      </w:r>
    </w:p>
    <w:p w14:paraId="48BE4E6A" w14:textId="77777777" w:rsidR="00DF4522" w:rsidRPr="00531789" w:rsidRDefault="00DF4522" w:rsidP="00DF4522">
      <w:pPr>
        <w:spacing w:line="360" w:lineRule="auto"/>
        <w:jc w:val="both"/>
        <w:rPr>
          <w:rFonts w:ascii="Cambria" w:hAnsi="Cambria" w:cs="Arial"/>
        </w:rPr>
      </w:pPr>
    </w:p>
    <w:p w14:paraId="47D31C9D"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Sink tissues are net receivers of resources from source tissues </w:t>
      </w:r>
      <w:r w:rsidRPr="00531789">
        <w:rPr>
          <w:rFonts w:ascii="Cambria" w:hAnsi="Cambria" w:cs="Arial"/>
        </w:rPr>
        <w:fldChar w:fldCharType="begin" w:fldLock="1"/>
      </w:r>
      <w:r w:rsidRPr="00531789">
        <w:rPr>
          <w:rFonts w:ascii="Cambria" w:hAnsi="Cambria" w:cs="Arial"/>
        </w:rPr>
        <w:instrText>ADDIN CSL_CITATION { "citationItems" : [ { "id" : "ITEM-1", "itemData" : { "author" : [ { "dropping-particle" : "", "family" : "Doehlert", "given" : "D C", "non-dropping-particle" : "", "parse-names" : false, "suffix" : "" } ], "container-title" : "Plant, Cell &amp; Environment", "id" : "ITEM-1", "issue" : "9", "issued" : { "date-parts" : [ [ "1993" ] ] }, "page" : "1027-1028", "title" : "Sink strength: dynamic with source strength", "type" : "article-journal", "volume" : "16" }, "uris" : [ "http://www.mendeley.com/documents/?uuid=aa2e36b1-dc9b-4c6a-a0b7-361c0851043e" ] } ], "mendeley" : { "formattedCitation" : "(Doehlert, 1993)", "plainTextFormattedCitation" : "(Doehlert, 1993)", "previouslyFormattedCitation" : "(Doehlert, 1993)"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(Doehlert, 1993)</w:t>
      </w:r>
      <w:r w:rsidRPr="00531789">
        <w:rPr>
          <w:rFonts w:ascii="Cambria" w:hAnsi="Cambria" w:cs="Arial"/>
        </w:rPr>
        <w:fldChar w:fldCharType="end"/>
      </w:r>
      <w:r w:rsidRPr="00531789">
        <w:rPr>
          <w:rFonts w:ascii="Cambria" w:hAnsi="Cambria" w:cs="Arial"/>
        </w:rPr>
        <w:t>.  Whilst all tissues have some sink activity, leaves are net sinks for nitrogen transported from the root system, and roots are net sinks for sucrose exported from leaves.  Sink strength refers to the net rate of uptake (</w:t>
      </w:r>
      <w:proofErr w:type="spellStart"/>
      <w:r w:rsidRPr="00531789">
        <w:rPr>
          <w:rFonts w:ascii="Cambria" w:hAnsi="Cambria" w:cs="Arial"/>
        </w:rPr>
        <w:t>mol</w:t>
      </w:r>
      <w:proofErr w:type="spellEnd"/>
      <w:r w:rsidRPr="00531789">
        <w:rPr>
          <w:rFonts w:ascii="Cambria" w:hAnsi="Cambria" w:cs="Arial"/>
        </w:rPr>
        <w:t xml:space="preserve"> s</w:t>
      </w:r>
      <w:r w:rsidRPr="00531789">
        <w:rPr>
          <w:rFonts w:ascii="Cambria" w:hAnsi="Cambria" w:cs="Arial"/>
          <w:vertAlign w:val="superscript"/>
        </w:rPr>
        <w:t>-1</w:t>
      </w:r>
      <w:r w:rsidRPr="00531789">
        <w:rPr>
          <w:rFonts w:ascii="Cambria" w:hAnsi="Cambria" w:cs="Arial"/>
        </w:rPr>
        <w:t>) for a particular resource by a defined tissue within the plant:</w:t>
      </w:r>
    </w:p>
    <w:p w14:paraId="08FD804A" w14:textId="77777777" w:rsidR="00DF4522" w:rsidRPr="00531789" w:rsidRDefault="00DF4522" w:rsidP="00DF4522">
      <w:pPr>
        <w:spacing w:line="360" w:lineRule="auto"/>
        <w:jc w:val="both"/>
        <w:rPr>
          <w:rFonts w:ascii="Cambria" w:hAnsi="Cambria" w:cs="Arial"/>
        </w:rPr>
      </w:pPr>
    </w:p>
    <w:p w14:paraId="002F54C7" w14:textId="77777777" w:rsidR="00DF4522" w:rsidRPr="00531789" w:rsidRDefault="00DF4522" w:rsidP="00DF4522">
      <w:pPr>
        <w:spacing w:line="360" w:lineRule="auto"/>
        <w:ind w:firstLine="720"/>
        <w:jc w:val="both"/>
        <w:rPr>
          <w:rFonts w:ascii="Cambria" w:hAnsi="Cambria" w:cs="Arial"/>
        </w:rPr>
      </w:pPr>
      <m:oMath>
        <m:r>
          <w:rPr>
            <w:rFonts w:ascii="Cambria Math" w:hAnsi="Cambria Math" w:cs="Arial"/>
          </w:rPr>
          <m:t>Sink strength=sink size x sink activity</m:t>
        </m:r>
      </m:oMath>
      <w:r>
        <w:rPr>
          <w:rFonts w:ascii="Cambria" w:hAnsi="Cambria" w:cs="Arial"/>
        </w:rPr>
        <w:tab/>
        <w:t xml:space="preserve">                   </w:t>
      </w:r>
      <w:r w:rsidRPr="00531789">
        <w:rPr>
          <w:rFonts w:ascii="Cambria" w:hAnsi="Cambria" w:cs="Arial"/>
        </w:rPr>
        <w:t xml:space="preserve">  (Equation 2),</w:t>
      </w:r>
    </w:p>
    <w:p w14:paraId="32D40B1E" w14:textId="77777777" w:rsidR="00DF4522" w:rsidRPr="00531789" w:rsidRDefault="00DF4522" w:rsidP="00DF4522">
      <w:pPr>
        <w:spacing w:line="360" w:lineRule="auto"/>
        <w:jc w:val="both"/>
        <w:rPr>
          <w:rFonts w:ascii="Cambria" w:hAnsi="Cambria" w:cs="Arial"/>
        </w:rPr>
      </w:pPr>
    </w:p>
    <w:p w14:paraId="0BBB59EA" w14:textId="77777777" w:rsidR="00DF4522" w:rsidRPr="00531789" w:rsidRDefault="00DF4522" w:rsidP="00DF4522">
      <w:pPr>
        <w:spacing w:line="360" w:lineRule="auto"/>
        <w:jc w:val="both"/>
        <w:rPr>
          <w:rFonts w:ascii="Cambria" w:hAnsi="Cambria" w:cs="Arial"/>
        </w:rPr>
      </w:pPr>
      <w:r w:rsidRPr="00531789">
        <w:rPr>
          <w:rFonts w:ascii="Cambria" w:hAnsi="Cambria" w:cs="Arial"/>
        </w:rPr>
        <w:t>where sink size is the total biomass of sink tissue (g), and sink activity refers to the specific uptake rate of the resource (</w:t>
      </w:r>
      <w:proofErr w:type="spellStart"/>
      <w:r w:rsidRPr="00531789">
        <w:rPr>
          <w:rFonts w:ascii="Cambria" w:hAnsi="Cambria" w:cs="Arial"/>
        </w:rPr>
        <w:t>mol</w:t>
      </w:r>
      <w:proofErr w:type="spellEnd"/>
      <w:r w:rsidRPr="00531789">
        <w:rPr>
          <w:rFonts w:ascii="Cambria" w:hAnsi="Cambria" w:cs="Arial"/>
        </w:rPr>
        <w:t xml:space="preserve"> g</w:t>
      </w:r>
      <w:r w:rsidRPr="00531789">
        <w:rPr>
          <w:rFonts w:ascii="Cambria" w:hAnsi="Cambria" w:cs="Arial"/>
          <w:vertAlign w:val="superscript"/>
        </w:rPr>
        <w:t>-1</w:t>
      </w:r>
      <w:r w:rsidRPr="00531789">
        <w:rPr>
          <w:rFonts w:ascii="Cambria" w:hAnsi="Cambria" w:cs="Arial"/>
        </w:rPr>
        <w:t xml:space="preserve"> s</w:t>
      </w:r>
      <w:r w:rsidRPr="00531789">
        <w:rPr>
          <w:rFonts w:ascii="Cambria" w:hAnsi="Cambria" w:cs="Arial"/>
          <w:vertAlign w:val="superscript"/>
        </w:rPr>
        <w:t>-1</w:t>
      </w:r>
      <w:r w:rsidRPr="00531789">
        <w:rPr>
          <w:rFonts w:ascii="Cambria" w:hAnsi="Cambria" w:cs="Arial"/>
        </w:rPr>
        <w:t>). Sink activity involves the utilisation of resources for the synthesis of new tissues, including the synthesis of structural components such as cell walls, or the maintenance and modification of existing tissues, including the synthesis of non-structural components including enzymes, storage and defence compounds. Sink activity also encompasses the expenditure of resources in respiration or root exudation. In practice, therefore, it is usually quantified</w:t>
      </w:r>
      <w:r w:rsidRPr="0079342F">
        <w:rPr>
          <w:rFonts w:ascii="Cambria" w:hAnsi="Cambria" w:cs="Arial"/>
          <w:i/>
        </w:rPr>
        <w:t xml:space="preserve"> via</w:t>
      </w:r>
      <w:r w:rsidRPr="00531789">
        <w:rPr>
          <w:rFonts w:ascii="Cambria" w:hAnsi="Cambria" w:cs="Arial"/>
        </w:rPr>
        <w:t xml:space="preserve"> the net accumulation rate of a particular resource in a tissue over time, after accounting for the losses from respiration and exudation. </w:t>
      </w:r>
    </w:p>
    <w:p w14:paraId="2D7529F8" w14:textId="77777777" w:rsidR="00DF4522" w:rsidRPr="00531789" w:rsidRDefault="00DF4522" w:rsidP="00DF4522">
      <w:pPr>
        <w:spacing w:line="360" w:lineRule="auto"/>
        <w:jc w:val="both"/>
        <w:rPr>
          <w:rFonts w:ascii="Cambria" w:hAnsi="Cambria" w:cs="Arial"/>
        </w:rPr>
      </w:pPr>
    </w:p>
    <w:p w14:paraId="02D7DF45" w14:textId="77777777" w:rsidR="00DF4522" w:rsidRPr="00531789" w:rsidRDefault="00DF4522" w:rsidP="00DF4522">
      <w:pPr>
        <w:spacing w:line="360" w:lineRule="auto"/>
        <w:jc w:val="both"/>
        <w:rPr>
          <w:rFonts w:ascii="Cambria" w:hAnsi="Cambria"/>
        </w:rPr>
      </w:pPr>
      <w:r w:rsidRPr="00531789">
        <w:rPr>
          <w:rFonts w:ascii="Cambria" w:hAnsi="Cambria"/>
        </w:rPr>
        <w:t>Source tissues thus take up resources from the environment and export them to sinks, which draw down resources within the plant.  The parallels with financial transactions are clear in this conceptualisation of plant function, and the next section considers the molecular currencies traded between sources and sinks.</w:t>
      </w:r>
    </w:p>
    <w:p w14:paraId="2E9D1B2E" w14:textId="77777777" w:rsidR="00DF4522" w:rsidRPr="00531789" w:rsidRDefault="00DF4522" w:rsidP="00DF4522">
      <w:pPr>
        <w:spacing w:line="360" w:lineRule="auto"/>
        <w:jc w:val="both"/>
        <w:rPr>
          <w:rFonts w:ascii="Cambria" w:hAnsi="Cambria" w:cs="Arial"/>
        </w:rPr>
      </w:pPr>
    </w:p>
    <w:p w14:paraId="5C2887A2" w14:textId="77777777" w:rsidR="00DF4522" w:rsidRPr="00531789" w:rsidRDefault="00DF4522" w:rsidP="00DF4522">
      <w:pPr>
        <w:pStyle w:val="Heading2"/>
        <w:rPr>
          <w:rFonts w:ascii="Cambria" w:hAnsi="Cambria"/>
          <w:color w:val="auto"/>
        </w:rPr>
      </w:pPr>
      <w:bookmarkStart w:id="31" w:name="_Toc322267578"/>
      <w:bookmarkStart w:id="32" w:name="_Toc322267700"/>
      <w:bookmarkStart w:id="33" w:name="_Toc322267864"/>
      <w:bookmarkStart w:id="34" w:name="_Toc331253007"/>
      <w:r w:rsidRPr="00531789">
        <w:rPr>
          <w:rFonts w:ascii="Cambria" w:hAnsi="Cambria"/>
          <w:color w:val="auto"/>
        </w:rPr>
        <w:t>S</w:t>
      </w:r>
      <w:bookmarkEnd w:id="31"/>
      <w:bookmarkEnd w:id="32"/>
      <w:bookmarkEnd w:id="33"/>
      <w:r>
        <w:rPr>
          <w:rFonts w:ascii="Cambria" w:hAnsi="Cambria"/>
          <w:color w:val="auto"/>
        </w:rPr>
        <w:t>OURCE AND SINK TISSUES</w:t>
      </w:r>
      <w:bookmarkEnd w:id="34"/>
    </w:p>
    <w:p w14:paraId="19E82D1E" w14:textId="77777777" w:rsidR="00DF4522" w:rsidRPr="00531789" w:rsidRDefault="00DF4522" w:rsidP="00DF4522">
      <w:pPr>
        <w:spacing w:line="360" w:lineRule="auto"/>
        <w:jc w:val="both"/>
        <w:rPr>
          <w:rFonts w:ascii="Cambria" w:hAnsi="Cambria" w:cs="Arial"/>
          <w:b/>
        </w:rPr>
      </w:pPr>
    </w:p>
    <w:p w14:paraId="7B179483" w14:textId="77777777" w:rsidR="00DF4522" w:rsidRPr="00531789" w:rsidRDefault="00DF4522" w:rsidP="00DF4522">
      <w:pPr>
        <w:spacing w:line="360" w:lineRule="auto"/>
        <w:jc w:val="both"/>
        <w:rPr>
          <w:rFonts w:ascii="Cambria" w:hAnsi="Cambria" w:cs="Arial"/>
          <w:b/>
        </w:rPr>
      </w:pPr>
      <w:r w:rsidRPr="00531789">
        <w:rPr>
          <w:rFonts w:ascii="Cambria" w:hAnsi="Cambria" w:cs="Arial"/>
          <w:b/>
        </w:rPr>
        <w:t>Carbon</w:t>
      </w:r>
    </w:p>
    <w:p w14:paraId="52A963C5" w14:textId="77777777" w:rsidR="00DF4522" w:rsidRPr="00531789" w:rsidRDefault="00DF4522" w:rsidP="00DF4522">
      <w:pPr>
        <w:spacing w:line="360" w:lineRule="auto"/>
        <w:jc w:val="both"/>
        <w:rPr>
          <w:rFonts w:ascii="Cambria" w:hAnsi="Cambria" w:cs="Arial"/>
        </w:rPr>
      </w:pPr>
    </w:p>
    <w:p w14:paraId="476551E9"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Mature leaves are net sources of carbon.  Carbon dioxide is fixed to generate triose phosphate in photosynthesis, which is then converted to starch </w:t>
      </w:r>
      <w:r w:rsidRPr="00531789">
        <w:rPr>
          <w:rFonts w:ascii="Cambria" w:hAnsi="Cambria" w:cs="Arial"/>
        </w:rPr>
        <w:fldChar w:fldCharType="begin" w:fldLock="1"/>
      </w:r>
      <w:r w:rsidRPr="00531789">
        <w:rPr>
          <w:rFonts w:ascii="Cambria" w:hAnsi="Cambria" w:cs="Arial"/>
        </w:rPr>
        <w:instrText>ADDIN CSL_CITATION { "citationItems" : [ { "id" : "ITEM-1", "itemData" : { "DOI" : "10.1016/j.pbi.2012.03.016", "ISSN" : "1879-0356", "PMID" : "22541711", "abstract" : "Many plants store part of their photosynthate as starch during the day and remobilise it to support metabolism and growth at night. Mutants unable to synthesize or degrade starch show strongly impaired growth except in long day conditions. In rapidly growing plants, starch turnover is regulated such that it is almost, but not completely, exhausted at dawn. There is increasing evidence that premature or incomplete exhaustion of starch turnover results in lower rates of plant growth. This review provides an update on the pathways for starch synthesis and degradation. We discuss recent advances in understanding how starch turnover and the use of carbon for growth is regulated during diurnal cycles, with special emphasis on the role of the biological clock. Much of the molecular and genetic research on starch turnover has been performed in the reference system Arabidopsis. This review considers to what extent information gained in this weed species maybe applicable to annual crops and perennial species.", "author" : [ { "dropping-particle" : "", "family" : "Stitt", "given" : "Mark", "non-dropping-particle" : "", "parse-names" : false, "suffix" : "" }, { "dropping-particle" : "", "family" : "Zeeman", "given" : "Samuel C", "non-dropping-particle" : "", "parse-names" : false, "suffix" : "" } ], "container-title" : "Current Opinion in Plant Biology", "id" : "ITEM-1", "issue" : "3", "issued" : { "date-parts" : [ [ "2012", "6" ] ] }, "page" : "282-92", "publisher" : "Elsevier Ltd", "title" : "Starch turnover: pathways, regulation and role in growth.", "type" : "article-journal", "volume" : "15" }, "uris" : [ "http://www.mendeley.com/documents/?uuid=6beb95dc-e1be-434a-bb86-9041d8712908" ] } ], "mendeley" : { "formattedCitation" : "(Stitt and Zeeman, 2012)", "manualFormatting" : "for diurnal storage in the chloroplast (Smith and Stitt, 2007; Gibon et al., 2009; Stitt and Zeeman, 2012; Pilkington et al., 2015)", "plainTextFormattedCitation" : "(Stitt and Zeeman, 2012)", "previouslyFormattedCitation" : "(Stitt and Zeeman, 2012)"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 xml:space="preserve">for diurnal storage in the chloroplast (Smith and Stitt, 2007; Gibon </w:t>
      </w:r>
      <w:r w:rsidRPr="00531789">
        <w:rPr>
          <w:rFonts w:ascii="Cambria" w:hAnsi="Cambria" w:cs="Arial"/>
          <w:i/>
          <w:noProof/>
        </w:rPr>
        <w:t>et al</w:t>
      </w:r>
      <w:r w:rsidRPr="00531789">
        <w:rPr>
          <w:rFonts w:ascii="Cambria" w:hAnsi="Cambria" w:cs="Arial"/>
          <w:noProof/>
        </w:rPr>
        <w:t xml:space="preserve">., 2009; Stitt and Zeeman, 2012; Pilkington </w:t>
      </w:r>
      <w:r w:rsidRPr="00531789">
        <w:rPr>
          <w:rFonts w:ascii="Cambria" w:hAnsi="Cambria" w:cs="Arial"/>
          <w:i/>
          <w:noProof/>
        </w:rPr>
        <w:t>et al</w:t>
      </w:r>
      <w:r w:rsidRPr="00531789">
        <w:rPr>
          <w:rFonts w:ascii="Cambria" w:hAnsi="Cambria" w:cs="Arial"/>
          <w:noProof/>
        </w:rPr>
        <w:t>., 2015)</w:t>
      </w:r>
      <w:r w:rsidRPr="00531789">
        <w:rPr>
          <w:rFonts w:ascii="Cambria" w:hAnsi="Cambria" w:cs="Arial"/>
        </w:rPr>
        <w:fldChar w:fldCharType="end"/>
      </w:r>
      <w:r w:rsidRPr="00531789">
        <w:rPr>
          <w:rFonts w:ascii="Cambria" w:hAnsi="Cambria" w:cs="Arial"/>
        </w:rPr>
        <w:t xml:space="preserve">, or to sucrose for export from the leaf or storage in the vacuole.  </w:t>
      </w:r>
    </w:p>
    <w:p w14:paraId="15042D37" w14:textId="77777777" w:rsidR="00DF4522" w:rsidRPr="00531789" w:rsidRDefault="00DF4522" w:rsidP="00DF4522">
      <w:pPr>
        <w:spacing w:line="360" w:lineRule="auto"/>
        <w:jc w:val="both"/>
        <w:rPr>
          <w:rFonts w:ascii="Cambria" w:hAnsi="Cambria" w:cs="Arial"/>
        </w:rPr>
      </w:pPr>
    </w:p>
    <w:p w14:paraId="5C475B17"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Net carbon sink tissues include roots, tubers, reproductive structures and young leaves.  Sucrose may itself be stored directly, or it may first be converted to storage polymers. These polymers are typically starch or </w:t>
      </w:r>
      <w:proofErr w:type="spellStart"/>
      <w:r w:rsidRPr="00531789">
        <w:rPr>
          <w:rFonts w:ascii="Cambria" w:hAnsi="Cambria" w:cs="Arial"/>
        </w:rPr>
        <w:t>fructans</w:t>
      </w:r>
      <w:proofErr w:type="spellEnd"/>
      <w:r w:rsidRPr="00531789">
        <w:rPr>
          <w:rFonts w:ascii="Cambria" w:hAnsi="Cambria" w:cs="Arial"/>
        </w:rPr>
        <w:t xml:space="preserve">, depending on the species; some plants store additional compounds such as </w:t>
      </w:r>
      <w:proofErr w:type="spellStart"/>
      <w:r w:rsidRPr="00531789">
        <w:rPr>
          <w:rFonts w:ascii="Cambria" w:hAnsi="Cambria" w:cs="Arial"/>
        </w:rPr>
        <w:t>raffinoses</w:t>
      </w:r>
      <w:proofErr w:type="spellEnd"/>
      <w:r w:rsidRPr="00531789">
        <w:rPr>
          <w:rFonts w:ascii="Cambria" w:hAnsi="Cambria" w:cs="Arial"/>
        </w:rPr>
        <w:t xml:space="preserve"> </w:t>
      </w:r>
      <w:r w:rsidRPr="00531789">
        <w:rPr>
          <w:rFonts w:ascii="Cambria" w:hAnsi="Cambria" w:cs="Arial"/>
        </w:rPr>
        <w:fldChar w:fldCharType="begin" w:fldLock="1"/>
      </w:r>
      <w:r>
        <w:rPr>
          <w:rFonts w:ascii="Cambria" w:hAnsi="Cambria" w:cs="Arial"/>
        </w:rPr>
        <w:instrText>ADDIN CSL_CITATION { "citationItems" : [ { "id" : "ITEM-1", "itemData" : { "DOI" : "10.1111/j.1469-8137.2012.04274.x", "ISSN" : "1469-8137", "PMID" : "22924406", "abstract" : "Life history theory posits that slower-growing species should invest proportionally more resources to storage, structural (e.g. stems) or defence traits than fast-growing species. Previously, we showed that the slower-growing monocarpic plants had lower mortality rates and higher bolting probabilities after two defoliation events. Here, we consider a mechanistic explanation, that the slower-growing species invested relatively more resources to storage. We compared the relative levels of root storage compounds between eight monocarpic species using metabolomic profiling, and characterized plant growth using a size-corrected estimate of relative growth rate (RGR). Growth rate was negatively correlated with the proportional allocation of root metabolites identified as sucrose, raffinose and stachyose and with amino acids known for their roles in nitrogen storage, particularly proline and arginine. The total amount and concentration of energy-corrected carbohydrates were also negatively correlated with RGR. Our results show for the first time that slower-growing species invest proportionally more of their total root metabolites in carbon- and nitrogen-storage compounds. We conclude that the increased investment in these reserves is an important resource allocation strategy underlying the growth-survival trade-off in plants.", "author" : [ { "dropping-particle" : "", "family" : "Atkinson", "given" : "Rebecca R L", "non-dropping-particle" : "", "parse-names" : false, "suffix" : "" }, { "dropping-particle" : "", "family" : "Burrell", "given" : "Mike M", "non-dropping-particle" : "", "parse-names" : false, "suffix" : "" }, { "dropping-particle" : "", "family" : "Osborne", "given" : "Colin P", "non-dropping-particle" : "", "parse-names" : false, "suffix" : "" }, { "dropping-particle" : "", "family" : "Rose", "given" : "Karen E", "non-dropping-particle" : "", "parse-names" : false, "suffix" : "" }, { "dropping-particle" : "", "family" : "Rees", "given" : "Mark", "non-dropping-particle" : "", "parse-names" : false, "suffix" : "" } ], "container-title" : "New Phytologist", "id" : "ITEM-1", "issue" : "1", "issued" : { "date-parts" : [ [ "2012", "10" ] ] }, "page" : "200-11", "title" : "A non-targeted metabolomics approach to quantifying differences in root storage between fast- and slow-growing plants.", "type" : "article-journal", "volume" : "196" }, "uris" : [ "http://www.mendeley.com/documents/?uuid=79aa9d4d-1520-44c2-8fde-d9ac3cf30287" ] } ], "mendeley" : { "formattedCitation" : "(Atkinson &lt;i&gt;et al.&lt;/i&gt;, 2012)", "plainTextFormattedCitation" : "(Atkinson et al., 2012)", "previouslyFormattedCitation" : "(Atkinson &lt;i&gt;et al.&lt;/i&gt;, 2012)"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(Atkinson </w:t>
      </w:r>
      <w:r w:rsidRPr="002C5907">
        <w:rPr>
          <w:rFonts w:ascii="Cambria" w:hAnsi="Cambria" w:cs="Arial"/>
          <w:i/>
          <w:noProof/>
        </w:rPr>
        <w:t>et al.</w:t>
      </w:r>
      <w:r w:rsidRPr="002C5907">
        <w:rPr>
          <w:rFonts w:ascii="Cambria" w:hAnsi="Cambria" w:cs="Arial"/>
          <w:noProof/>
        </w:rPr>
        <w:t>, 2012)</w:t>
      </w:r>
      <w:r w:rsidRPr="00531789">
        <w:rPr>
          <w:rFonts w:ascii="Cambria" w:hAnsi="Cambria" w:cs="Arial"/>
        </w:rPr>
        <w:fldChar w:fldCharType="end"/>
      </w:r>
      <w:r w:rsidRPr="00531789">
        <w:rPr>
          <w:rFonts w:ascii="Cambria" w:hAnsi="Cambria" w:cs="Arial"/>
        </w:rPr>
        <w:t xml:space="preserve">.   Starch is stored in the </w:t>
      </w:r>
      <w:proofErr w:type="spellStart"/>
      <w:r w:rsidRPr="00531789">
        <w:rPr>
          <w:rFonts w:ascii="Cambria" w:hAnsi="Cambria" w:cs="Arial"/>
        </w:rPr>
        <w:t>amyloplasts</w:t>
      </w:r>
      <w:proofErr w:type="spellEnd"/>
      <w:r w:rsidRPr="00531789">
        <w:rPr>
          <w:rFonts w:ascii="Cambria" w:hAnsi="Cambria" w:cs="Arial"/>
        </w:rPr>
        <w:t xml:space="preserve"> and chloroplasts of many higher plants </w:t>
      </w:r>
      <w:r w:rsidRPr="00531789">
        <w:rPr>
          <w:rFonts w:ascii="Cambria" w:hAnsi="Cambria" w:cs="Arial"/>
        </w:rPr>
        <w:fldChar w:fldCharType="begin" w:fldLock="1"/>
      </w:r>
      <w:r>
        <w:rPr>
          <w:rFonts w:ascii="Cambria" w:hAnsi="Cambria" w:cs="Arial"/>
        </w:rPr>
        <w:instrText>ADDIN CSL_CITATION { "citationItems" : [ { "id" : "ITEM-1", "itemData" : { "ISSN" : "0261-4189", "PMID" : "1373373", "abstract" : "Transgenic potato plants were created in which the expression of ADP-glucose pyrophosphorylase (AGPase) was inhibited by introducing a chimeric gene containing the coding region of one of the subunits of the AGPase linked in an antisense orientation to the CaMV 35S promoter. Partial inhibition of the AGPase enzyme was achieved in leaves and almost complete inhibition in tubers. This resulted in the abolition of starch formation in tubers, thus proving that AGPase has a unique role in starch biosynthesis in plants. Instead up to 30% of the dry weight of the transgenic potato tubers was represented by sucrose and up to 8% by glucose. The process of tuber formation also changed, resulting in significantly more tubers both per plant and per stolon. The accumulation of soluble sugars in tubers of antisense plants resulted in a significant increase of the total tuber fresh weight, but a decrease in dry weight of tubers. There was no significant change in the RNA levels of several other starch biosynthetic enzymes, but there was a great increase in the RNA level of the major sucrose synthesizing enzyme sucrose phosphate synthase. In addition, the inhibition of starch biosynthesis was accompanied by a massive reduction in the expression of the major storage protein species of potato tubers, supporting the idea that the expression of storage protein genes is in some way connected to carbohydrate formation in sink storage tissues.", "author" : [ { "dropping-particle" : "", "family" : "M\u00fcller-R\u00f6ber", "given" : "B", "non-dropping-particle" : "", "parse-names" : false, "suffix" : "" }, { "dropping-particle" : "", "family" : "Sonnewald", "given" : "U", "non-dropping-particle" : "", "parse-names" : false, "suffix" : "" }, { "dropping-particle" : "", "family" : "Willmitzer", "given" : "L", "non-dropping-particle" : "", "parse-names" : false, "suffix" : "" } ], "container-title" : "The EMBO Journal", "id" : "ITEM-1", "issue" : "4", "issued" : { "date-parts" : [ [ "1992", "4" ] ] }, "page" : "1229-38", "title" : "Inhibition of the ADP-glucose pyrophosphorylase in transgenic potatoes leads to sugar-storing tubers and influences tuber formation and expression of tuber storage protein genes.", "type" : "article-journal", "volume" : "11" }, "uris" : [ "http://www.mendeley.com/documents/?uuid=a2380847-18e9-4ec8-8f56-0c8f0a48bd18" ] } ], "mendeley" : { "formattedCitation" : "(M\u00fcller-R\u00f6ber &lt;i&gt;et al.&lt;/i&gt;, 1992)", "plainTextFormattedCitation" : "(M\u00fcller-R\u00f6ber et al., 1992)", "previouslyFormattedCitation" : "(M\u00fcller-R\u00f6ber &lt;i&gt;et al.&lt;/i&gt;, 1992)"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(Müller-Röber </w:t>
      </w:r>
      <w:r w:rsidRPr="002C5907">
        <w:rPr>
          <w:rFonts w:ascii="Cambria" w:hAnsi="Cambria" w:cs="Arial"/>
          <w:i/>
          <w:noProof/>
        </w:rPr>
        <w:t>et al.</w:t>
      </w:r>
      <w:r w:rsidRPr="002C5907">
        <w:rPr>
          <w:rFonts w:ascii="Cambria" w:hAnsi="Cambria" w:cs="Arial"/>
          <w:noProof/>
        </w:rPr>
        <w:t>, 1992)</w:t>
      </w:r>
      <w:r w:rsidRPr="00531789">
        <w:rPr>
          <w:rFonts w:ascii="Cambria" w:hAnsi="Cambria" w:cs="Arial"/>
        </w:rPr>
        <w:fldChar w:fldCharType="end"/>
      </w:r>
      <w:r w:rsidRPr="00531789">
        <w:rPr>
          <w:rFonts w:ascii="Cambria" w:hAnsi="Cambria" w:cs="Arial"/>
        </w:rPr>
        <w:t xml:space="preserve">; </w:t>
      </w:r>
      <w:proofErr w:type="spellStart"/>
      <w:r w:rsidRPr="00531789">
        <w:rPr>
          <w:rFonts w:ascii="Cambria" w:hAnsi="Cambria" w:cs="Arial"/>
        </w:rPr>
        <w:t>amyloplasts</w:t>
      </w:r>
      <w:proofErr w:type="spellEnd"/>
      <w:r w:rsidRPr="00531789">
        <w:rPr>
          <w:rFonts w:ascii="Cambria" w:hAnsi="Cambria" w:cs="Arial"/>
        </w:rPr>
        <w:t xml:space="preserve"> are found in seeds, shoot storage tissues and roots, whilst chloroplasts are found in leaves and stems (and are the only repository for starch within leaves).  Starch is also the primary carbohydrate in the grains of many crops, including wheat, rice and maize, and in the tubers and storage roots of vegetables </w:t>
      </w:r>
      <w:r w:rsidRPr="00531789">
        <w:rPr>
          <w:rFonts w:ascii="Cambria" w:hAnsi="Cambria" w:cs="Arial"/>
        </w:rPr>
        <w:fldChar w:fldCharType="begin" w:fldLock="1"/>
      </w:r>
      <w:r>
        <w:rPr>
          <w:rFonts w:ascii="Cambria" w:hAnsi="Cambria" w:cs="Arial"/>
        </w:rPr>
        <w:instrText>ADDIN CSL_CITATION { "citationItems" : [ { "id" : "ITEM-1", "itemData" : { "ISBN" : "9110601007", "author" : [ { "dropping-particle" : "", "family" : "Pollock", "given" : "C J", "non-dropping-particle" : "", "parse-names" : false, "suffix" : "" }, { "dropping-particle" : "", "family" : "Cairns", "given" : "A J", "non-dropping-particle" : "", "parse-names" : false, "suffix" : "" } ], "container-title" : "Annual Review of Plant Physiology and Plant Molecular Biology", "id" : "ITEM-1", "issued" : { "date-parts" : [ [ "1991" ] ] }, "page" : "77-101", "title" : "Fructan metabolism in grasses and cereals", "type" : "article-journal", "volume" : "42" }, "uris" : [ "http://www.mendeley.com/documents/?uuid=8c08f7f6-3c5f-45ee-a37d-1ea0bc56ed96" ] }, { "id" : "ITEM-2", "itemData" : { "DOI" : "10.1146/annurev-arplant-042809-112301", "ISSN" : "1545-2123", "PMID" : "20192737", "abstract" : "Starch is the most widespread and abundant storage carbohydrate in plants. We depend upon starch for our nutrition, exploit its unique properties in industry, and use it as a feedstock for bioethanol production. Here, we review recent advances in research in three key areas. First, we assess progress in identifying the enzymatic machinery required for the synthesis of amylopectin, the glucose polymer responsible for the insoluble nature of starch. Second, we discuss the pathways of starch degradation, focusing on the emerging role of transient glucan phosphorylation in plastids as a mechanism for solubilizing the surface of the starch granule. We contrast this pathway in leaves with the degradation of starch in the endosperm of germinated cereal seeds. Third, we consider the evolution of starch biosynthesis in plants from the ancestral ability to make glycogen. Finally, we discuss how this basic knowledge has been utilized to improve and diversify starch crops.", "author" : [ { "dropping-particle" : "", "family" : "Zeeman", "given" : "Samuel C", "non-dropping-particle" : "", "parse-names" : false, "suffix" : "" }, { "dropping-particle" : "", "family" : "Kossmann", "given" : "Jens", "non-dropping-particle" : "", "parse-names" : false, "suffix" : "" }, { "dropping-particle" : "", "family" : "Smith", "given" : "Alison M", "non-dropping-particle" : "", "parse-names" : false, "suffix" : "" } ], "container-title" : "Annual Review of Plant Biology", "id" : "ITEM-2", "issued" : { "date-parts" : [ [ "2010", "1" ] ] }, "page" : "209-34", "title" : "Starch: its metabolism, evolution, and biotechnological modification in plants.", "type" : "article-journal", "volume" : "61" }, "uris" : [ "http://www.mendeley.com/documents/?uuid=78a60bcc-d6d9-43f5-b55a-88260e626af5" ] } ], "mendeley" : { "formattedCitation" : "(Pollock and Cairns, 1991; Zeeman &lt;i&gt;et al.&lt;/i&gt;, 2010)", "plainTextFormattedCitation" : "(Pollock and Cairns, 1991; Zeeman et al., 2010)", "previouslyFormattedCitation" : "(Pollock and Cairns, 1991; Zeeman &lt;i&gt;et al.&lt;/i&gt;, 2010)"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(Pollock and Cairns, 1991; Zeeman </w:t>
      </w:r>
      <w:r w:rsidRPr="002C5907">
        <w:rPr>
          <w:rFonts w:ascii="Cambria" w:hAnsi="Cambria" w:cs="Arial"/>
          <w:i/>
          <w:noProof/>
        </w:rPr>
        <w:t>et al.</w:t>
      </w:r>
      <w:r w:rsidRPr="002C5907">
        <w:rPr>
          <w:rFonts w:ascii="Cambria" w:hAnsi="Cambria" w:cs="Arial"/>
          <w:noProof/>
        </w:rPr>
        <w:t>, 2010)</w:t>
      </w:r>
      <w:r w:rsidRPr="00531789">
        <w:rPr>
          <w:rFonts w:ascii="Cambria" w:hAnsi="Cambria" w:cs="Arial"/>
        </w:rPr>
        <w:fldChar w:fldCharType="end"/>
      </w:r>
      <w:r w:rsidRPr="00531789">
        <w:rPr>
          <w:rFonts w:ascii="Cambria" w:hAnsi="Cambria" w:cs="Arial"/>
        </w:rPr>
        <w:t xml:space="preserve">.  Carbon storage in the stems of many temperate grasses consists primarily of </w:t>
      </w:r>
      <w:proofErr w:type="spellStart"/>
      <w:r w:rsidRPr="00531789">
        <w:rPr>
          <w:rFonts w:ascii="Cambria" w:hAnsi="Cambria" w:cs="Arial"/>
        </w:rPr>
        <w:t>fructans</w:t>
      </w:r>
      <w:proofErr w:type="spellEnd"/>
      <w:r w:rsidRPr="00531789">
        <w:rPr>
          <w:rFonts w:ascii="Cambria" w:hAnsi="Cambria" w:cs="Arial"/>
        </w:rPr>
        <w:t xml:space="preserve"> </w:t>
      </w:r>
      <w:r w:rsidRPr="00531789">
        <w:rPr>
          <w:rFonts w:ascii="Cambria" w:hAnsi="Cambria" w:cs="Arial"/>
        </w:rPr>
        <w:fldChar w:fldCharType="begin" w:fldLock="1"/>
      </w:r>
      <w:r>
        <w:rPr>
          <w:rFonts w:ascii="Cambria" w:hAnsi="Cambria" w:cs="Arial"/>
        </w:rPr>
        <w:instrText>ADDIN CSL_CITATION { "citationItems" : [ { "id" : "ITEM-1", "itemData" : { "DOI" : "10.1093/aob/mcp010", "ISSN" : "1095-8290", "PMID" : "19190011", "abstract" : "Carbohydrate temporarily accumulates in wheat stems during the early reproductive growth phase, predominantly as water soluble carbohydrate (WSC), and is subsequently remobilized during grain filling. Starch has also been reported as a minor storage carbohydrate component in wheat stems, but the details are lacking.", "author" : [ { "dropping-particle" : "", "family" : "Scofield", "given" : "Graham N", "non-dropping-particle" : "", "parse-names" : false, "suffix" : "" }, { "dropping-particle" : "", "family" : "Ruuska", "given" : "Sari A", "non-dropping-particle" : "", "parse-names" : false, "suffix" : "" }, { "dropping-particle" : "", "family" : "Aoki", "given" : "Naohiro", "non-dropping-particle" : "", "parse-names" : false, "suffix" : "" }, { "dropping-particle" : "", "family" : "Lewis", "given" : "David C", "non-dropping-particle" : "", "parse-names" : false, "suffix" : "" }, { "dropping-particle" : "", "family" : "Tabe", "given" : "Linda M", "non-dropping-particle" : "", "parse-names" : false, "suffix" : "" }, { "dropping-particle" : "", "family" : "Jenkins", "given" : "Colin L D", "non-dropping-particle" : "", "parse-names" : false, "suffix" : "" } ], "container-title" : "Annals of Botany", "id" : "ITEM-1", "issue" : "6", "issued" : { "date-parts" : [ [ "2009", "4" ] ] }, "page" : "859-68", "title" : "Starch storage in the stems of wheat plants: localization and temporal changes.", "type" : "article-journal", "volume" : "103" }, "uris" : [ "http://www.mendeley.com/documents/?uuid=1d639875-b67a-491d-a569-8369784293fd" ] }, { "id" : "ITEM-2", "itemData" : { "ISBN" : "9110601007", "author" : [ { "dropping-particle" : "", "family" : "Pollock", "given" : "C J", "non-dropping-particle" : "", "parse-names" : false, "suffix" : "" }, { "dropping-particle" : "", "family" : "Cairns", "given" : "A J", "non-dropping-particle" : "", "parse-names" : false, "suffix" : "" } ], "container-title" : "Annual Review of Plant Physiology and Plant Molecular Biology", "id" : "ITEM-2", "issued" : { "date-parts" : [ [ "1991" ] ] }, "page" : "77-101", "title" : "Fructan metabolism in grasses and cereals", "type" : "article-journal", "volume" : "42" }, "uris" : [ "http://www.mendeley.com/documents/?uuid=8c08f7f6-3c5f-45ee-a37d-1ea0bc56ed96" ] } ], "mendeley" : { "formattedCitation" : "(Pollock and Cairns, 1991; Scofield &lt;i&gt;et al.&lt;/i&gt;, 2009)", "plainTextFormattedCitation" : "(Pollock and Cairns, 1991; Scofield et al., 2009)", "previouslyFormattedCitation" : "(Pollock and Cairns, 1991; Scofield &lt;i&gt;et al.&lt;/i&gt;, 2009)"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(Pollock and Cairns, 1991; Scofield </w:t>
      </w:r>
      <w:r w:rsidRPr="002C5907">
        <w:rPr>
          <w:rFonts w:ascii="Cambria" w:hAnsi="Cambria" w:cs="Arial"/>
          <w:i/>
          <w:noProof/>
        </w:rPr>
        <w:t>et al.</w:t>
      </w:r>
      <w:r w:rsidRPr="002C5907">
        <w:rPr>
          <w:rFonts w:ascii="Cambria" w:hAnsi="Cambria" w:cs="Arial"/>
          <w:noProof/>
        </w:rPr>
        <w:t>, 2009)</w:t>
      </w:r>
      <w:r w:rsidRPr="00531789">
        <w:rPr>
          <w:rFonts w:ascii="Cambria" w:hAnsi="Cambria" w:cs="Arial"/>
        </w:rPr>
        <w:fldChar w:fldCharType="end"/>
      </w:r>
      <w:r w:rsidRPr="00531789">
        <w:rPr>
          <w:rFonts w:ascii="Cambria" w:hAnsi="Cambria" w:cs="Arial"/>
        </w:rPr>
        <w:t xml:space="preserve">, water-soluble fructose polymers which confer some resistance to low temperatures </w:t>
      </w:r>
      <w:r w:rsidRPr="00531789">
        <w:rPr>
          <w:rFonts w:ascii="Cambria" w:hAnsi="Cambria" w:cs="Arial"/>
        </w:rPr>
        <w:fldChar w:fldCharType="begin" w:fldLock="1"/>
      </w:r>
      <w:r>
        <w:rPr>
          <w:rFonts w:ascii="Cambria" w:hAnsi="Cambria" w:cs="Arial"/>
        </w:rPr>
        <w:instrText>ADDIN CSL_CITATION { "citationItems" : [ { "id" : "ITEM-1", "itemData" : { "DOI" : "10.1016/j.plantsci.2010.07.011", "ISSN" : "1873-2259", "PMID" : "21421349", "abstract" : "We review recent progress in understanding cold and freezing stress responses in forage grass species, notably Lolium and Festuca species. The chromosomal positions of important frost tolerance and winter survival QTLs on Festuca and Lolium chromosomes 4 and 5 are most likely orthologs of QTLs on Triticeae chromosome 5 which correspond to a cluster of CBF-genes and the major vernalization gene. Gene expression and protein accumulation analyses after cold acclimation shed light on general responses to cold stress. These responses involve modulation of transcription levels of genes encoding proteins involved in cell signalling, cellular transport and proteins associated with the cell membrane. Also, abundance levels of proteins directly involved in photosynthesis were found to be different between genotypes of differing frost tolerance levels, stressing the importance of the link between the function of the photosynthetic apparatus under cold stress and frost tolerance levels. The significance of the ability to undergo photosynthetic acclimation and avoid photoinhibition is also evident from numerous studies in forage grasses. Other interesting candidate mechanisms for freezing tolerance in forage grasses are molecular responses to cold stress which have evolved after the divergence of temperate grasses. This includes metabolic machinery for synthesis of fructans and novel ice-binding proteins.", "author" : [ { "dropping-particle" : "", "family" : "Sandve", "given" : "Simen R", "non-dropping-particle" : "", "parse-names" : false, "suffix" : "" }, { "dropping-particle" : "", "family" : "Kosmala", "given" : "Arkadiusz", "non-dropping-particle" : "", "parse-names" : false, "suffix" : "" }, { "dropping-particle" : "", "family" : "Rudi", "given" : "Heidi", "non-dropping-particle" : "", "parse-names" : false, "suffix" : "" }, { "dropping-particle" : "", "family" : "Fjellheim", "given" : "Siri", "non-dropping-particle" : "", "parse-names" : false, "suffix" : "" }, { "dropping-particle" : "", "family" : "Rapacz", "given" : "Marcin", "non-dropping-particle" : "", "parse-names" : false, "suffix" : "" }, { "dropping-particle" : "", "family" : "Yamada", "given" : "Toshihiko", "non-dropping-particle" : "", "parse-names" : false, "suffix" : "" }, { "dropping-particle" : "", "family" : "Rognli", "given" : "Odd Arne", "non-dropping-particle" : "", "parse-names" : false, "suffix" : "" } ], "container-title" : "Plant Science", "id" : "ITEM-1", "issue" : "1", "issued" : { "date-parts" : [ [ "2011", "1" ] ] }, "page" : "69-77", "title" : "Molecular mechanisms underlying frost tolerance in perennial grasses adapted to cold climates.", "type" : "article-journal", "volume" : "180" }, "uris" : [ "http://www.mendeley.com/documents/?uuid=21d9c23b-f4e0-4692-994d-2e7186070f18" ] } ], "mendeley" : { "formattedCitation" : "(Sandve &lt;i&gt;et al.&lt;/i&gt;, 2011)", "plainTextFormattedCitation" : "(Sandve et al., 2011)", "previouslyFormattedCitation" : "(Sandve &lt;i&gt;et al.&lt;/i&gt;, 2011)"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(Sandve </w:t>
      </w:r>
      <w:r w:rsidRPr="002C5907">
        <w:rPr>
          <w:rFonts w:ascii="Cambria" w:hAnsi="Cambria" w:cs="Arial"/>
          <w:i/>
          <w:noProof/>
        </w:rPr>
        <w:t>et al.</w:t>
      </w:r>
      <w:r w:rsidRPr="002C5907">
        <w:rPr>
          <w:rFonts w:ascii="Cambria" w:hAnsi="Cambria" w:cs="Arial"/>
          <w:noProof/>
        </w:rPr>
        <w:t>, 2011)</w:t>
      </w:r>
      <w:r w:rsidRPr="00531789">
        <w:rPr>
          <w:rFonts w:ascii="Cambria" w:hAnsi="Cambria" w:cs="Arial"/>
        </w:rPr>
        <w:fldChar w:fldCharType="end"/>
      </w:r>
      <w:r w:rsidRPr="00531789">
        <w:rPr>
          <w:rFonts w:ascii="Cambria" w:hAnsi="Cambria" w:cs="Arial"/>
        </w:rPr>
        <w:t xml:space="preserve">.  Typically, </w:t>
      </w:r>
      <w:proofErr w:type="spellStart"/>
      <w:r w:rsidRPr="00531789">
        <w:rPr>
          <w:rFonts w:ascii="Cambria" w:hAnsi="Cambria" w:cs="Arial"/>
        </w:rPr>
        <w:t>fructans</w:t>
      </w:r>
      <w:proofErr w:type="spellEnd"/>
      <w:r w:rsidRPr="00531789">
        <w:rPr>
          <w:rFonts w:ascii="Cambria" w:hAnsi="Cambria" w:cs="Arial"/>
        </w:rPr>
        <w:t xml:space="preserve"> and sucrose are stored together in the stem, as in wheat, barley and oat </w:t>
      </w:r>
      <w:r w:rsidRPr="00531789">
        <w:rPr>
          <w:rFonts w:ascii="Cambria" w:hAnsi="Cambria" w:cs="Arial"/>
        </w:rPr>
        <w:fldChar w:fldCharType="begin" w:fldLock="1"/>
      </w:r>
      <w:r>
        <w:rPr>
          <w:rFonts w:ascii="Cambria" w:hAnsi="Cambria" w:cs="Arial"/>
        </w:rPr>
        <w:instrText>ADDIN CSL_CITATION { "citationItems" : [ { "id" : "ITEM-1", "itemData" : { "DOI" : "10.1093/jxb/ers124", "ISSN" : "1460-2431", "PMID" : "22732107", "abstract" : "A dramatic change in agricultural crops is needed in order to keep pace with the demands of an increasing human population, exponential need for renewable fuels, and uncertain climatic changes. Grasses make up the vast majority of agricultural commodities. How these grasses capture, transport, and store carbohydrates underpins all aspects of crop productivity. Sink-source dynamics within the plant direct how much, where, and when carbohydrates are allocated, as well as determine the harvestable tissue. Carbohydrate partitioning can limit the yield capacity of these plants, thus offering a potential target for crop improvement. Grasses have the ability to buffer this sink-source interaction by transiently storing carbohydrates in stem tissue when production from the source is greater than whole-plant demand. These reserves improve yield stability in grain crops by providing an alternative source when photosynthetic capacity is reduced during the later phases of grain filling, or during periods of environmental and biotic stresses. Domesticated grasses such as sugarcane and sweet sorghum have undergone selection for high accumulation of stem carbohydrates, which serve as the primary sources of sugars for human and animal consumption, as well as ethanol production for fuel. With the enormous expectations placed on agricultural production in the near future, research into carbohydrate partitioning in grasses is essential for maintaining and increasing yields in grass crops. This review highlights the current knowledge of non-structural carbohydrate dynamics in grass stems and discusses the impacts of stem reserves in essential agronomic grasses.", "author" : [ { "dropping-particle" : "", "family" : "Slewinski", "given" : "Thomas L", "non-dropping-particle" : "", "parse-names" : false, "suffix" : "" } ], "container-title" : "Journal of Experimental Botany", "id" : "ITEM-1", "issue" : "13", "issued" : { "date-parts" : [ [ "2012", "8" ] ] }, "note" : "Quoted from text:\n\nThere are periods in the plant life cycle where carbohydrate production in source tissues exceeds the demands of sink tissues, and vice versa. This is in agreement with a more integrative view of sink\u2013source interactions which emphasizes a co-limitation, rather than strictly sink or source limitation (Slafer, 2003; Alvaro et al.,2008; Acreche and Slafer, 2011). For example in wheat, stem carbohydrates progressively accumulate in the stem until the stage of rapid grain filling when stem carbohydrates reserves become mobile and partition to the developing grain (Ruuska et al., 2006).\n\nThe nature of the plant life cycle also has a dramatic impact on whole-plant carbohydrate partitioning (Thompson and Stewart, 1981). Most of the grain-producing grasses are monocarpic annuals with only one chance at producing offspring before the life cycle ends. Thus, carbohydrate reserves buffer against extended periods of low light or drought, allowing plants to produce some viable seed. Perennials go one step further by storing carbohydrates in stems and roots, which may include rhizomes, to fuel re-growth of new tissues in the spring. \n\nStorage and remobilization strategies depend to a large degree on the form in which carbohydrates are stored. Depending on the species, stem carbohydrates can be stored as soluble sugars, such as sucrose, fructans (soluble polymers of fructose), or starch (insoluble polymers of glucose) (Halford et al., 2011). The amount of stored carbohydrate in the stem also varies with the species and cultivar of grass and is dependent on the stage of development and growing conditions. Some grasses that have a central lacuna can also store carbohydrate in the chloranchyma cells along the periphery of the stem.\n\nSome grasses store NSCs in the form of polymers in the storage parenchyma cells, either as starch or as fructans (Fig. 1C) (Morvan-Bertrand et al., 2001; Xue et al., 2008). Grass species that are indigenous to temperate climates and that regularly experience periods of drought and frost typically utilize fructans as a carbohydrate storage pool (Halford et al., 2011). Fructans are synthesized in the vacuolar lumen from imported sucrose (Pollock et al., 2003). Only a few grasses use starch as a primary reserve in thestems (discussed below). Unlike fructans, starch is formed in the plastids/amyloplasts by metabolic events both in the plastid and in the cytosol. Remobilization requires the breakdown of starch in the plastids, then sucrose re- synthesis in the cytosol before export from the cell. For further discussions on starch metabolism, see Zeeman et al. (2010) and Weise et al. (2011).\n\nCarbohydrate partitioning in rice plants is also interesting because plants store carbohydrate reserves as sucrose in the leaves and both starch and sucrose in the stems\u2014a pattern that diverges from many of the grasses (Scofield et al., 2009).\n\nQuantifying NSCs in stems at harvest is one way todetect sink\u2013source imbalances in grain-producing grasses. A recent survey of major domestic cultivars of rice grown under normal agricultural conditions in Japan found that all varieties have significant NSC left in the straw (Park et al., 2011). Other reports indicate that if too much nitrogen is applied to fields, or plants express the staygreen condition longer than is needed for grain fill, stems become saturated with starch (Pan et al., 2011). This starch is then disposed of in the chaff during harvest, which decreases the harvest index. Interestingly, hybrid rice varieties also have reduced harvest index, presumably due to the same phenomenon. These data suggest that rice exhibits more sink than source limitation imposed by constraints in the transport or grain-filling processes. This raises some important questions. Will increasing carbohydrate source strength be enough to increase yield? Does increased and sustained photosynthesis correlate with increased grain fill and harvest index? Carbohydrate partitioning involves not only the production, storage, and utilization of carbohydrates, but is also critically depen- dent on transport. Transport is determined by both the physiology and vascular architecture of the transport system (Dinant and Lemoine, 2010). Rice panicles that produce more spikelets per panicle, so-called \u2018Super Rice\u2019, have problems filling grains produced on the inferior spikelets (Yang and Zhang, 2010b). These plants become more \u2018source limited\u2019 as spikelet density increases, but the grain-filling problem may result from inadequate vascular connections to the inferior spikelet. This results in normal grain filling in the superior spikelet, but reduced in the inferior spikelets, throughout the panicle (Yang et al., 2002). Such morphogenetic constraints in the vascular system can confound investigations into sink\u2013source dynamics (Watson and Casper, 1984) ..... Increasing productivity will most probably require an extensive redesign of the plant, including the physical architecture of the vascular system and buffering capabilities in the stem, not simply the introduction of the C4 photosynthetic syndrome.\n\nIs it possible to optimize the sugar transport streamfurther in order to convert more of the NSCs in the stem into grain mass? As the data highlighted above suggest, there is still much that remains unknown about carbohy- drate partitioning in rice, and how entire life cycle dynamics impact yield. Even though many aspects of carbohydrate partitioning remain elusive, there is potential for improve- ment in the way currently grown cultivars convert carbohy- drate stores into harvested grains.\n\nThe roles and mechanisms of storing and remobilizing stem carbohydrates in wheat have been more intensely studied than in other grain-bearing grasses (Schnyder, 1993; Blum et al., 1994; Wardlaw and Willenbrink, 2000). This is because early researchers discovered a direct correlation between carbohydrate storage in the stems and the ability of the plants to maintain high yield stability under drought or other environmentally deleterious conditions (Bindinger et al., 1977; Asseng and Herwaarden, 2003). Mobilized reserves from the stem tissues can contribute ;20\u201340% of the final grain weight under normal non-stressed growing conditions (Dreccer et al., 2009). \n\nAs breeders and basic scientists raise both source and sink potentials, the physical architecture of the vascular system itself may become the new limiting factor in the carbon economy of the plant (Asli and Houshmandfar, 2011). Buffering the supply with stem carbohydrate reserves may be one way to maximize transport through a constrained vascular route. However, eventually the vascular system itself will have to be altered to accommodate the high rates of transport to the developing florets and grains. More research is needed in this area to identify substantial bottlenecks in transport and grain-filling processes.\n\nPresumably, influx into storage parenchyma cells of thesegrasses is symplasmic, as it is in many tissues that accumulate sugar polymers (Aoki et al., 2004). Stem NSC in wheat, barley, and oat is mostly in the form of fructans stored in the vacuoles of the stem storage parenchyma cells. Other major carbohydrates do not significantly contribute to the NSC reserves, or show little variance between high and low stem NSC lines (Bancal and Tribo\u0131\u00a8, 1993; Ruuska et al., 2006). Starch is present in the stem and leaves of wheat, but has been suggested to function as a source for vegetative growth rather than for mobilization to the grain (Scofield et al., 2009). Fructan synthesis may depend more on sucrose availability, as seen when fructans become rapidly labelled when [14C]sucrose is injected into wheat stems (Hogan and Hendrix, 1986). However, fructan concentrations in wheat are not directly correlated with fructosyltranserase activity (Goggin and Setter, 2004).\n\n\nIn barley, the most promising potential to increaseradiation use efficiency may come from alterations in sink\u2013 source dynamics (Bingham et al., 2007; Newton et al., 2011). Barley appears to be much more sink than source limited. Presumably, the low sink capacity of barley leads to a reduction in photosynthetic productivity due to feedback inhibition.\n\nImproving stress tolerance in wheat by manipulating NSCs in stems has already been put into practice in areas where environmental conditions are suboptimal (Ehdaie et al., 2006). Such is the case in Australia where severe and terminal droughts are common (Bell et al., 2010). Wheat cultivars that have high NSCs in stems show improved floret fertility, grain filling, and yield stability when grown under rain-fed or drought conditions. When these lines are grown under irrigated and non-stress conditions, yields from high stem NSC lines are comparable with those of low NSC lines, suggesting there are no yield penalties associated with high NSCs if the plant does not experience stress (Foulkes et al., 2007).\n\nClosing the yield gap will require drastic exploitation of the sink\u2013source relationship in the grass crops. However, most sink or source components that directly affect yield appear to be negatively correlated with each other (Slafer et al., 1996). The nature of these negative relationships remains unknown. Therefore, new descriptive models are needed that diverge from simple sink- or source-limited systems, to whole-plant entire life cycle systems to understand these relationships fully.\n\nCan larger stem NSC reserves increase radiation use efficiency in the grasses (Reynolds et al., 2011)? It has been suggested that in barley, one of the most promising ways to increase radiation use efficiency is to increase sink strength and storage capacity (Newton et al., 2011), which includes NSC reserves in the stems.", "page" : "4647-70", "title" : "Non-structural carbohydrate partitioning in grass stems: a target to increase yield stability, stress tolerance, and biofuel production.", "type" : "article-journal", "volume" : "63" }, "uris" : [ "http://www.mendeley.com/documents/?uuid=21ab6445-1653-4121-b68f-0126cb60d2ee" ] } ], "mendeley" : { "formattedCitation" : "(Slewinski, 2012)", "plainTextFormattedCitation" : "(Slewinski, 2012)", "previouslyFormattedCitation" : "(Slewinski, 2012)"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(Slewinski, 2012)</w:t>
      </w:r>
      <w:r w:rsidRPr="00531789">
        <w:rPr>
          <w:rFonts w:ascii="Cambria" w:hAnsi="Cambria" w:cs="Arial"/>
        </w:rPr>
        <w:fldChar w:fldCharType="end"/>
      </w:r>
      <w:r w:rsidRPr="00531789">
        <w:rPr>
          <w:rFonts w:ascii="Cambria" w:hAnsi="Cambria" w:cs="Arial"/>
        </w:rPr>
        <w:t xml:space="preserve">.  Significant stem storage of starch is rare in cereals – rice being a notable exception, storing sucrose in leaves and starch in stems </w:t>
      </w:r>
      <w:r w:rsidRPr="00531789">
        <w:rPr>
          <w:rFonts w:ascii="Cambria" w:hAnsi="Cambria" w:cs="Arial"/>
        </w:rPr>
        <w:fldChar w:fldCharType="begin" w:fldLock="1"/>
      </w:r>
      <w:r>
        <w:rPr>
          <w:rFonts w:ascii="Cambria" w:hAnsi="Cambria" w:cs="Arial"/>
        </w:rPr>
        <w:instrText>ADDIN CSL_CITATION { "citationItems" : [ { "id" : "ITEM-1", "itemData" : { "DOI" : "10.1111/j.1469-8137.2008.02705.x", "ISSN" : "1469-8137", "PMID" : "19140947", "abstract" : "A rising human population and changing patterns of land use mean that world food production rates will need to be increased by at least 50% by 2050, a massive rise in harvestable yield per hectare of the major crops such as rice (Oryza sativa) and wheat (Triticum aestivum). Combinations of breeding for improved morphology-related traits such as harvest index and increased inputs of water and fertilizer, which have sustained yield increases since the 1960s, will be neither sufficient nor sustainable. An important limiting factor will be the capacity to produce sufficient biomass during favourable growing periods. Here we analyse this problem in the context of increasing the efficiency of conversion of solar energy into biomass, that is, leaf and canopy photosynthesis. Focussing on crops carrying out C3 photosynthesis, we analyse the evidence for 'losses' in the process of conversion of solar energy into crop biomass and we explore novel mechanisms of improving biomass production rates, which have arisen from recent research into the fundamental primary processes of photosynthesis and carbohydrate metabolism. We show that there are several lines of evidence that these processes are not fully optimized for maximum yield. We put forward the hypothesis that the chloroplast itself should be given greater prominence as a sensor, processor and integrator of highly variable environmental signals to allow a more efficient transduction of energy supply into biomass production.", "author" : [ { "dropping-particle" : "", "family" : "Murchie", "given" : "E H", "non-dropping-particle" : "", "parse-names" : false, "suffix" : "" }, { "dropping-particle" : "", "family" : "Pinto", "given" : "M", "non-dropping-particle" : "", "parse-names" : false, "suffix" : "" }, { "dropping-particle" : "", "family" : "Horton", "given" : "P", "non-dropping-particle" : "", "parse-names" : false, "suffix" : "" } ], "container-title" : "New Phytologist", "id" : "ITEM-1", "issue" : "3", "issued" : { "date-parts" : [ [ "2009", "1" ] ] }, "page" : "532-52", "title" : "Agriculture and the new challenges for photosynthesis research.", "type" : "article-journal", "volume" : "181" }, "uris" : [ "http://www.mendeley.com/documents/?uuid=a952d5fc-e3dc-47e7-b25d-704d57b6d009" ] } ], "mendeley" : { "formattedCitation" : "(Murchie &lt;i&gt;et al.&lt;/i&gt;, 2009)", "manualFormatting" : "(Murchie et al. 2009)", "plainTextFormattedCitation" : "(Murchie et al., 2009)", "previouslyFormattedCitation" : "(Murchie &lt;i&gt;et al.&lt;/i&gt;, 2009)"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 xml:space="preserve">(Murchie </w:t>
      </w:r>
      <w:r w:rsidRPr="00531789">
        <w:rPr>
          <w:rFonts w:ascii="Cambria" w:hAnsi="Cambria" w:cs="Arial"/>
          <w:i/>
          <w:noProof/>
        </w:rPr>
        <w:t>et al</w:t>
      </w:r>
      <w:r w:rsidRPr="00531789">
        <w:rPr>
          <w:rFonts w:ascii="Cambria" w:hAnsi="Cambria" w:cs="Arial"/>
          <w:noProof/>
        </w:rPr>
        <w:t>. 2009)</w:t>
      </w:r>
      <w:r w:rsidRPr="00531789">
        <w:rPr>
          <w:rFonts w:ascii="Cambria" w:hAnsi="Cambria" w:cs="Arial"/>
        </w:rPr>
        <w:fldChar w:fldCharType="end"/>
      </w:r>
      <w:r w:rsidRPr="00531789">
        <w:rPr>
          <w:rFonts w:ascii="Cambria" w:hAnsi="Cambria" w:cs="Arial"/>
        </w:rPr>
        <w:t xml:space="preserve">, and being unable to synthesise </w:t>
      </w:r>
      <w:proofErr w:type="spellStart"/>
      <w:r w:rsidRPr="00531789">
        <w:rPr>
          <w:rFonts w:ascii="Cambria" w:hAnsi="Cambria" w:cs="Arial"/>
        </w:rPr>
        <w:t>fructans</w:t>
      </w:r>
      <w:proofErr w:type="spellEnd"/>
      <w:r w:rsidRPr="00531789">
        <w:rPr>
          <w:rFonts w:ascii="Cambria" w:hAnsi="Cambria" w:cs="Arial"/>
        </w:rPr>
        <w:t xml:space="preserve"> naturally </w:t>
      </w:r>
      <w:r w:rsidRPr="00531789">
        <w:rPr>
          <w:rFonts w:ascii="Cambria" w:hAnsi="Cambria" w:cs="Arial"/>
        </w:rPr>
        <w:fldChar w:fldCharType="begin" w:fldLock="1"/>
      </w:r>
      <w:r>
        <w:rPr>
          <w:rFonts w:ascii="Cambria" w:hAnsi="Cambria" w:cs="Arial"/>
        </w:rPr>
        <w:instrText>ADDIN CSL_CITATION { "citationItems" : [ { "id" : "ITEM-1", "itemData" : { "DOI" : "10.1093/jxb/erm367", "ISSN" : "1460-2431", "PMID" : "18319240", "abstract" : "Fructans are water-soluble fructose oligomers and polymers that are based on sucrose, and have been implicated in protecting plants against water stress. Rice (Oryza sativa L.) is highly sensitive to chilling temperatures, and is not able to synthesize fructans. Two wheat fructan-synthesizing enzymes, sucrose:sucrose 1-fructosyltransferase, encoded by wft2, or sucrose:fructan 6-fructosyltransferase, encoded by wft1, were introduced into rice plants, and rice transformants that accumulate fructans were successfully obtained. The mature leaf blades of transgenic rice lines with wft2 or wft1 accumulated 16.2 mg g(-1) FW of oligo- and polysaccharides mainly composed of inulin oligomers of more than DP7, and 3.7 mg g(-1) FW of oligo- and polysaccharides, mainly composed of phlein oligomers of more than DP15, respectively. The transgenic rice seedlings with wft2 accumulated significantly higher concentrations of oligo- and polysaccharides than non-transgenic rice seedlings, and exhibited enhanced chilling tolerance. The oligo- and polysaccharide concentrations of seedlings expressing wft1 were obviously lower than those of lines expressing wft2, and no correlation between oligo- and polysaccharide concentrations and chilling tolerance was detected in wft1-expressing rice lines. The results suggest that transgenic rice lines expressing wheat-derived fructosyltransferase genes accumulated large amounts of fructans in mature leaf blades and exhibited enhanced chilling tolerance at the seedling stage. This is the first report owing that fructan accumulation enhanced tolerance to non-freezing low temperatures.", "author" : [ { "dropping-particle" : "", "family" : "Kawakami", "given" : "Akira", "non-dropping-particle" : "", "parse-names" : false, "suffix" : "" }, { "dropping-particle" : "", "family" : "Sato", "given" : "Yutaka", "non-dropping-particle" : "", "parse-names" : false, "suffix" : "" }, { "dropping-particle" : "", "family" : "Yoshida", "given" : "Midori", "non-dropping-particle" : "", "parse-names" : false, "suffix" : "" } ], "container-title" : "Journal of Experimental Botany", "id" : "ITEM-1", "issue" : "4", "issued" : { "date-parts" : [ [ "2008", "1" ] ] }, "page" : "793-802", "title" : "Genetic engineering of rice capable of synthesizing fructans and enhancing chilling tolerance.", "type" : "article-journal", "volume" : "59" }, "uris" : [ "http://www.mendeley.com/documents/?uuid=6a4b04f2-a1d9-470f-92ae-7fc6ddaa6522" ] } ], "mendeley" : { "formattedCitation" : "(Kawakami &lt;i&gt;et al.&lt;/i&gt;, 2008)", "plainTextFormattedCitation" : "(Kawakami et al., 2008)", "previouslyFormattedCitation" : "(Kawakami &lt;i&gt;et al.&lt;/i&gt;, 2008)"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(Kawakami </w:t>
      </w:r>
      <w:r w:rsidRPr="002C5907">
        <w:rPr>
          <w:rFonts w:ascii="Cambria" w:hAnsi="Cambria" w:cs="Arial"/>
          <w:i/>
          <w:noProof/>
        </w:rPr>
        <w:t>et al.</w:t>
      </w:r>
      <w:r w:rsidRPr="002C5907">
        <w:rPr>
          <w:rFonts w:ascii="Cambria" w:hAnsi="Cambria" w:cs="Arial"/>
          <w:noProof/>
        </w:rPr>
        <w:t>, 2008)</w:t>
      </w:r>
      <w:r w:rsidRPr="00531789">
        <w:rPr>
          <w:rFonts w:ascii="Cambria" w:hAnsi="Cambria" w:cs="Arial"/>
        </w:rPr>
        <w:fldChar w:fldCharType="end"/>
      </w:r>
      <w:r w:rsidRPr="00531789">
        <w:rPr>
          <w:rFonts w:ascii="Cambria" w:hAnsi="Cambria" w:cs="Arial"/>
        </w:rPr>
        <w:t xml:space="preserve">.  Stem storage of carbohydrates is an important buffering system for recovery after grazing and for supplying photosynthate to cereal ears during grain filling, especially during drought </w:t>
      </w:r>
      <w:r w:rsidRPr="00531789">
        <w:rPr>
          <w:rFonts w:ascii="Cambria" w:hAnsi="Cambria" w:cs="Arial"/>
        </w:rPr>
        <w:fldChar w:fldCharType="begin" w:fldLock="1"/>
      </w:r>
      <w:r>
        <w:rPr>
          <w:rFonts w:ascii="Cambria" w:hAnsi="Cambria" w:cs="Arial"/>
        </w:rPr>
        <w:instrText>ADDIN CSL_CITATION { "citationItems" : [ { "id" : "ITEM-1", "itemData" : { "DOI" : "10.1093/jxb/ers124", "ISSN" : "1460-2431", "PMID" : "22732107", "abstract" : "A dramatic change in agricultural crops is needed in order to keep pace with the demands of an increasing human population, exponential need for renewable fuels, and uncertain climatic changes. Grasses make up the vast majority of agricultural commodities. How these grasses capture, transport, and store carbohydrates underpins all aspects of crop productivity. Sink-source dynamics within the plant direct how much, where, and when carbohydrates are allocated, as well as determine the harvestable tissue. Carbohydrate partitioning can limit the yield capacity of these plants, thus offering a potential target for crop improvement. Grasses have the ability to buffer this sink-source interaction by transiently storing carbohydrates in stem tissue when production from the source is greater than whole-plant demand. These reserves improve yield stability in grain crops by providing an alternative source when photosynthetic capacity is reduced during the later phases of grain filling, or during periods of environmental and biotic stresses. Domesticated grasses such as sugarcane and sweet sorghum have undergone selection for high accumulation of stem carbohydrates, which serve as the primary sources of sugars for human and animal consumption, as well as ethanol production for fuel. With the enormous expectations placed on agricultural production in the near future, research into carbohydrate partitioning in grasses is essential for maintaining and increasing yields in grass crops. This review highlights the current knowledge of non-structural carbohydrate dynamics in grass stems and discusses the impacts of stem reserves in essential agronomic grasses.", "author" : [ { "dropping-particle" : "", "family" : "Slewinski", "given" : "Thomas L", "non-dropping-particle" : "", "parse-names" : false, "suffix" : "" } ], "container-title" : "Journal of Experimental Botany", "id" : "ITEM-1", "issue" : "13", "issued" : { "date-parts" : [ [ "2012", "8" ] ] }, "note" : "Quoted from text:\n\nThere are periods in the plant life cycle where carbohydrate production in source tissues exceeds the demands of sink tissues, and vice versa. This is in agreement with a more integrative view of sink\u2013source interactions which emphasizes a co-limitation, rather than strictly sink or source limitation (Slafer, 2003; Alvaro et al.,2008; Acreche and Slafer, 2011). For example in wheat, stem carbohydrates progressively accumulate in the stem until the stage of rapid grain filling when stem carbohydrates reserves become mobile and partition to the developing grain (Ruuska et al., 2006).\n\nThe nature of the plant life cycle also has a dramatic impact on whole-plant carbohydrate partitioning (Thompson and Stewart, 1981). Most of the grain-producing grasses are monocarpic annuals with only one chance at producing offspring before the life cycle ends. Thus, carbohydrate reserves buffer against extended periods of low light or drought, allowing plants to produce some viable seed. Perennials go one step further by storing carbohydrates in stems and roots, which may include rhizomes, to fuel re-growth of new tissues in the spring. \n\nStorage and remobilization strategies depend to a large degree on the form in which carbohydrates are stored. Depending on the species, stem carbohydrates can be stored as soluble sugars, such as sucrose, fructans (soluble polymers of fructose), or starch (insoluble polymers of glucose) (Halford et al., 2011). The amount of stored carbohydrate in the stem also varies with the species and cultivar of grass and is dependent on the stage of development and growing conditions. Some grasses that have a central lacuna can also store carbohydrate in the chloranchyma cells along the periphery of the stem.\n\nSome grasses store NSCs in the form of polymers in the storage parenchyma cells, either as starch or as fructans (Fig. 1C) (Morvan-Bertrand et al., 2001; Xue et al., 2008). Grass species that are indigenous to temperate climates and that regularly experience periods of drought and frost typically utilize fructans as a carbohydrate storage pool (Halford et al., 2011). Fructans are synthesized in the vacuolar lumen from imported sucrose (Pollock et al., 2003). Only a few grasses use starch as a primary reserve in thestems (discussed below). Unlike fructans, starch is formed in the plastids/amyloplasts by metabolic events both in the plastid and in the cytosol. Remobilization requires the breakdown of starch in the plastids, then sucrose re- synthesis in the cytosol before export from the cell. For further discussions on starch metabolism, see Zeeman et al. (2010) and Weise et al. (2011).\n\nCarbohydrate partitioning in rice plants is also interesting because plants store carbohydrate reserves as sucrose in the leaves and both starch and sucrose in the stems\u2014a pattern that diverges from many of the grasses (Scofield et al., 2009).\n\nQuantifying NSCs in stems at harvest is one way todetect sink\u2013source imbalances in grain-producing grasses. A recent survey of major domestic cultivars of rice grown under normal agricultural conditions in Japan found that all varieties have significant NSC left in the straw (Park et al., 2011). Other reports indicate that if too much nitrogen is applied to fields, or plants express the staygreen condition longer than is needed for grain fill, stems become saturated with starch (Pan et al., 2011). This starch is then disposed of in the chaff during harvest, which decreases the harvest index. Interestingly, hybrid rice varieties also have reduced harvest index, presumably due to the same phenomenon. These data suggest that rice exhibits more sink than source limitation imposed by constraints in the transport or grain-filling processes. This raises some important questions. Will increasing carbohydrate source strength be enough to increase yield? Does increased and sustained photosynthesis correlate with increased grain fill and harvest index? Carbohydrate partitioning involves not only the production, storage, and utilization of carbohydrates, but is also critically depen- dent on transport. Transport is determined by both the physiology and vascular architecture of the transport system (Dinant and Lemoine, 2010). Rice panicles that produce more spikelets per panicle, so-called \u2018Super Rice\u2019, have problems filling grains produced on the inferior spikelets (Yang and Zhang, 2010b). These plants become more \u2018source limited\u2019 as spikelet density increases, but the grain-filling problem may result from inadequate vascular connections to the inferior spikelet. This results in normal grain filling in the superior spikelet, but reduced in the inferior spikelets, throughout the panicle (Yang et al., 2002). Such morphogenetic constraints in the vascular system can confound investigations into sink\u2013source dynamics (Watson and Casper, 1984) ..... Increasing productivity will most probably require an extensive redesign of the plant, including the physical architecture of the vascular system and buffering capabilities in the stem, not simply the introduction of the C4 photosynthetic syndrome.\n\nIs it possible to optimize the sugar transport streamfurther in order to convert more of the NSCs in the stem into grain mass? As the data highlighted above suggest, there is still much that remains unknown about carbohy- drate partitioning in rice, and how entire life cycle dynamics impact yield. Even though many aspects of carbohydrate partitioning remain elusive, there is potential for improve- ment in the way currently grown cultivars convert carbohy- drate stores into harvested grains.\n\nThe roles and mechanisms of storing and remobilizing stem carbohydrates in wheat have been more intensely studied than in other grain-bearing grasses (Schnyder, 1993; Blum et al., 1994; Wardlaw and Willenbrink, 2000). This is because early researchers discovered a direct correlation between carbohydrate storage in the stems and the ability of the plants to maintain high yield stability under drought or other environmentally deleterious conditions (Bindinger et al., 1977; Asseng and Herwaarden, 2003). Mobilized reserves from the stem tissues can contribute ;20\u201340% of the final grain weight under normal non-stressed growing conditions (Dreccer et al., 2009). \n\nAs breeders and basic scientists raise both source and sink potentials, the physical architecture of the vascular system itself may become the new limiting factor in the carbon economy of the plant (Asli and Houshmandfar, 2011). Buffering the supply with stem carbohydrate reserves may be one way to maximize transport through a constrained vascular route. However, eventually the vascular system itself will have to be altered to accommodate the high rates of transport to the developing florets and grains. More research is needed in this area to identify substantial bottlenecks in transport and grain-filling processes.\n\nPresumably, influx into storage parenchyma cells of thesegrasses is symplasmic, as it is in many tissues that accumulate sugar polymers (Aoki et al., 2004). Stem NSC in wheat, barley, and oat is mostly in the form of fructans stored in the vacuoles of the stem storage parenchyma cells. Other major carbohydrates do not significantly contribute to the NSC reserves, or show little variance between high and low stem NSC lines (Bancal and Tribo\u0131\u00a8, 1993; Ruuska et al., 2006). Starch is present in the stem and leaves of wheat, but has been suggested to function as a source for vegetative growth rather than for mobilization to the grain (Scofield et al., 2009). Fructan synthesis may depend more on sucrose availability, as seen when fructans become rapidly labelled when [14C]sucrose is injected into wheat stems (Hogan and Hendrix, 1986). However, fructan concentrations in wheat are not directly correlated with fructosyltranserase activity (Goggin and Setter, 2004).\n\n\nIn barley, the most promising potential to increaseradiation use efficiency may come from alterations in sink\u2013 source dynamics (Bingham et al., 2007; Newton et al., 2011). Barley appears to be much more sink than source limited. Presumably, the low sink capacity of barley leads to a reduction in photosynthetic productivity due to feedback inhibition.\n\nImproving stress tolerance in wheat by manipulating NSCs in stems has already been put into practice in areas where environmental conditions are suboptimal (Ehdaie et al., 2006). Such is the case in Australia where severe and terminal droughts are common (Bell et al., 2010). Wheat cultivars that have high NSCs in stems show improved floret fertility, grain filling, and yield stability when grown under rain-fed or drought conditions. When these lines are grown under irrigated and non-stress conditions, yields from high stem NSC lines are comparable with those of low NSC lines, suggesting there are no yield penalties associated with high NSCs if the plant does not experience stress (Foulkes et al., 2007).\n\nClosing the yield gap will require drastic exploitation of the sink\u2013source relationship in the grass crops. However, most sink or source components that directly affect yield appear to be negatively correlated with each other (Slafer et al., 1996). The nature of these negative relationships remains unknown. Therefore, new descriptive models are needed that diverge from simple sink- or source-limited systems, to whole-plant entire life cycle systems to understand these relationships fully.\n\nCan larger stem NSC reserves increase radiation use efficiency in the grasses (Reynolds et al., 2011)? It has been suggested that in barley, one of the most promising ways to increase radiation use efficiency is to increase sink strength and storage capacity (Newton et al., 2011), which includes NSC reserves in the stems.", "page" : "4647-70", "title" : "Non-structural carbohydrate partitioning in grass stems: a target to increase yield stability, stress tolerance, and biofuel production.", "type" : "article-journal", "volume" : "63" }, "uris" : [ "http://www.mendeley.com/documents/?uuid=21ab6445-1653-4121-b68f-0126cb60d2ee" ] }, { "id" : "ITEM-2", "itemData" : { "DOI" : "10.1071/FP06062", "ISSN" : "1445-4408", "author" : [ { "dropping-particle" : "", "family" : "Ruuska", "given" : "Sari A.", "non-dropping-particle" : "", "parse-names" : false, "suffix" : "" }, { "dropping-particle" : "", "family" : "Rebetzke", "given" : "Greg J.", "non-dropping-particle" : "", "parse-names" : false, "suffix" : "" }, { "dropping-particle" : "", "family" : "Herwaarden", "given" : "Anthony F.", "non-dropping-particle" : "van", "parse-names" : false, "suffix" : "" }, { "dropping-particle" : "", "family" : "Richards", "given" : "Richard A.", "non-dropping-particle" : "", "parse-names" : false, "suffix" : "" }, { "dropping-particle" : "", "family" : "Fettell", "given" : "Neil A.", "non-dropping-particle" : "", "parse-names" : false, "suffix" : "" }, { "dropping-particle" : "", "family" : "Tabe", "given" : "Linda", "non-dropping-particle" : "", "parse-names" : false, "suffix" : "" }, { "dropping-particle" : "", "family" : "Jenkins", "given" : "Colin L. D.", "non-dropping-particle" : "", "parse-names" : false, "suffix" : "" } ], "container-title" : "Functional Plant Biology", "id" : "ITEM-2", "issue" : "9", "issued" : { "date-parts" : [ [ "2006" ] ] }, "page" : "799", "title" : "Genotypic variation in water-soluble carbohydrate accumulation in wheat", "type" : "article-journal", "volume" : "33" }, "uris" : [ "http://www.mendeley.com/documents/?uuid=a9fba0f0-a2c0-4da0-b394-56eb36d5039d" ] }, { "id" : "ITEM-3", "itemData" : { "author" : [ { "dropping-particle" : "", "family" : "Schnyder", "given" : "Hans", "non-dropping-particle" : "", "parse-names" : false, "suffix" : "" } ], "container-title" : "New Phytologist", "id" : "ITEM-3", "issued" : { "date-parts" : [ [ "1993" ] ] }, "page" : "233-245", "title" : "The role of carbohydrate storage and redistribution in the source-sink relations of wheat and barley during grain filling - a review", "type" : "article-journal", "volume" : "123" }, "uris" : [ "http://www.mendeley.com/documents/?uuid=a96ba76f-e7bb-4eae-8406-df68dc700307" ] } ], "mendeley" : { "formattedCitation" : "(Schnyder, 1993; Ruuska &lt;i&gt;et al.&lt;/i&gt;, 2006; Slewinski, 2012)", "plainTextFormattedCitation" : "(Schnyder, 1993; Ruuska et al., 2006; Slewinski, 2012)", "previouslyFormattedCitation" : "(Schnyder, 1993; Ruuska &lt;i&gt;et al.&lt;/i&gt;, 2006; Slewinski, 2012)"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(Schnyder, 1993; Ruuska </w:t>
      </w:r>
      <w:r w:rsidRPr="002C5907">
        <w:rPr>
          <w:rFonts w:ascii="Cambria" w:hAnsi="Cambria" w:cs="Arial"/>
          <w:i/>
          <w:noProof/>
        </w:rPr>
        <w:t>et al.</w:t>
      </w:r>
      <w:r w:rsidRPr="002C5907">
        <w:rPr>
          <w:rFonts w:ascii="Cambria" w:hAnsi="Cambria" w:cs="Arial"/>
          <w:noProof/>
        </w:rPr>
        <w:t>, 2006; Slewinski, 2012)</w:t>
      </w:r>
      <w:r w:rsidRPr="00531789">
        <w:rPr>
          <w:rFonts w:ascii="Cambria" w:hAnsi="Cambria" w:cs="Arial"/>
        </w:rPr>
        <w:fldChar w:fldCharType="end"/>
      </w:r>
      <w:r w:rsidRPr="00531789">
        <w:rPr>
          <w:rFonts w:ascii="Cambria" w:hAnsi="Cambria" w:cs="Arial"/>
        </w:rPr>
        <w:t xml:space="preserve">, and is thus a relatively labile sink. For growth, a major use of photosynthate is the synthesis of cell wall polysaccharides such as cellulose and hemicellulose, in all parts of the plant.  Indeed, almost half of plant cell wall biomass is comprised of carbon </w:t>
      </w:r>
      <w:r w:rsidRPr="00531789">
        <w:rPr>
          <w:rFonts w:ascii="Cambria" w:hAnsi="Cambria" w:cs="Arial"/>
        </w:rPr>
        <w:fldChar w:fldCharType="begin" w:fldLock="1"/>
      </w:r>
      <w:r w:rsidRPr="00531789">
        <w:rPr>
          <w:rFonts w:ascii="Cambria" w:hAnsi="Cambria" w:cs="Arial"/>
        </w:rPr>
        <w:instrText>ADDIN CSL_CITATION { "citationItems" : [ { "id" : "ITEM-1", "itemData" : { "author" : [ { "dropping-particle" : "", "family" : "K\u00f6rner", "given" : "Christian", "non-dropping-particle" : "", "parse-names" : false, "suffix" : "" } ], "container-title" : "Paper presented to IEEE 4th International Symposium on Plant Growth Modeling, Simulation, Visualization and Applications", "id" : "ITEM-1", "issued" : { "date-parts" : [ [ "2012" ] ] }, "title" : "When growth controls photosynthesis", "type" : "paper-conference" }, "uris" : [ "http://www.mendeley.com/documents/?uuid=2bec0a66-9d2e-4098-a78a-935cacf5a010" ] } ], "mendeley" : { "formattedCitation" : "(K\u00f6rner, 2012)", "plainTextFormattedCitation" : "(K\u00f6rner, 2012)", "previouslyFormattedCitation" : "(K\u00f6rner, 2012)"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(Körner, 2012)</w:t>
      </w:r>
      <w:r w:rsidRPr="00531789">
        <w:rPr>
          <w:rFonts w:ascii="Cambria" w:hAnsi="Cambria" w:cs="Arial"/>
        </w:rPr>
        <w:fldChar w:fldCharType="end"/>
      </w:r>
      <w:r w:rsidRPr="00531789">
        <w:rPr>
          <w:rFonts w:ascii="Cambria" w:hAnsi="Cambria" w:cs="Arial"/>
        </w:rPr>
        <w:t>.</w:t>
      </w:r>
    </w:p>
    <w:p w14:paraId="387E5F77" w14:textId="77777777" w:rsidR="00DF4522" w:rsidRPr="00531789" w:rsidRDefault="00DF4522" w:rsidP="00DF4522">
      <w:pPr>
        <w:spacing w:line="360" w:lineRule="auto"/>
        <w:jc w:val="both"/>
        <w:rPr>
          <w:rFonts w:ascii="Cambria" w:hAnsi="Cambria" w:cs="Arial"/>
        </w:rPr>
      </w:pPr>
    </w:p>
    <w:p w14:paraId="63213776"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In addition to the assimilation of resources in sink tissues, the utilisation of resources in respiration and exudation constitute a further sink, since these processes also contribute to resource drawdown.  Maintenance respiration can represent a significant carbon cost to the plant </w:t>
      </w:r>
      <w:r w:rsidRPr="00531789">
        <w:rPr>
          <w:rFonts w:ascii="Cambria" w:hAnsi="Cambria" w:cs="Arial"/>
        </w:rPr>
        <w:fldChar w:fldCharType="begin" w:fldLock="1"/>
      </w:r>
      <w:r>
        <w:rPr>
          <w:rFonts w:ascii="Cambria" w:hAnsi="Cambria" w:cs="Arial"/>
        </w:rPr>
        <w:instrText>ADDIN CSL_CITATION { "citationItems" : [ { "id" : "ITEM-1", "itemData" : { "author" : [ { "dropping-particle" : "", "family" : "Penning de Vries", "given" : "F W T", "non-dropping-particle" : "", "parse-names" : false, "suffix" : "" } ], "container-title" : "Annals of Botany", "id" : "ITEM-1", "issued" : { "date-parts" : [ [ "1975" ] ] }, "page" : "77-92", "title" : "The Cost of Maintenance Processes in Plant Cells", "type" : "article-journal", "volume" : "39" }, "uris" : [ "http://www.mendeley.com/documents/?uuid=369046eb-76ab-43d1-af44-1f7599de1f63" ] } ], "mendeley" : { "formattedCitation" : "(Penning de Vries, 1975)", "plainTextFormattedCitation" : "(Penning de Vries, 1975)", "previouslyFormattedCitation" : "(Penning de Vries, 1975)"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(Penning de Vries, 1975)</w:t>
      </w:r>
      <w:r w:rsidRPr="00531789">
        <w:rPr>
          <w:rFonts w:ascii="Cambria" w:hAnsi="Cambria" w:cs="Arial"/>
        </w:rPr>
        <w:fldChar w:fldCharType="end"/>
      </w:r>
      <w:r w:rsidRPr="00531789">
        <w:rPr>
          <w:rFonts w:ascii="Cambria" w:hAnsi="Cambria" w:cs="Arial"/>
        </w:rPr>
        <w:t xml:space="preserve">; for example, respiration constitutes 70% of the carbon sink in </w:t>
      </w:r>
      <w:proofErr w:type="spellStart"/>
      <w:r w:rsidRPr="00531789">
        <w:rPr>
          <w:rFonts w:ascii="Cambria" w:hAnsi="Cambria" w:cs="Arial"/>
          <w:i/>
        </w:rPr>
        <w:t>Pinus</w:t>
      </w:r>
      <w:proofErr w:type="spellEnd"/>
      <w:r w:rsidRPr="00531789">
        <w:rPr>
          <w:rFonts w:ascii="Cambria" w:hAnsi="Cambria" w:cs="Arial"/>
          <w:i/>
        </w:rPr>
        <w:t xml:space="preserve"> </w:t>
      </w:r>
      <w:proofErr w:type="spellStart"/>
      <w:r w:rsidRPr="00531789">
        <w:rPr>
          <w:rFonts w:ascii="Cambria" w:hAnsi="Cambria" w:cs="Arial"/>
          <w:i/>
        </w:rPr>
        <w:t>halepensis</w:t>
      </w:r>
      <w:proofErr w:type="spellEnd"/>
      <w:r w:rsidRPr="00531789">
        <w:rPr>
          <w:rFonts w:ascii="Cambria" w:hAnsi="Cambria" w:cs="Arial"/>
          <w:i/>
        </w:rPr>
        <w:t xml:space="preserve"> </w:t>
      </w:r>
      <w:r w:rsidRPr="00531789">
        <w:rPr>
          <w:rFonts w:ascii="Cambria" w:hAnsi="Cambria" w:cs="Arial"/>
          <w:i/>
        </w:rPr>
        <w:fldChar w:fldCharType="begin" w:fldLock="1"/>
      </w:r>
      <w:r w:rsidRPr="00531789">
        <w:rPr>
          <w:rFonts w:ascii="Cambria" w:hAnsi="Cambria" w:cs="Arial"/>
          <w:i/>
        </w:rPr>
        <w:instrText>ADDIN CSL_CITATION { "citationItems" : [ { "id" : "ITEM-1", "itemData" : { "DOI" : "10.1111/nph.12993", "ISSN" : "1469-8137", "PMID" : "25157793", "abstract" : "Tree internal carbon (C) fluxes between compound and compartment pools are difficult to measure directly. Here we used a C mass balance approach to decipher these fluxes and provide a full description of tree C allocation dynamics. We collected independent measurements of tree C sinks, source and pools in Pinus halepensis in a semi-arid forest, and converted all fluxes to g C per tree d(-1) . Using this data set, a process flowchart was created to describe and quantify the tree C allocation on diurnal to annual time-scales. The annual C source of 24.5 kg C per tree yr(-1) was balanced by C sinks of 23.5 kg C per tree yr(-1) , which partitioned into 70%, 17% and 13% between respiration, growth, and litter (plus export to soil), respectively. Large imbalances (up to 57 g C per tree d(-1) ) were observed as C excess during the wet season, and as C deficit during the dry season. Concurrent changes in C reserves (starch) were sufficient to buffer these transient C imbalances. The C pool dynamics calculated using the flowchart were in general agreement with the observed pool sizes, providing confidence regarding our estimations of the timing, magnitude, and direction of the internal C fluxes.", "author" : [ { "dropping-particle" : "", "family" : "Klein", "given" : "Tamir", "non-dropping-particle" : "", "parse-names" : false, "suffix" : "" }, { "dropping-particle" : "", "family" : "Hoch", "given" : "G\u00fcnter", "non-dropping-particle" : "", "parse-names" : false, "suffix" : "" } ], "container-title" : "The New Phytologist", "id" : "ITEM-1", "issue" : "1", "issued" : { "date-parts" : [ [ "2015", "1" ] ] }, "page" : "147-59", "title" : "Tree carbon allocation dynamics determined using a carbon mass balance approach.", "type" : "article-journal", "volume" : "205" }, "uris" : [ "http://www.mendeley.com/documents/?uuid=0439263d-863b-452d-bedc-7f6b0af4ba49" ] } ], "mendeley" : { "formattedCitation" : "(Klein and Hoch, 2015)", "plainTextFormattedCitation" : "(Klein and Hoch, 2015)", "previouslyFormattedCitation" : "(Klein and Hoch, 2015)" }, "properties" : { "noteIndex" : 0 }, "schema" : "https://github.com/citation-style-language/schema/raw/master/csl-citation.json" }</w:instrText>
      </w:r>
      <w:r w:rsidRPr="00531789">
        <w:rPr>
          <w:rFonts w:ascii="Cambria" w:hAnsi="Cambria" w:cs="Arial"/>
          <w:i/>
        </w:rPr>
        <w:fldChar w:fldCharType="separate"/>
      </w:r>
      <w:r w:rsidRPr="00531789">
        <w:rPr>
          <w:rFonts w:ascii="Cambria" w:hAnsi="Cambria" w:cs="Arial"/>
          <w:noProof/>
        </w:rPr>
        <w:t>(Klein and Hoch, 2015)</w:t>
      </w:r>
      <w:r w:rsidRPr="00531789">
        <w:rPr>
          <w:rFonts w:ascii="Cambria" w:hAnsi="Cambria" w:cs="Arial"/>
          <w:i/>
        </w:rPr>
        <w:fldChar w:fldCharType="end"/>
      </w:r>
      <w:r w:rsidRPr="00531789">
        <w:rPr>
          <w:rFonts w:ascii="Cambria" w:hAnsi="Cambria" w:cs="Arial"/>
        </w:rPr>
        <w:t xml:space="preserve">. Carbon and nitrogen are released through root exudation of a variety of compounds including organic acids, sugars, polysaccharides, </w:t>
      </w:r>
      <w:proofErr w:type="spellStart"/>
      <w:r w:rsidRPr="00531789">
        <w:rPr>
          <w:rFonts w:ascii="Cambria" w:hAnsi="Cambria" w:cs="Arial"/>
        </w:rPr>
        <w:t>ectoenzymes</w:t>
      </w:r>
      <w:proofErr w:type="spellEnd"/>
      <w:r w:rsidRPr="00531789">
        <w:rPr>
          <w:rFonts w:ascii="Cambria" w:hAnsi="Cambria" w:cs="Arial"/>
        </w:rPr>
        <w:t xml:space="preserve"> such as acid phosphatase, and sloughed-off cells and tissues </w:t>
      </w:r>
      <w:r w:rsidRPr="00531789">
        <w:rPr>
          <w:rFonts w:ascii="Cambria" w:hAnsi="Cambria" w:cs="Arial"/>
        </w:rPr>
        <w:fldChar w:fldCharType="begin" w:fldLock="1"/>
      </w:r>
      <w:r w:rsidRPr="00531789">
        <w:rPr>
          <w:rFonts w:ascii="Cambria" w:hAnsi="Cambria" w:cs="Arial"/>
        </w:rPr>
        <w:instrText>ADDIN CSL_CITATION { "citationItems" : [ { "id" : "ITEM-1", "itemData" : { "ISBN" : "0-12-473543-6", "author" : [ { "dropping-particle" : "", "family" : "Marschner", "given" : "Horst", "non-dropping-particle" : "", "parse-names" : false, "suffix" : "" } ], "edition" : "2nd", "editor" : [ { "dropping-particle" : "", "family" : "Marschner", "given" : "P", "non-dropping-particle" : "", "parse-names" : false, "suffix" : "" } ], "id" : "ITEM-1", "issued" : { "date-parts" : [ [ "1995" ] ] }, "publisher" : "Academic Press", "publisher-place" : "London", "title" : "Mineral Nutrition of Higher Plants", "type" : "book" }, "uris" : [ "http://www.mendeley.com/documents/?uuid=4da83903-c379-4e79-8410-79eaf9305b73" ] } ], "mendeley" : { "formattedCitation" : "(Marschner, 1995)", "plainTextFormattedCitation" : "(Marschner, 1995)", "previouslyFormattedCitation" : "(Marschner, 1995)"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(Marschner, 1995)</w:t>
      </w:r>
      <w:r w:rsidRPr="00531789">
        <w:rPr>
          <w:rFonts w:ascii="Cambria" w:hAnsi="Cambria" w:cs="Arial"/>
        </w:rPr>
        <w:fldChar w:fldCharType="end"/>
      </w:r>
      <w:r w:rsidRPr="00531789">
        <w:rPr>
          <w:rFonts w:ascii="Cambria" w:hAnsi="Cambria" w:cs="Arial"/>
        </w:rPr>
        <w:t xml:space="preserve">.  Exuded metabolites have many functions </w:t>
      </w:r>
      <w:r w:rsidRPr="00531789">
        <w:rPr>
          <w:rFonts w:ascii="Cambria" w:hAnsi="Cambria" w:cs="Arial"/>
        </w:rPr>
        <w:fldChar w:fldCharType="begin" w:fldLock="1"/>
      </w:r>
      <w:r w:rsidRPr="00531789">
        <w:rPr>
          <w:rFonts w:ascii="Cambria" w:hAnsi="Cambria" w:cs="Arial"/>
        </w:rPr>
        <w:instrText>ADDIN CSL_CITATION { "citationItems" : [ { "id" : "ITEM-1", "itemData" : { "DOI" : "10.1111/j.1365-3040.2009.01926.x", "ISSN" : "01407791", "author" : [ { "dropping-particle" : "V.", "family" : "Badri", "given" : "Dayakar", "non-dropping-particle" : "", "parse-names" : false, "suffix" : "" }, { "dropping-particle" : "", "family" : "Vivanco", "given" : "Jorge M.", "non-dropping-particle" : "", "parse-names" : false, "suffix" : "" } ], "container-title" : "Plant, Cell &amp; Environment", "id" : "ITEM-1", "issue" : "6", "issued" : { "date-parts" : [ [ "2009", "6" ] ] }, "page" : "666-681", "title" : "Regulation and function of root exudates", "type" : "article-journal", "volume" : "32" }, "uris" : [ "http://www.mendeley.com/documents/?uuid=5475d9a4-5ef7-48d7-b441-5599574f3bb0" ] } ], "mendeley" : { "formattedCitation" : "(Badri and Vivanco, 2009)", "plainTextFormattedCitation" : "(Badri and Vivanco, 2009)", "previouslyFormattedCitation" : "(Badri and Vivanco, 2009)"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(Badri and Vivanco, 2009)</w:t>
      </w:r>
      <w:r w:rsidRPr="00531789">
        <w:rPr>
          <w:rFonts w:ascii="Cambria" w:hAnsi="Cambria" w:cs="Arial"/>
        </w:rPr>
        <w:fldChar w:fldCharType="end"/>
      </w:r>
      <w:r w:rsidRPr="00531789">
        <w:rPr>
          <w:rFonts w:ascii="Cambria" w:hAnsi="Cambria" w:cs="Arial"/>
        </w:rPr>
        <w:t xml:space="preserve"> such as modifying the </w:t>
      </w:r>
      <w:proofErr w:type="spellStart"/>
      <w:r w:rsidRPr="00531789">
        <w:rPr>
          <w:rFonts w:ascii="Cambria" w:hAnsi="Cambria" w:cs="Arial"/>
        </w:rPr>
        <w:t>rhizosphere</w:t>
      </w:r>
      <w:proofErr w:type="spellEnd"/>
      <w:r w:rsidRPr="00531789">
        <w:rPr>
          <w:rFonts w:ascii="Cambria" w:hAnsi="Cambria" w:cs="Arial"/>
        </w:rPr>
        <w:t xml:space="preserve"> to provide a desirable environment for beneficial microorganisms and providing signals to aid recruitment of </w:t>
      </w:r>
      <w:proofErr w:type="spellStart"/>
      <w:r w:rsidRPr="00531789">
        <w:rPr>
          <w:rFonts w:ascii="Cambria" w:hAnsi="Cambria" w:cs="Arial"/>
        </w:rPr>
        <w:t>arbuscular</w:t>
      </w:r>
      <w:proofErr w:type="spellEnd"/>
      <w:r w:rsidRPr="00531789">
        <w:rPr>
          <w:rFonts w:ascii="Cambria" w:hAnsi="Cambria" w:cs="Arial"/>
        </w:rPr>
        <w:t xml:space="preserve"> </w:t>
      </w:r>
      <w:proofErr w:type="spellStart"/>
      <w:r w:rsidRPr="00531789">
        <w:rPr>
          <w:rFonts w:ascii="Cambria" w:hAnsi="Cambria" w:cs="Arial"/>
        </w:rPr>
        <w:t>mycorrhizal</w:t>
      </w:r>
      <w:proofErr w:type="spellEnd"/>
      <w:r w:rsidRPr="00531789">
        <w:rPr>
          <w:rFonts w:ascii="Cambria" w:hAnsi="Cambria" w:cs="Arial"/>
        </w:rPr>
        <w:t xml:space="preserve"> fungi, contributing to immunity </w:t>
      </w:r>
      <w:r w:rsidRPr="00531789">
        <w:rPr>
          <w:rFonts w:ascii="Cambria" w:hAnsi="Cambria" w:cs="Arial"/>
        </w:rPr>
        <w:fldChar w:fldCharType="begin" w:fldLock="1"/>
      </w:r>
      <w:r>
        <w:rPr>
          <w:rFonts w:ascii="Cambria" w:hAnsi="Cambria" w:cs="Arial"/>
        </w:rPr>
        <w:instrText>ADDIN CSL_CITATION { "citationItems" : [ { "id" : "ITEM-1", "itemData" : { "DOI" : "10.1016/j.tplants.2013.06.004", "ISSN" : "13601385", "author" : [ { "dropping-particle" : "", "family" : "Cameron", "given" : "Duncan D.", "non-dropping-particle" : "", "parse-names" : false, "suffix" : "" }, { "dropping-particle" : "", "family" : "Neal", "given" : "Andrew L.", "non-dropping-particle" : "", "parse-names" : false, "suffix" : "" }, { "dropping-particle" : "", "family" : "Wees", "given" : "Saskia C.M.", "non-dropping-particle" : "van", "parse-names" : false, "suffix" : "" }, { "dropping-particle" : "", "family" : "Ton", "given" : "Jurriaan", "non-dropping-particle" : "", "parse-names" : false, "suffix" : "" } ], "container-title" : "Trends in Plant Science", "id" : "ITEM-1", "issued" : { "date-parts" : [ [ "2013", "7" ] ] }, "page" : "539-545", "publisher" : "Elsevier Ltd", "title" : "Mycorrhiza-induced resistance: more than the sum of its parts?", "type" : "article-journal", "volume" : "18" }, "uris" : [ "http://www.mendeley.com/documents/?uuid=59a071af-ad90-4c62-88b8-611868bbe32e" ] } ], "mendeley" : { "formattedCitation" : "(Cameron &lt;i&gt;et al.&lt;/i&gt;, 2013)", "plainTextFormattedCitation" : "(Cameron et al., 2013)", "previouslyFormattedCitation" : "(Cameron &lt;i&gt;et al.&lt;/i&gt;, 2013)"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(Cameron </w:t>
      </w:r>
      <w:r w:rsidRPr="002C5907">
        <w:rPr>
          <w:rFonts w:ascii="Cambria" w:hAnsi="Cambria" w:cs="Arial"/>
          <w:i/>
          <w:noProof/>
        </w:rPr>
        <w:t>et al.</w:t>
      </w:r>
      <w:r w:rsidRPr="002C5907">
        <w:rPr>
          <w:rFonts w:ascii="Cambria" w:hAnsi="Cambria" w:cs="Arial"/>
          <w:noProof/>
        </w:rPr>
        <w:t>, 2013)</w:t>
      </w:r>
      <w:r w:rsidRPr="00531789">
        <w:rPr>
          <w:rFonts w:ascii="Cambria" w:hAnsi="Cambria" w:cs="Arial"/>
        </w:rPr>
        <w:fldChar w:fldCharType="end"/>
      </w:r>
      <w:r w:rsidRPr="00531789">
        <w:rPr>
          <w:rFonts w:ascii="Cambria" w:hAnsi="Cambria" w:cs="Arial"/>
        </w:rPr>
        <w:t xml:space="preserve">.  These processes may be substantial – one meta-analysis of annuals found that 30-60% of net photosynthetic carbon is allocated to roots, of which 40-90% is lost in respiration and exudation </w:t>
      </w:r>
      <w:r w:rsidRPr="00531789">
        <w:rPr>
          <w:rFonts w:ascii="Cambria" w:hAnsi="Cambria" w:cs="Arial"/>
        </w:rPr>
        <w:fldChar w:fldCharType="begin" w:fldLock="1"/>
      </w:r>
      <w:r w:rsidRPr="00531789">
        <w:rPr>
          <w:rFonts w:ascii="Cambria" w:hAnsi="Cambria" w:cs="Arial"/>
        </w:rPr>
        <w:instrText>ADDIN CSL_CITATION { "citationItems" : [ { "id" : "ITEM-1", "itemData" : { "author" : [ { "dropping-particle" : "", "family" : "Lynch", "given" : "J M", "non-dropping-particle" : "", "parse-names" : false, "suffix" : "" }, { "dropping-particle" : "", "family" : "Whipps", "given" : "J M", "non-dropping-particle" : "", "parse-names" : false, "suffix" : "" } ], "container-title" : "Plant and Soil", "id" : "ITEM-1", "issued" : { "date-parts" : [ [ "1990" ] ] }, "note" : "Cited in Marschner's book p548 -- rhizodeposition info", "page" : "1-10", "title" : "Substrate flow in the rhizosphere", "type" : "article-journal", "volume" : "129" }, "uris" : [ "http://www.mendeley.com/documents/?uuid=c3fe6536-e926-420c-871d-e596e6f11a0f" ] } ], "mendeley" : { "formattedCitation" : "(Lynch and Whipps, 1990)", "plainTextFormattedCitation" : "(Lynch and Whipps, 1990)", "previouslyFormattedCitation" : "(Lynch and Whipps, 1990)"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(Lynch and Whipps, 1990)</w:t>
      </w:r>
      <w:r w:rsidRPr="00531789">
        <w:rPr>
          <w:rFonts w:ascii="Cambria" w:hAnsi="Cambria" w:cs="Arial"/>
        </w:rPr>
        <w:fldChar w:fldCharType="end"/>
      </w:r>
      <w:r w:rsidRPr="00531789">
        <w:rPr>
          <w:rFonts w:ascii="Cambria" w:hAnsi="Cambria" w:cs="Arial"/>
        </w:rPr>
        <w:t xml:space="preserve">.  </w:t>
      </w:r>
    </w:p>
    <w:p w14:paraId="0C59A4E7" w14:textId="77777777" w:rsidR="00DF4522" w:rsidRPr="00531789" w:rsidRDefault="00DF4522" w:rsidP="00DF4522">
      <w:pPr>
        <w:spacing w:line="360" w:lineRule="auto"/>
        <w:jc w:val="both"/>
        <w:rPr>
          <w:rFonts w:ascii="Cambria" w:hAnsi="Cambria" w:cs="Arial"/>
          <w:b/>
        </w:rPr>
      </w:pPr>
    </w:p>
    <w:p w14:paraId="6617EF22" w14:textId="77777777" w:rsidR="00DF4522" w:rsidRPr="00531789" w:rsidRDefault="00DF4522" w:rsidP="00DF4522">
      <w:pPr>
        <w:spacing w:line="360" w:lineRule="auto"/>
        <w:jc w:val="both"/>
        <w:rPr>
          <w:rFonts w:ascii="Cambria" w:hAnsi="Cambria" w:cs="Arial"/>
          <w:b/>
        </w:rPr>
      </w:pPr>
      <w:r w:rsidRPr="00531789">
        <w:rPr>
          <w:rFonts w:ascii="Cambria" w:hAnsi="Cambria" w:cs="Arial"/>
          <w:b/>
        </w:rPr>
        <w:t>Nitrogen</w:t>
      </w:r>
    </w:p>
    <w:p w14:paraId="3F3DD48D" w14:textId="77777777" w:rsidR="00DF4522" w:rsidRPr="00531789" w:rsidRDefault="00DF4522" w:rsidP="00DF4522">
      <w:pPr>
        <w:spacing w:line="360" w:lineRule="auto"/>
        <w:jc w:val="both"/>
        <w:rPr>
          <w:rFonts w:ascii="Cambria" w:hAnsi="Cambria" w:cs="Arial"/>
        </w:rPr>
      </w:pPr>
    </w:p>
    <w:p w14:paraId="420FFFF6" w14:textId="77777777" w:rsidR="00DF4522" w:rsidRPr="00531789" w:rsidRDefault="00DF4522" w:rsidP="00DF4522">
      <w:pPr>
        <w:spacing w:line="360" w:lineRule="auto"/>
        <w:jc w:val="both"/>
        <w:rPr>
          <w:rFonts w:ascii="Cambria" w:hAnsi="Cambria" w:cs="Arial"/>
        </w:rPr>
      </w:pPr>
      <w:r w:rsidRPr="00531789">
        <w:rPr>
          <w:rFonts w:ascii="Cambria" w:hAnsi="Cambria" w:cs="Arial"/>
        </w:rPr>
        <w:t>In contrast to carbon, roots are net sources for nitrogen, while shoot tissues are net nitrogen sinks until senescence when the</w:t>
      </w:r>
      <w:r>
        <w:rPr>
          <w:rFonts w:ascii="Cambria" w:hAnsi="Cambria" w:cs="Arial"/>
        </w:rPr>
        <w:t>ir nitrogen is remobilised (</w:t>
      </w:r>
      <w:proofErr w:type="spellStart"/>
      <w:r>
        <w:rPr>
          <w:rFonts w:ascii="Cambria" w:hAnsi="Cambria" w:cs="Arial"/>
        </w:rPr>
        <w:t>Aerts</w:t>
      </w:r>
      <w:proofErr w:type="spellEnd"/>
      <w:r w:rsidRPr="00531789">
        <w:rPr>
          <w:rFonts w:ascii="Cambria" w:hAnsi="Cambria" w:cs="Arial"/>
        </w:rPr>
        <w:t xml:space="preserve"> and Chapin, 2000).  Annuals remobilise nitrogen for reproduction whilst perennials may remobilise nitrogen for reproduction or for growth and storage in subsequent years.  Inorganic nitrogen is taken up by roots as nitrate (NO</w:t>
      </w:r>
      <w:r w:rsidRPr="00531789">
        <w:rPr>
          <w:rFonts w:ascii="Cambria" w:hAnsi="Cambria" w:cs="Arial"/>
          <w:vertAlign w:val="subscript"/>
        </w:rPr>
        <w:t>3</w:t>
      </w:r>
      <w:r w:rsidRPr="00531789">
        <w:rPr>
          <w:rFonts w:ascii="Cambria" w:hAnsi="Cambria" w:cs="Arial"/>
          <w:vertAlign w:val="superscript"/>
        </w:rPr>
        <w:t>–</w:t>
      </w:r>
      <w:r w:rsidRPr="00531789">
        <w:rPr>
          <w:rFonts w:ascii="Cambria" w:hAnsi="Cambria" w:cs="Arial"/>
        </w:rPr>
        <w:t>) or ammonium (NH</w:t>
      </w:r>
      <w:r w:rsidRPr="00531789">
        <w:rPr>
          <w:rFonts w:ascii="Cambria" w:hAnsi="Cambria" w:cs="Arial"/>
          <w:vertAlign w:val="subscript"/>
        </w:rPr>
        <w:t>4</w:t>
      </w:r>
      <w:r w:rsidRPr="00531789">
        <w:rPr>
          <w:rFonts w:ascii="Cambria" w:hAnsi="Cambria" w:cs="Arial"/>
          <w:vertAlign w:val="superscript"/>
        </w:rPr>
        <w:t>+</w:t>
      </w:r>
      <w:r w:rsidRPr="00531789">
        <w:rPr>
          <w:rFonts w:ascii="Cambria" w:hAnsi="Cambria" w:cs="Arial"/>
        </w:rPr>
        <w:t xml:space="preserve">), and may be utilized in growth or exported from the root.  Assimilation of nitrogen into amino acids takes place in both roots and shoots, although the relative proportions depend on the species and are still debated </w:t>
      </w:r>
      <w:r w:rsidRPr="00531789">
        <w:rPr>
          <w:rFonts w:ascii="Cambria" w:hAnsi="Cambria" w:cs="Arial"/>
        </w:rPr>
        <w:fldChar w:fldCharType="begin" w:fldLock="1"/>
      </w:r>
      <w:r>
        <w:rPr>
          <w:rFonts w:ascii="Cambria" w:hAnsi="Cambria" w:cs="Arial"/>
        </w:rPr>
        <w:instrText>ADDIN CSL_CITATION { "citationItems" : [ { "id" : "ITEM-1", "itemData" : { "DOI" : "10.1093/mp/ssq049", "ISSN" : "1752-9867", "PMID" : "20926550", "abstract" : "In addition to light and water, CO(2) and mineral elements are required for plant growth and development. Among these factors, nitrogen is critical, since it is needed to synthesize amino acids, which are the building elements of protein, nucleotides, chlorophyll, and numerous other metabolites and cellular components. Therefore, nitrogen is required by plants in higher quantities and this investment in nitrogen supports the use of CO(2), water, and inorganic nitrogen to produce sugars, organic acids, and amino acids, the basic building blocks of biomass accumulation. This system is maintained by complex metabolic machinery, which is regulated at different levels according to environmental factors such as light, CO(2), and nutrient availability. Plants integrate these signals via a signaling network, which involves metabolites as well as nutrient-sensing proteins. Due to its importance, much research effort has been expended to understand how carbon and nitrogen metabolism are integrated and regulated according to the rates of photosynthesis, photorespiration, and respiration. Thus, in this article, we both discuss recent advances in carbon/nitrogen metabolisms as well as sensing and signaling systems in illuminated leaves of C3-plants and provide a perspective of the type of experiments that are now required in order to take our understanding to a higher level.", "author" : [ { "dropping-particle" : "", "family" : "Nunes-Nesi", "given" : "Adriano", "non-dropping-particle" : "", "parse-names" : false, "suffix" : "" }, { "dropping-particle" : "", "family" : "Fernie", "given" : "Alisdair R", "non-dropping-particle" : "", "parse-names" : false, "suffix" : "" }, { "dropping-particle" : "", "family" : "Stitt", "given" : "Mark", "non-dropping-particle" : "", "parse-names" : false, "suffix" : "" } ], "container-title" : "Molecular Plant", "id" : "ITEM-1", "issue" : "6", "issued" : { "date-parts" : [ [ "2010", "11" ] ] }, "page" : "973-96", "title" : "Metabolic and signaling aspects underpinning the regulation of plant carbon nitrogen interactions.", "type" : "article-journal", "volume" : "3" }, "uris" : [ "http://www.mendeley.com/documents/?uuid=07fdb197-79ca-418e-b4cd-c6ee24e950d6" ] } ], "mendeley" : { "formattedCitation" : "(Nunes-Nesi &lt;i&gt;et al.&lt;/i&gt;, 2010)", "plainTextFormattedCitation" : "(Nunes-Nesi et al., 2010)", "previouslyFormattedCitation" : "(Nunes-Nesi &lt;i&gt;et al.&lt;/i&gt;, 2010)"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(Nunes-Nesi </w:t>
      </w:r>
      <w:r w:rsidRPr="002C5907">
        <w:rPr>
          <w:rFonts w:ascii="Cambria" w:hAnsi="Cambria" w:cs="Arial"/>
          <w:i/>
          <w:noProof/>
        </w:rPr>
        <w:t>et al.</w:t>
      </w:r>
      <w:r w:rsidRPr="002C5907">
        <w:rPr>
          <w:rFonts w:ascii="Cambria" w:hAnsi="Cambria" w:cs="Arial"/>
          <w:noProof/>
        </w:rPr>
        <w:t>, 2010)</w:t>
      </w:r>
      <w:r w:rsidRPr="00531789">
        <w:rPr>
          <w:rFonts w:ascii="Cambria" w:hAnsi="Cambria" w:cs="Arial"/>
        </w:rPr>
        <w:fldChar w:fldCharType="end"/>
      </w:r>
      <w:r w:rsidRPr="00531789">
        <w:rPr>
          <w:rFonts w:ascii="Cambria" w:hAnsi="Cambria" w:cs="Arial"/>
        </w:rPr>
        <w:t xml:space="preserve">.  Approximately 80% of wild plant species benefit from </w:t>
      </w:r>
      <w:proofErr w:type="spellStart"/>
      <w:r w:rsidRPr="00531789">
        <w:rPr>
          <w:rFonts w:ascii="Cambria" w:hAnsi="Cambria" w:cs="Arial"/>
        </w:rPr>
        <w:t>mycorrhizal</w:t>
      </w:r>
      <w:proofErr w:type="spellEnd"/>
      <w:r w:rsidRPr="00531789">
        <w:rPr>
          <w:rFonts w:ascii="Cambria" w:hAnsi="Cambria" w:cs="Arial"/>
        </w:rPr>
        <w:t xml:space="preserve"> associations in which specialised fungi aid the uptake of phosphorus and sometimes organic nitrogen </w:t>
      </w:r>
      <w:r w:rsidRPr="00531789">
        <w:rPr>
          <w:rFonts w:ascii="Cambria" w:hAnsi="Cambria" w:cs="Arial"/>
        </w:rPr>
        <w:fldChar w:fldCharType="begin" w:fldLock="1"/>
      </w:r>
      <w:r w:rsidRPr="00531789">
        <w:rPr>
          <w:rFonts w:ascii="Cambria" w:hAnsi="Cambria" w:cs="Arial"/>
        </w:rPr>
        <w:instrText>ADDIN CSL_CITATION { "citationItems" : [ { "id" : "ITEM-1", "itemData" : { "author" : [ { "dropping-particle" : "", "family" : "Read", "given" : "D J", "non-dropping-particle" : "", "parse-names" : false, "suffix" : "" } ], "container-title" : "Experientia", "id" : "ITEM-1", "issued" : { "date-parts" : [ [ "1991" ] ] }, "page" : "376-391", "title" : "Mycorrhizas in ecosystems", "type" : "article-journal", "volume" : "47" }, "uris" : [ "http://www.mendeley.com/documents/?uuid=8c6495c7-a586-478f-926f-db4d23d81713" ] } ], "mendeley" : { "formattedCitation" : "(Read, 1991)", "plainTextFormattedCitation" : "(Read, 1991)", "previouslyFormattedCitation" : "(Read, 1991)"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(Read, 1991)</w:t>
      </w:r>
      <w:r w:rsidRPr="00531789">
        <w:rPr>
          <w:rFonts w:ascii="Cambria" w:hAnsi="Cambria" w:cs="Arial"/>
        </w:rPr>
        <w:fldChar w:fldCharType="end"/>
      </w:r>
      <w:r w:rsidRPr="00531789">
        <w:rPr>
          <w:rFonts w:ascii="Cambria" w:hAnsi="Cambria" w:cs="Arial"/>
        </w:rPr>
        <w:t xml:space="preserve">.  Organic nitrogen may also be taken up from the soil in the form of free amino acids.  Nitrogen is exported from roots as nitrate (transported in the xylem), amino acids or amides (both transported in the phloem).  </w:t>
      </w:r>
    </w:p>
    <w:p w14:paraId="7ADB58EE" w14:textId="77777777" w:rsidR="00DF4522" w:rsidRPr="00531789" w:rsidRDefault="00DF4522" w:rsidP="00DF4522">
      <w:pPr>
        <w:spacing w:line="360" w:lineRule="auto"/>
        <w:jc w:val="both"/>
        <w:rPr>
          <w:rFonts w:ascii="Cambria" w:hAnsi="Cambria" w:cs="Arial"/>
        </w:rPr>
      </w:pPr>
    </w:p>
    <w:p w14:paraId="4BEF9720"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Root and leaf nitrogen concentrations are positively correlated, but a global survey of wild grassland species found that leaf nitrogen concentration is more than double that of roots in the same species </w:t>
      </w:r>
      <w:r w:rsidRPr="00531789">
        <w:rPr>
          <w:rFonts w:ascii="Cambria" w:hAnsi="Cambria" w:cs="Arial"/>
        </w:rPr>
        <w:fldChar w:fldCharType="begin" w:fldLock="1"/>
      </w:r>
      <w:r>
        <w:rPr>
          <w:rFonts w:ascii="Cambria" w:hAnsi="Cambria" w:cs="Arial"/>
        </w:rPr>
        <w:instrText>ADDIN CSL_CITATION { "citationItems" : [ { "id" : "ITEM-1", "itemData" : { "abstract" : "Uncertainties regarding the relationships between leaf and root traits have impeded an integrated understanding of plant evolution and the efficient parameterization of ecosystem models. We measured key root and leaf traits of grasses from 77 sites in four grassland regions of the world (New Zealand, Australia, South Africa, North America). Within each region, the relationships among leaf traits paralleled those among root traits. Plants with low root or leaf N concentrations had roots or leaves with high tissue density, high lignin concentrations, low amount of mass that was soluble in a neutral detergent solution, large diameter/thickness, and were less enriched in 15 N. Yet, whether comparing plants within a region or among all four regions, there was little relationship between root traits and leaf traits, except for a positive relationship between root and leaf N concentration and between root and leaf ?15 N. At the global scale, factors such as soil freezing and the type of nutrient limitation appear to determine relationships among leaves and roots. C4 grasses not only had lower leaf N concentrations than C3 grasses but also lower root N concentrations. When compared at the same root N concentration, C4 grasses had greater leaf N concentrations than C3 grasses. Key", "author" : [ { "dropping-particle" : "", "family" : "Craine", "given" : "Joseph M", "non-dropping-particle" : "", "parse-names" : false, "suffix" : "" }, { "dropping-particle" : "", "family" : "Lee", "given" : "William G", "non-dropping-particle" : "", "parse-names" : false, "suffix" : "" }, { "dropping-particle" : "", "family" : "Bond", "given" : "William J", "non-dropping-particle" : "", "parse-names" : false, "suffix" : "" }, { "dropping-particle" : "", "family" : "Williams", "given" : "Richard J", "non-dropping-particle" : "", "parse-names" : false, "suffix" : "" }, { "dropping-particle" : "", "family" : "Johnson", "given" : "Loretta C", "non-dropping-particle" : "", "parse-names" : false, "suffix" : "" } ], "container-title" : "Ecology", "id" : "ITEM-1", "issue" : "1", "issued" : { "date-parts" : [ [ "2005" ] ] }, "page" : "12-19", "title" : "Environmental constraints on a global relationship among leaf and root traits of grasses", "type" : "article-journal", "volume" : "86" }, "uris" : [ "http://www.mendeley.com/documents/?uuid=dc850433-b1d7-4cba-9866-2ccf1d0f6e8e" ] } ], "mendeley" : { "formattedCitation" : "(Craine &lt;i&gt;et al.&lt;/i&gt;, 2005)", "plainTextFormattedCitation" : "(Craine et al., 2005)", "previouslyFormattedCitation" : "(Craine &lt;i&gt;et al.&lt;/i&gt;, 2005)"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(Craine </w:t>
      </w:r>
      <w:r w:rsidRPr="002C5907">
        <w:rPr>
          <w:rFonts w:ascii="Cambria" w:hAnsi="Cambria" w:cs="Arial"/>
          <w:i/>
          <w:noProof/>
        </w:rPr>
        <w:t>et al.</w:t>
      </w:r>
      <w:r w:rsidRPr="002C5907">
        <w:rPr>
          <w:rFonts w:ascii="Cambria" w:hAnsi="Cambria" w:cs="Arial"/>
          <w:noProof/>
        </w:rPr>
        <w:t>, 2005)</w:t>
      </w:r>
      <w:r w:rsidRPr="00531789">
        <w:rPr>
          <w:rFonts w:ascii="Cambria" w:hAnsi="Cambria" w:cs="Arial"/>
        </w:rPr>
        <w:fldChar w:fldCharType="end"/>
      </w:r>
      <w:r w:rsidRPr="00531789">
        <w:rPr>
          <w:rFonts w:ascii="Cambria" w:hAnsi="Cambria" w:cs="Arial"/>
        </w:rPr>
        <w:t xml:space="preserve">.  The main use of nitrogen for growth is in proteins and there is a particularly high demand in leaves, where the complex, enzyme-rich photosynthetic machinery is assembled and maintained.  Photosynthetic proteins encompass the majority of leaf nitrogen – for example </w:t>
      </w:r>
      <w:proofErr w:type="spellStart"/>
      <w:r w:rsidRPr="00531789">
        <w:rPr>
          <w:rFonts w:ascii="Cambria" w:hAnsi="Cambria" w:cs="Arial"/>
        </w:rPr>
        <w:t>Rubisco</w:t>
      </w:r>
      <w:proofErr w:type="spellEnd"/>
      <w:r w:rsidRPr="00531789">
        <w:rPr>
          <w:rFonts w:ascii="Cambria" w:hAnsi="Cambria" w:cs="Arial"/>
        </w:rPr>
        <w:t xml:space="preserve"> (EC 4.1.1.39) typically accounts for between 10 and 30% of leaf nitrogen content but can account for up to 50% of leaf nitrogen content </w:t>
      </w:r>
      <w:r w:rsidRPr="00531789">
        <w:rPr>
          <w:rFonts w:ascii="Cambria" w:hAnsi="Cambria" w:cs="Arial"/>
        </w:rPr>
        <w:fldChar w:fldCharType="begin" w:fldLock="1"/>
      </w:r>
      <w:r>
        <w:rPr>
          <w:rFonts w:ascii="Cambria" w:hAnsi="Cambria" w:cs="Arial"/>
        </w:rPr>
        <w:instrText>ADDIN CSL_CITATION { "citationItems" : [ { "id" : "ITEM-1", "itemData" : { "author" : [ { "dropping-particle" : "", "family" : "Ellis", "given" : "R John", "non-dropping-particle" : "", "parse-names" : false, "suffix" : "" } ], "container-title" : "Trends in Biochemical Science", "id" : "ITEM-1", "issue" : "November", "issued" : { "date-parts" : [ [ "1979" ] ] }, "page" : "241-244", "title" : "The most abundant protein in the world", "type" : "article-journal", "volume" : "4" }, "uris" : [ "http://www.mendeley.com/documents/?uuid=d82e8061-93aa-498e-92da-a6422b59d71c" ] }, { "id" : "ITEM-2", "itemData" : { "DOI" : "10.1104/pp.85.2.355", "ISBN" : "00320889", "ISSN" : "0032-0889", "PMID" : "16665701", "abstract" : "The relationships between leaf nitrogen content per unit area (N(a)) and (a) the initial slope of the photosynthetic CO(2) response curve, (b) activity and amount of ribulose-1,5-bisphosphate carboxylase/oxygenase (Rubisco) and phosphoenolpyruvate carboxylase (PEPC), and (c) chlorophyll content were studied in the ecologically similar weeds Chenopodium album (C(3)) and Amaranthus retroflexus (C(4)). In both species, all parameters were linearly dependent upon leaf N(a). The dependence of the initial slope of the CO(2) response of photosynthesis on N(a) was four times greater in A. retroflexus than in C. album. At equivalent leaf N(a) contents, C. album had 1.5 to 2.6 times more CO(2) saturated Rubisco activity than A. retroflexus. At equal assimilation capacities, C. album had four times the Rubisco activity as A. retroflexus. In A. retroflexus, a one to one ratio between Rubisco activity and photosynthesis was observed, whereas in C. album, the CO(2) saturated Rubisco activity was three to four times the corresponding photosynthetic rate. The ratio of PEPC to Rubisco activity in A. retroflexus ranged from four at low N(a) to seven at high N(a). The fraction of organic N invested in carboxylation enzymes increased with increased N(a) in both species. The fraction of N invested in Rubisco ranged from 10 to 27% in C. album. In A. retroflexus, the fraction of N(a) invested in Rubisco ranged from 5 to 9% and the fraction invested in PEPC ranged from 2 to 5%.", "author" : [ { "dropping-particle" : "", "family" : "Sage", "given" : "R F", "non-dropping-particle" : "", "parse-names" : false, "suffix" : "" }, { "dropping-particle" : "", "family" : "Pearcy", "given" : "R W", "non-dropping-particle" : "", "parse-names" : false, "suffix" : "" }, { "dropping-particle" : "", "family" : "Seemann", "given" : "J R", "non-dropping-particle" : "", "parse-names" : false, "suffix" : "" } ], "container-title" : "Plant Physiology", "id" : "ITEM-2", "issue" : "2", "issued" : { "date-parts" : [ [ "1987" ] ] }, "page" : "355-359", "title" : "The Nitrogen Use Efficiency of C3 and C4 Plants : III. Leaf Nitrogen Effects on the Activity of Carboxylating Enzymes in Chenopodium album (L.) and Amaranthus retroflexus (L.).", "type" : "article-journal", "volume" : "85" }, "uris" : [ "http://www.mendeley.com/documents/?uuid=ef3b8ae5-7d84-4373-8370-aed08607ed6b" ] }, { "id" : "ITEM-3", "itemData" : { "author" : [ { "dropping-particle" : "", "family" : "Evans", "given" : "John R.", "non-dropping-particle" : "", "parse-names" : false, "suffix" : "" } ], "container-title" : "Oecologia", "id" : "ITEM-3", "issued" : { "date-parts" : [ [ "1989" ] ] }, "page" : "9-19", "title" : "Photosynthesis and nitrogen relationships in leaves of C3 plants", "type" : "article-journal", "volume" : "78" }, "uris" : [ "http://www.mendeley.com/documents/?uuid=3b77a248-3216-4193-b123-5b9ab1a77f25" ] } ], "mendeley" : { "formattedCitation" : "(Ellis, 1979; Sage &lt;i&gt;et al.&lt;/i&gt;, 1987; Evans, 1989)", "plainTextFormattedCitation" : "(Ellis, 1979; Sage et al., 1987; Evans, 1989)", "previouslyFormattedCitation" : "(Ellis, 1979; Sage &lt;i&gt;et al.&lt;/i&gt;, 1987; Evans, 1989)"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(Ellis, 1979; Sage </w:t>
      </w:r>
      <w:r w:rsidRPr="002C5907">
        <w:rPr>
          <w:rFonts w:ascii="Cambria" w:hAnsi="Cambria" w:cs="Arial"/>
          <w:i/>
          <w:noProof/>
        </w:rPr>
        <w:t>et al.</w:t>
      </w:r>
      <w:r w:rsidRPr="002C5907">
        <w:rPr>
          <w:rFonts w:ascii="Cambria" w:hAnsi="Cambria" w:cs="Arial"/>
          <w:noProof/>
        </w:rPr>
        <w:t>, 1987; Evans, 1989)</w:t>
      </w:r>
      <w:r w:rsidRPr="00531789">
        <w:rPr>
          <w:rFonts w:ascii="Cambria" w:hAnsi="Cambria" w:cs="Arial"/>
        </w:rPr>
        <w:fldChar w:fldCharType="end"/>
      </w:r>
      <w:r w:rsidRPr="00531789">
        <w:rPr>
          <w:rFonts w:ascii="Cambria" w:hAnsi="Cambria" w:cs="Arial"/>
        </w:rPr>
        <w:t xml:space="preserve">.  Through </w:t>
      </w:r>
      <w:proofErr w:type="spellStart"/>
      <w:r w:rsidRPr="00531789">
        <w:rPr>
          <w:rFonts w:ascii="Cambria" w:hAnsi="Cambria" w:cs="Arial"/>
        </w:rPr>
        <w:t>Rubisco</w:t>
      </w:r>
      <w:proofErr w:type="spellEnd"/>
      <w:r w:rsidRPr="00531789">
        <w:rPr>
          <w:rFonts w:ascii="Cambria" w:hAnsi="Cambria" w:cs="Arial"/>
        </w:rPr>
        <w:t xml:space="preserve">, carbon source activity is directly connected with leaf nitrogen sink activity, providing one way in which source and sink activity are intrinsically coordinated.  Nitrogen partitioning into photosynthetic proteins is a flexible trait, varying between species and as resource availability changes </w:t>
      </w:r>
      <w:r w:rsidRPr="00531789">
        <w:rPr>
          <w:rFonts w:ascii="Cambria" w:hAnsi="Cambria" w:cs="Arial"/>
        </w:rPr>
        <w:fldChar w:fldCharType="begin" w:fldLock="1"/>
      </w:r>
      <w:r w:rsidRPr="00531789">
        <w:rPr>
          <w:rFonts w:ascii="Cambria" w:hAnsi="Cambria" w:cs="Arial"/>
        </w:rPr>
        <w:instrText>ADDIN CSL_CITATION { "citationItems" : [ { "id" : "ITEM-1", "itemData" : { "author" : [ { "dropping-particle" : "", "family" : "Evans", "given" : "John R.", "non-dropping-particle" : "", "parse-names" : false, "suffix" : "" } ], "container-title" : "Oecologia", "id" : "ITEM-1", "issued" : { "date-parts" : [ [ "1989" ] ] }, "page" : "9-19", "title" : "Photosynthesis and nitrogen relationships in leaves of C3 plants", "type" : "article-journal", "volume" : "78" }, "uris" : [ "http://www.mendeley.com/documents/?uuid=3b77a248-3216-4193-b123-5b9ab1a77f25" ] } ], "mendeley" : { "formattedCitation" : "(Evans, 1989)", "plainTextFormattedCitation" : "(Evans, 1989)", "previouslyFormattedCitation" : "(Evans, 1989)"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(Evans, 1989)</w:t>
      </w:r>
      <w:r w:rsidRPr="00531789">
        <w:rPr>
          <w:rFonts w:ascii="Cambria" w:hAnsi="Cambria" w:cs="Arial"/>
        </w:rPr>
        <w:fldChar w:fldCharType="end"/>
      </w:r>
      <w:r w:rsidRPr="00531789">
        <w:rPr>
          <w:rFonts w:ascii="Cambria" w:hAnsi="Cambria" w:cs="Arial"/>
        </w:rPr>
        <w:t xml:space="preserve">. </w:t>
      </w:r>
    </w:p>
    <w:p w14:paraId="4185796C" w14:textId="77777777" w:rsidR="00DF4522" w:rsidRPr="00531789" w:rsidRDefault="00DF4522" w:rsidP="00DF4522">
      <w:pPr>
        <w:spacing w:line="360" w:lineRule="auto"/>
        <w:jc w:val="both"/>
        <w:rPr>
          <w:rFonts w:ascii="Cambria" w:hAnsi="Cambria" w:cs="Arial"/>
        </w:rPr>
      </w:pPr>
    </w:p>
    <w:p w14:paraId="388FF30F"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Nitrogen may be stored as nitrate in the vacuole, or as proteins </w:t>
      </w:r>
      <w:r w:rsidRPr="00531789">
        <w:rPr>
          <w:rFonts w:ascii="Cambria" w:hAnsi="Cambria" w:cs="Arial"/>
        </w:rPr>
        <w:fldChar w:fldCharType="begin" w:fldLock="1"/>
      </w:r>
      <w:r w:rsidRPr="00531789">
        <w:rPr>
          <w:rFonts w:ascii="Cambria" w:hAnsi="Cambria" w:cs="Arial"/>
        </w:rPr>
        <w:instrText>ADDIN CSL_CITATION { "citationItems" : [ { "id" : "ITEM-1", "itemData" : { "author" : [ { "dropping-particle" : "", "family" : "Millard", "given" : "P.", "non-dropping-particle" : "", "parse-names" : false, "suffix" : "" } ], "container-title" : "Plant, Cell &amp; Environment", "id" : "ITEM-1", "issued" : { "date-parts" : [ [ "1988" ] ] }, "page" : "1-8", "title" : "The accumulation and storage of nitrogen by herbaceous plants", "type" : "article-journal", "volume" : "11" }, "uris" : [ "http://www.mendeley.com/documents/?uuid=81023930-70fc-4fdb-9327-066de39c948d" ] } ], "mendeley" : { "formattedCitation" : "(Millard, 1988)", "plainTextFormattedCitation" : "(Millard, 1988)", "previouslyFormattedCitation" : "(Millard, 1988)"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(Millard, 1988)</w:t>
      </w:r>
      <w:r w:rsidRPr="00531789">
        <w:rPr>
          <w:rFonts w:ascii="Cambria" w:hAnsi="Cambria" w:cs="Arial"/>
        </w:rPr>
        <w:fldChar w:fldCharType="end"/>
      </w:r>
      <w:r w:rsidRPr="00531789">
        <w:rPr>
          <w:rFonts w:ascii="Cambria" w:hAnsi="Cambria" w:cs="Arial"/>
        </w:rPr>
        <w:t xml:space="preserve">.  Vegetative storage proteins (VSPs) may comprise up to 50% of soluble protein in vegetative tissues </w:t>
      </w:r>
      <w:r w:rsidRPr="00531789">
        <w:rPr>
          <w:rFonts w:ascii="Cambria" w:hAnsi="Cambria" w:cs="Arial"/>
        </w:rPr>
        <w:fldChar w:fldCharType="begin" w:fldLock="1"/>
      </w:r>
      <w:r>
        <w:rPr>
          <w:rFonts w:ascii="Cambria" w:hAnsi="Cambria" w:cs="Arial"/>
        </w:rPr>
        <w:instrText>ADDIN CSL_CITATION { "citationItems" : [ { "id" : "ITEM-1", "itemData" : { "DOI" : "10.1104/pp.105.066837.pods", "author" : [ { "dropping-particle" : "", "family" : "Liu", "given" : "Yilin", "non-dropping-particle" : "", "parse-names" : false, "suffix" : "" }, { "dropping-particle" : "", "family" : "Ahn", "given" : "Ji-Eun", "non-dropping-particle" : "", "parse-names" : false, "suffix" : "" }, { "dropping-particle" : "", "family" : "Datta", "given" : "Sumana", "non-dropping-particle" : "", "parse-names" : false, "suffix" : "" }, { "dropping-particle" : "", "family" : "Salzman", "given" : "Ron A", "non-dropping-particle" : "", "parse-names" : false, "suffix" : "" }, { "dropping-particle" : "", "family" : "Moon", "given" : "Jaewoong", "non-dropping-particle" : "", "parse-names" : false, "suffix" : "" }, { "dropping-particle" : "", "family" : "Huyghues-Despointes", "given" : "Beatrice", "non-dropping-particle" : "", "parse-names" : false, "suffix" : "" }, { "dropping-particle" : "", "family" : "Pittendrigh", "given" : "Barry", "non-dropping-particle" : "", "parse-names" : false, "suffix" : "" }, { "dropping-particle" : "", "family" : "Murdock", "given" : "Larry L", "non-dropping-particle" : "", "parse-names" : false, "suffix" : "" }, { "dropping-particle" : "", "family" : "Koiwa", "given" : "Hisashi", "non-dropping-particle" : "", "parse-names" : false, "suffix" : "" }, { "dropping-particle" : "", "family" : "Zhu-Salzman", "given" : "Keyan", "non-dropping-particle" : "", "parse-names" : false, "suffix" : "" } ], "container-title" : "Plant Physiology", "id" : "ITEM-1", "issue" : "November", "issued" : { "date-parts" : [ [ "2005" ] ] }, "page" : "1545-1556", "title" : "Arabidopsis vegetative storage protein is an anti-insect acid phosphatase", "type" : "article-journal", "volume" : "139" }, "uris" : [ "http://www.mendeley.com/documents/?uuid=1b1cdcc5-df7f-44af-95b6-3cbb15d84125" ] } ], "mendeley" : { "formattedCitation" : "(Liu &lt;i&gt;et al.&lt;/i&gt;, 2005)", "plainTextFormattedCitation" : "(Liu et al., 2005)", "previouslyFormattedCitation" : "(Liu &lt;i&gt;et al.&lt;/i&gt;, 2005)"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(Liu </w:t>
      </w:r>
      <w:r w:rsidRPr="002C5907">
        <w:rPr>
          <w:rFonts w:ascii="Cambria" w:hAnsi="Cambria" w:cs="Arial"/>
          <w:i/>
          <w:noProof/>
        </w:rPr>
        <w:t>et al.</w:t>
      </w:r>
      <w:r w:rsidRPr="002C5907">
        <w:rPr>
          <w:rFonts w:ascii="Cambria" w:hAnsi="Cambria" w:cs="Arial"/>
          <w:noProof/>
        </w:rPr>
        <w:t>, 2005)</w:t>
      </w:r>
      <w:r w:rsidRPr="00531789">
        <w:rPr>
          <w:rFonts w:ascii="Cambria" w:hAnsi="Cambria" w:cs="Arial"/>
        </w:rPr>
        <w:fldChar w:fldCharType="end"/>
      </w:r>
      <w:r w:rsidRPr="00531789">
        <w:rPr>
          <w:rFonts w:ascii="Cambria" w:hAnsi="Cambria" w:cs="Arial"/>
        </w:rPr>
        <w:t xml:space="preserve">. Protein storage occurs primarily in seeds, although some legumes, tuber-formers and deciduous trees species have additional storage proteins </w:t>
      </w:r>
      <w:r w:rsidRPr="00531789">
        <w:rPr>
          <w:rFonts w:ascii="Cambria" w:hAnsi="Cambria" w:cs="Arial"/>
        </w:rPr>
        <w:fldChar w:fldCharType="begin" w:fldLock="1"/>
      </w:r>
      <w:r w:rsidRPr="00531789">
        <w:rPr>
          <w:rFonts w:ascii="Cambria" w:hAnsi="Cambria" w:cs="Arial"/>
        </w:rPr>
        <w:instrText>ADDIN CSL_CITATION { "citationItems" : [ { "id" : "ITEM-1", "itemData" : { "ISSN" : "1464-7931", "PMID" : "7626727", "author" : [ { "dropping-particle" : "", "family" : "Shewry", "given" : "P R", "non-dropping-particle" : "", "parse-names" : false, "suffix" : "" } ], "container-title" : "Biological Reviews of the Cambridge Philosophical Society", "id" : "ITEM-1", "issue" : "3", "issued" : { "date-parts" : [ [ "1995", "8" ] ] }, "page" : "375-426", "title" : "Plant storage proteins.", "type" : "article-journal", "volume" : "70" }, "uris" : [ "http://www.mendeley.com/documents/?uuid=9f945f5e-1beb-4385-9023-9f188a7e94b9" ] } ], "mendeley" : { "formattedCitation" : "(Shewry, 1995)", "plainTextFormattedCitation" : "(Shewry, 1995)", "previouslyFormattedCitation" : "(Shewry, 1995)"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(Shewry, 1995)</w:t>
      </w:r>
      <w:r w:rsidRPr="00531789">
        <w:rPr>
          <w:rFonts w:ascii="Cambria" w:hAnsi="Cambria" w:cs="Arial"/>
        </w:rPr>
        <w:fldChar w:fldCharType="end"/>
      </w:r>
      <w:r w:rsidRPr="00531789">
        <w:rPr>
          <w:rFonts w:ascii="Cambria" w:hAnsi="Cambria" w:cs="Arial"/>
        </w:rPr>
        <w:t xml:space="preserve">.  VSPs have been well-studied in soybean, and the nitrogen sink-to-source transition occurring in leaves during ontogeny is correlated with a decrease in VSP gene expression in this species </w:t>
      </w:r>
      <w:r w:rsidRPr="00531789">
        <w:rPr>
          <w:rFonts w:ascii="Cambria" w:hAnsi="Cambria" w:cs="Arial"/>
        </w:rPr>
        <w:fldChar w:fldCharType="begin" w:fldLock="1"/>
      </w:r>
      <w:r w:rsidRPr="00531789">
        <w:rPr>
          <w:rFonts w:ascii="Cambria" w:hAnsi="Cambria" w:cs="Arial"/>
        </w:rPr>
        <w:instrText>ADDIN CSL_CITATION { "citationItems" : [ { "id" : "ITEM-1", "itemData" : { "DOI" : "10.1105/tpc.2.1.1", "ISSN" : "1532-298X", "PMID" : "12354941", "author" : [ { "dropping-particle" : "", "family" : "Staswick", "given" : "P. E.", "non-dropping-particle" : "", "parse-names" : false, "suffix" : "" } ], "container-title" : "The Plant Cell", "id" : "ITEM-1", "issue" : "1", "issued" : { "date-parts" : [ [ "1990", "1" ] ] }, "page" : "1-6", "title" : "Novel Regulation of Vegetative Storage Protein Genes.", "type" : "article-journal", "volume" : "2" }, "uris" : [ "http://www.mendeley.com/documents/?uuid=c4437ac2-4226-43c1-b9f9-26c2824e189b" ] } ], "mendeley" : { "formattedCitation" : "(Staswick, 1990)", "manualFormatting" : "(reviewed by Staswick, 1990)", "plainTextFormattedCitation" : "(Staswick, 1990)", "previouslyFormattedCitation" : "(Staswick, 1990)"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(reviewed by Staswick, 1990)</w:t>
      </w:r>
      <w:r w:rsidRPr="00531789">
        <w:rPr>
          <w:rFonts w:ascii="Cambria" w:hAnsi="Cambria" w:cs="Arial"/>
        </w:rPr>
        <w:fldChar w:fldCharType="end"/>
      </w:r>
      <w:r w:rsidRPr="00531789">
        <w:rPr>
          <w:rFonts w:ascii="Cambria" w:hAnsi="Cambria" w:cs="Arial"/>
        </w:rPr>
        <w:t xml:space="preserve">. In both potato and soybean, removal of nitrogen sink tissues </w:t>
      </w:r>
      <w:proofErr w:type="spellStart"/>
      <w:r w:rsidRPr="00531789">
        <w:rPr>
          <w:rFonts w:ascii="Cambria" w:hAnsi="Cambria" w:cs="Arial"/>
        </w:rPr>
        <w:t>upregulates</w:t>
      </w:r>
      <w:proofErr w:type="spellEnd"/>
      <w:r w:rsidRPr="00531789">
        <w:rPr>
          <w:rFonts w:ascii="Cambria" w:hAnsi="Cambria" w:cs="Arial"/>
        </w:rPr>
        <w:t xml:space="preserve"> nitrogen storage in other parts of the plant, indicating a buffering role for VSPs in maintaining </w:t>
      </w:r>
      <w:proofErr w:type="spellStart"/>
      <w:r w:rsidRPr="00531789">
        <w:rPr>
          <w:rFonts w:ascii="Cambria" w:hAnsi="Cambria" w:cs="Arial"/>
        </w:rPr>
        <w:t>source:sink</w:t>
      </w:r>
      <w:proofErr w:type="spellEnd"/>
      <w:r w:rsidRPr="00531789">
        <w:rPr>
          <w:rFonts w:ascii="Cambria" w:hAnsi="Cambria" w:cs="Arial"/>
        </w:rPr>
        <w:t xml:space="preserve"> balance </w:t>
      </w:r>
      <w:r w:rsidRPr="00531789">
        <w:rPr>
          <w:rFonts w:ascii="Cambria" w:hAnsi="Cambria" w:cs="Arial"/>
        </w:rPr>
        <w:fldChar w:fldCharType="begin" w:fldLock="1"/>
      </w:r>
      <w:r w:rsidRPr="00531789">
        <w:rPr>
          <w:rFonts w:ascii="Cambria" w:hAnsi="Cambria" w:cs="Arial"/>
        </w:rPr>
        <w:instrText>ADDIN CSL_CITATION { "citationItems" : [ { "id" : "ITEM-1", "itemData" : { "DOI" : "10.1105/tpc.2.1.1", "ISSN" : "1532-298X", "PMID" : "12354941", "author" : [ { "dropping-particle" : "", "family" : "Staswick", "given" : "P. E.", "non-dropping-particle" : "", "parse-names" : false, "suffix" : "" } ], "container-title" : "The Plant Cell", "id" : "ITEM-1", "issue" : "1", "issued" : { "date-parts" : [ [ "1990", "1" ] ] }, "page" : "1-6", "title" : "Novel Regulation of Vegetative Storage Protein Genes.", "type" : "article-journal", "volume" : "2" }, "uris" : [ "http://www.mendeley.com/documents/?uuid=c4437ac2-4226-43c1-b9f9-26c2824e189b" ] } ], "mendeley" : { "formattedCitation" : "(Staswick, 1990)", "plainTextFormattedCitation" : "(Staswick, 1990)", "previouslyFormattedCitation" : "(Staswick, 1990)"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(Staswick, 1990)</w:t>
      </w:r>
      <w:r w:rsidRPr="00531789">
        <w:rPr>
          <w:rFonts w:ascii="Cambria" w:hAnsi="Cambria" w:cs="Arial"/>
        </w:rPr>
        <w:fldChar w:fldCharType="end"/>
      </w:r>
      <w:r w:rsidRPr="00531789">
        <w:rPr>
          <w:rFonts w:ascii="Cambria" w:hAnsi="Cambria" w:cs="Arial"/>
        </w:rPr>
        <w:t xml:space="preserve">.  In contrast, grasses such as wheat (annual) and rice (usually grown as an annual) are less reliant on protein stores beyond those in the seed, yet can still accumulate nitrogen when conditions are favourable.  For example, excess nitrogen in wheat accumulates in the lamina of upper leaves or the true stem of the peduncle, and just as stem carbohydrate reserves are important for grain-filling in grasses, this stored nitrogen is thought to provide a nitrogen buffer for use during grain-filling </w:t>
      </w:r>
      <w:r w:rsidRPr="00531789">
        <w:rPr>
          <w:rFonts w:ascii="Cambria" w:hAnsi="Cambria" w:cs="Arial"/>
        </w:rPr>
        <w:fldChar w:fldCharType="begin" w:fldLock="1"/>
      </w:r>
      <w:r>
        <w:rPr>
          <w:rFonts w:ascii="Cambria" w:hAnsi="Cambria" w:cs="Arial"/>
        </w:rPr>
        <w:instrText>ADDIN CSL_CITATION { "citationItems" : [ { "id" : "ITEM-1", "itemData" : { "DOI" : "10.1016/j.fcr.2011.09.021", "ISSN" : "03784290", "author" : [ { "dropping-particle" : "", "family" : "Pask", "given" : "A.J.D.", "non-dropping-particle" : "", "parse-names" : false, "suffix" : "" }, { "dropping-particle" : "", "family" : "Sylvester-Bradley", "given" : "R.", "non-dropping-particle" : "", "parse-names" : false, "suffix" : "" }, { "dropping-particle" : "", "family" : "Jamieson", "given" : "P.D.", "non-dropping-particle" : "", "parse-names" : false, "suffix" : "" }, { "dropping-particle" : "", "family" : "Foulkes", "given" : "M.J.", "non-dropping-particle" : "", "parse-names" : false, "suffix" : "" } ], "container-title" : "Field Crops Research", "id" : "ITEM-1", "issued" : { "date-parts" : [ [ "2012", "2" ] ] }, "page" : "104-118", "publisher" : "Elsevier B.V.", "title" : "Quantifying how winter wheat crops accumulate and use nitrogen reserves during growth", "type" : "article-journal", "volume" : "126" }, "uris" : [ "http://www.mendeley.com/documents/?uuid=276eb3e8-4d8d-451e-afff-3d119fcfd861" ] } ], "mendeley" : { "formattedCitation" : "(Pask &lt;i&gt;et al.&lt;/i&gt;, 2012)", "plainTextFormattedCitation" : "(Pask et al., 2012)", "previouslyFormattedCitation" : "(Pask &lt;i&gt;et al.&lt;/i&gt;, 2012)"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(Pask </w:t>
      </w:r>
      <w:r w:rsidRPr="002C5907">
        <w:rPr>
          <w:rFonts w:ascii="Cambria" w:hAnsi="Cambria" w:cs="Arial"/>
          <w:i/>
          <w:noProof/>
        </w:rPr>
        <w:t>et al.</w:t>
      </w:r>
      <w:r w:rsidRPr="002C5907">
        <w:rPr>
          <w:rFonts w:ascii="Cambria" w:hAnsi="Cambria" w:cs="Arial"/>
          <w:noProof/>
        </w:rPr>
        <w:t>, 2012)</w:t>
      </w:r>
      <w:r w:rsidRPr="00531789">
        <w:rPr>
          <w:rFonts w:ascii="Cambria" w:hAnsi="Cambria" w:cs="Arial"/>
        </w:rPr>
        <w:fldChar w:fldCharType="end"/>
      </w:r>
      <w:r w:rsidRPr="00531789">
        <w:rPr>
          <w:rFonts w:ascii="Cambria" w:hAnsi="Cambria" w:cs="Arial"/>
        </w:rPr>
        <w:t>.  Non-leaf nitrogen stores, such as the culm in grasses, may also play a role in plant recovery after grazing.</w:t>
      </w:r>
    </w:p>
    <w:p w14:paraId="056C6397" w14:textId="77777777" w:rsidR="00DF4522" w:rsidRPr="00531789" w:rsidRDefault="00DF4522" w:rsidP="00DF4522">
      <w:pPr>
        <w:spacing w:line="360" w:lineRule="auto"/>
        <w:jc w:val="both"/>
        <w:rPr>
          <w:rFonts w:ascii="Cambria" w:hAnsi="Cambria" w:cs="Arial"/>
        </w:rPr>
      </w:pPr>
    </w:p>
    <w:p w14:paraId="2A3542DE" w14:textId="77777777" w:rsidR="00DF4522" w:rsidRPr="00531789" w:rsidRDefault="00DF4522" w:rsidP="00DF4522">
      <w:pPr>
        <w:pStyle w:val="Heading2"/>
        <w:rPr>
          <w:rFonts w:ascii="Cambria" w:hAnsi="Cambria"/>
          <w:color w:val="auto"/>
        </w:rPr>
      </w:pPr>
      <w:bookmarkStart w:id="35" w:name="_Toc322267579"/>
      <w:bookmarkStart w:id="36" w:name="_Toc322267701"/>
      <w:bookmarkStart w:id="37" w:name="_Toc322267865"/>
      <w:bookmarkStart w:id="38" w:name="_Toc331253008"/>
      <w:r w:rsidRPr="00531789">
        <w:rPr>
          <w:rFonts w:ascii="Cambria" w:hAnsi="Cambria"/>
          <w:color w:val="auto"/>
        </w:rPr>
        <w:t>C</w:t>
      </w:r>
      <w:bookmarkEnd w:id="35"/>
      <w:bookmarkEnd w:id="36"/>
      <w:bookmarkEnd w:id="37"/>
      <w:r>
        <w:rPr>
          <w:rFonts w:ascii="Cambria" w:hAnsi="Cambria"/>
          <w:color w:val="auto"/>
        </w:rPr>
        <w:t>0-LIMITATION AND OPTIMIZATION</w:t>
      </w:r>
      <w:bookmarkEnd w:id="38"/>
    </w:p>
    <w:p w14:paraId="5852FC2A" w14:textId="77777777" w:rsidR="00DF4522" w:rsidRPr="00531789" w:rsidRDefault="00DF4522" w:rsidP="00DF4522">
      <w:pPr>
        <w:widowControl w:val="0"/>
        <w:autoSpaceDE w:val="0"/>
        <w:autoSpaceDN w:val="0"/>
        <w:adjustRightInd w:val="0"/>
        <w:spacing w:line="360" w:lineRule="auto"/>
        <w:rPr>
          <w:rFonts w:ascii="Cambria" w:hAnsi="Cambria" w:cs="Verdana"/>
          <w:lang w:val="en-US"/>
        </w:rPr>
      </w:pPr>
    </w:p>
    <w:p w14:paraId="02A0B5F9"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A plant that has optimised its </w:t>
      </w:r>
      <w:proofErr w:type="spellStart"/>
      <w:r w:rsidRPr="00531789">
        <w:rPr>
          <w:rFonts w:ascii="Cambria" w:hAnsi="Cambria" w:cs="Arial"/>
        </w:rPr>
        <w:t>source:sink</w:t>
      </w:r>
      <w:proofErr w:type="spellEnd"/>
      <w:r w:rsidRPr="00531789">
        <w:rPr>
          <w:rFonts w:ascii="Cambria" w:hAnsi="Cambria" w:cs="Arial"/>
        </w:rPr>
        <w:t xml:space="preserve"> ratio can grow using balanced allocation of source and sink sizes and activities (Equations 1-2), facilitated by molecular feedbacks.  However, at any point in time, most plants are not fully optimised, meaning that the creation of either more source or sink tissue could increase growth: in these cases, the potential source or sink strength (Equations 1-2) has not been realised </w:t>
      </w:r>
      <w:r w:rsidRPr="00531789">
        <w:rPr>
          <w:rFonts w:ascii="Cambria" w:hAnsi="Cambria" w:cs="Arial"/>
        </w:rPr>
        <w:fldChar w:fldCharType="begin" w:fldLock="1"/>
      </w:r>
      <w:r w:rsidRPr="00531789">
        <w:rPr>
          <w:rFonts w:ascii="Cambria" w:hAnsi="Cambria" w:cs="Arial"/>
        </w:rPr>
        <w:instrText>ADDIN CSL_CITATION { "citationItems" : [ { "id" : "ITEM-1", "itemData" : { "author" : [ { "dropping-particle" : "", "family" : "Patrick", "given" : "J W", "non-dropping-particle" : "", "parse-names" : false, "suffix" : "" } ], "container-title" : "Plant, Cell &amp; Environment", "id" : "ITEM-1", "issue" : "9", "issued" : { "date-parts" : [ [ "1993" ] ] }, "page" : "1019-1020", "title" : "Sink strength: whole plant considerations", "type" : "article-journal", "volume" : "16" }, "uris" : [ "http://www.mendeley.com/documents/?uuid=25318c68-7d87-46b2-abd4-a1810275cbbd" ] } ], "mendeley" : { "formattedCitation" : "(Patrick, 1993)", "plainTextFormattedCitation" : "(Patrick, 1993)", "previouslyFormattedCitation" : "(Patrick, 1993)"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(Patrick, 1993)</w:t>
      </w:r>
      <w:r w:rsidRPr="00531789">
        <w:rPr>
          <w:rFonts w:ascii="Cambria" w:hAnsi="Cambria" w:cs="Arial"/>
        </w:rPr>
        <w:fldChar w:fldCharType="end"/>
      </w:r>
      <w:r w:rsidRPr="00531789">
        <w:rPr>
          <w:rFonts w:ascii="Cambria" w:hAnsi="Cambria" w:cs="Arial"/>
        </w:rPr>
        <w:t xml:space="preserve">.  The extent to which these potentials are met may be investigated using environmental or genetic manipulations, and are discussed later in this review.  </w:t>
      </w:r>
    </w:p>
    <w:p w14:paraId="6A71B558" w14:textId="77777777" w:rsidR="00DF4522" w:rsidRPr="00531789" w:rsidRDefault="00DF4522" w:rsidP="00DF4522">
      <w:pPr>
        <w:spacing w:line="360" w:lineRule="auto"/>
        <w:jc w:val="both"/>
        <w:rPr>
          <w:rFonts w:ascii="Cambria" w:hAnsi="Cambria" w:cs="Arial"/>
        </w:rPr>
      </w:pPr>
    </w:p>
    <w:p w14:paraId="2746F166"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Resource uptake changes over time due to fluctuations in the external environment, such that the total supply of a particular resource over the lifetime of the plant cannot be predicted in advance.  The plant reacts to these fluctuations in resource availability by modifying its investment in resource acquisition and consumption </w:t>
      </w:r>
      <w:r w:rsidRPr="00531789">
        <w:rPr>
          <w:rFonts w:ascii="Cambria" w:hAnsi="Cambria" w:cs="Arial"/>
        </w:rPr>
        <w:fldChar w:fldCharType="begin" w:fldLock="1"/>
      </w:r>
      <w:r>
        <w:rPr>
          <w:rFonts w:ascii="Cambria" w:hAnsi="Cambria" w:cs="Arial"/>
        </w:rPr>
        <w:instrText>ADDIN CSL_CITATION { "citationItems" : [ { "id" : "ITEM-1", "itemData" : { "DOI" : "10.1111/nph.13352", "author" : [ { "dropping-particle" : "", "family" : "Freschet", "given" : "Gregoire T", "non-dropping-particle" : "", "parse-names" : false, "suffix" : "" }, { "dropping-particle" : "", "family" : "Sward", "given" : "Elferra M", "non-dropping-particle" : "", "parse-names" : false, "suffix" : "" }, { "dropping-particle" : "", "family" : "Cornelissen", "given" : "Johannes H C", "non-dropping-particle" : "", "parse-names" : false, "suffix" : "" } ], "container-title" : "New Phytologist", "id" : "ITEM-1", "issued" : { "date-parts" : [ [ "2015" ] ] }, "page" : "1247-1260", "title" : "Integrated plant phenotypic responses to contrasting above- and below-ground resources: key roles of specific leaf area and root mass fraction", "type" : "article-journal", "volume" : "206" }, "uris" : [ "http://www.mendeley.com/documents/?uuid=e9b662d7-8dea-41c9-80a3-0c1b79e985d0" ] } ], "mendeley" : { "formattedCitation" : "(Freschet &lt;i&gt;et al.&lt;/i&gt;, 2015)", "plainTextFormattedCitation" : "(Freschet et al., 2015)", "previouslyFormattedCitation" : "(Freschet &lt;i&gt;et al.&lt;/i&gt;, 2015)"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(Freschet </w:t>
      </w:r>
      <w:r w:rsidRPr="002C5907">
        <w:rPr>
          <w:rFonts w:ascii="Cambria" w:hAnsi="Cambria" w:cs="Arial"/>
          <w:i/>
          <w:noProof/>
        </w:rPr>
        <w:t>et al.</w:t>
      </w:r>
      <w:r w:rsidRPr="002C5907">
        <w:rPr>
          <w:rFonts w:ascii="Cambria" w:hAnsi="Cambria" w:cs="Arial"/>
          <w:noProof/>
        </w:rPr>
        <w:t>, 2015)</w:t>
      </w:r>
      <w:r w:rsidRPr="00531789">
        <w:rPr>
          <w:rFonts w:ascii="Cambria" w:hAnsi="Cambria" w:cs="Arial"/>
        </w:rPr>
        <w:fldChar w:fldCharType="end"/>
      </w:r>
      <w:r w:rsidRPr="00531789">
        <w:rPr>
          <w:rFonts w:ascii="Cambria" w:hAnsi="Cambria" w:cs="Arial"/>
        </w:rPr>
        <w:t xml:space="preserve">.  </w:t>
      </w:r>
      <w:r w:rsidRPr="00531789">
        <w:rPr>
          <w:rFonts w:ascii="Cambria" w:hAnsi="Cambria"/>
        </w:rPr>
        <w:t xml:space="preserve">At the most general level, a suitable balance between leaf and root tissues is critical for balancing the acquisition of carbon and mineral nutrients.  </w:t>
      </w:r>
      <w:r w:rsidRPr="00531789">
        <w:rPr>
          <w:rFonts w:ascii="Cambria" w:hAnsi="Cambria" w:cs="Arial"/>
        </w:rPr>
        <w:t xml:space="preserve">Allocation to shoot and root is adjusted depending on available resources so that, for example, the allocation of resources to root growth is increased in low nitrogen soil conditions.  Co-limitation by carbon and nitrogen has been demonstrated experimentally and optimisation of these resources has been considered in models </w:t>
      </w:r>
      <w:r w:rsidRPr="00531789">
        <w:rPr>
          <w:rFonts w:ascii="Cambria" w:hAnsi="Cambria" w:cs="Arial"/>
          <w:b/>
        </w:rPr>
        <w:fldChar w:fldCharType="begin" w:fldLock="1"/>
      </w:r>
      <w:r>
        <w:rPr>
          <w:rFonts w:ascii="Cambria" w:hAnsi="Cambria" w:cs="Arial"/>
          <w:b/>
        </w:rPr>
        <w:instrText>ADDIN CSL_CITATION { "citationItems" : [ { "id" : "ITEM-1", "itemData" : { "DOI" : "10.1007/BF00014594", "ISBN" : "0166-8595", "ISSN" : "01668595", "PMID" : "1340", "abstract" : "A range of studies of C-3 plants have shown that there is a change in both the carbon flux and the pattern of nitrogen allocation when plants are grown under enhanced CO2. This paper examines evidence that allocation of nitrogen both to and within the photosynthetic system is optimised with respect to the carbon flux. A model is developed which predicts the optimal relative allocation of nitrogen to key enzymes of the photosynthetic system as a function of CO2 concentration. It is shown that evidence from flux control analysis is broadly consistent with this model, although at high nitrogen and under certain conditions at low nitrogen experimental data are not consistent with the model. Acclimation to enhanced CO2 is also assessed in terms of resource allocation between photosynthate sources and sinks. A means of assessing the optimisation of this source-sink allocation is proposed, and several studies are examined within this framework. It is concluded that C-3 plants probably possess the genetic feedback mechanisms required to efficiently `smooth out' any imbalance within the photosynthetic system caused by a rise in atmospheric CO2.", "author" : [ { "dropping-particle" : "", "family" : "Woodrow", "given" : "Ian E.", "non-dropping-particle" : "", "parse-names" : false, "suffix" : "" } ], "container-title" : "Photosynthesis Research", "id" : "ITEM-1", "issued" : { "date-parts" : [ [ "1994" ] ] }, "page" : "401-412", "title" : "Optimal acclimation of the C3 photosynthetic system under enhanced CO2", "type" : "article-journal", "volume" : "39" }, "uris" : [ "http://www.mendeley.com/documents/?uuid=a38fedd6-657e-4348-9b3d-0796e7153ddb" ] }, { "id" : "ITEM-2", "itemData" : { "ISBN" : "1522-0613", "ISSN" : "1522-0613", "abstract" : "The growth and reproductive schedule of terrestrial plants can be usefully studied as the dynamic optimal allocation of material between different organs. This idea, pioneered by Dan Cohen, has been formalized as an optimal control problem and analysed using Pontryagin's maximum principle or dynamic programming. Here, I review several examples of dynamic resource allocation models. First, the seasonal timing of reproduction of annuals is discussed. This can be extended to plants with multiple vegetative organs and the optimal shoot-root balance is assessed. Secondly, the growth schedule over multiple seasons is examined, and the reproductive effort, the leaf phenology of deciduous perennials, and the conditions under which perenniality is more advantageous than annuality are considered. With some modifications, the same model can handle intermittent reproduction and monocarpic perennials (one large reproduction after many years). Thirdly, growth in an unpredictably fluctuating environment is analysed for the case in which a sudden disturbance (herbivory or fire) removes the photosynthetic system altogether, followed by recovery using stored material, and for the case in which environmental productivity fluctuates in a Markovian process. Finally, the optimal level of chemical defence against herbivory is formalized and used to explain the intensity of alkaloid defence decreasing with leaf age. These examples illustrate the usefulness of dynamic resource allocation models in understanding plant life-history adaptation.", "author" : [ { "dropping-particle" : "", "family" : "Iwasa", "given" : "Y", "non-dropping-particle" : "", "parse-names" : false, "suffix" : "" } ], "container-title" : "Evolutionary Ecology Research", "id" : "ITEM-2", "issued" : { "date-parts" : [ [ "2000" ] ] }, "page" : "437-455", "title" : "Dynamic optimization of plant growth", "type" : "article-journal", "volume" : "2" }, "uris" : [ "http://www.mendeley.com/documents/?uuid=5b9b1e0b-f3ac-4f38-81b3-8e65dad65a65" ] }, { "id" : "ITEM-3", "itemData" : { "author" : [ { "dropping-particle" : "", "family" : "Guilbaud", "given" : "Camille S E", "non-dropping-particle" : "", "parse-names" : false, "suffix" : "" }, { "dropping-particle" : "", "family" : "Dalchau", "given" : "Neil", "non-dropping-particle" : "", "parse-names" : false, "suffix" : "" }, { "dropping-particle" : "", "family" : "Purves", "given" : "Drew W", "non-dropping-particle" : "", "parse-names" : false, "suffix" : "" }, { "dropping-particle" : "", "family" : "Turnbull", "given" : "Lindsay A", "non-dropping-particle" : "", "parse-names" : false, "suffix" : "" } ], "container-title" : "New Phytologist", "id" : "ITEM-3", "issued" : { "date-parts" : [ [ "2015" ] ] }, "page" : "918-927", "title" : "Is \u2018peak N\u2019 key to understanding the timing of flowering in annual plants ?", "type" : "article-journal", "volume" : "205" }, "uris" : [ "http://www.mendeley.com/documents/?uuid=4f8e4a77-88a8-4dce-ba2f-f14ef82ac33f" ] } ], "mendeley" : { "formattedCitation" : "(Woodrow, 1994; Iwasa, 2000; Guilbaud &lt;i&gt;et al.&lt;/i&gt;, 2015)", "plainTextFormattedCitation" : "(Woodrow, 1994; Iwasa, 2000; Guilbaud et al., 2015)", "previouslyFormattedCitation" : "(Woodrow, 1994; Iwasa, 2000; Guilbaud &lt;i&gt;et al.&lt;/i&gt;, 2015)" }, "properties" : { "noteIndex" : 0 }, "schema" : "https://github.com/citation-style-language/schema/raw/master/csl-citation.json" }</w:instrText>
      </w:r>
      <w:r w:rsidRPr="00531789">
        <w:rPr>
          <w:rFonts w:ascii="Cambria" w:hAnsi="Cambria" w:cs="Arial"/>
          <w:b/>
        </w:rPr>
        <w:fldChar w:fldCharType="separate"/>
      </w:r>
      <w:r w:rsidRPr="002C5907">
        <w:rPr>
          <w:rFonts w:ascii="Cambria" w:hAnsi="Cambria" w:cs="Arial"/>
          <w:noProof/>
        </w:rPr>
        <w:t xml:space="preserve">(Woodrow, 1994; Iwasa, 2000; Guilbaud </w:t>
      </w:r>
      <w:r w:rsidRPr="002C5907">
        <w:rPr>
          <w:rFonts w:ascii="Cambria" w:hAnsi="Cambria" w:cs="Arial"/>
          <w:i/>
          <w:noProof/>
        </w:rPr>
        <w:t>et al.</w:t>
      </w:r>
      <w:r w:rsidRPr="002C5907">
        <w:rPr>
          <w:rFonts w:ascii="Cambria" w:hAnsi="Cambria" w:cs="Arial"/>
          <w:noProof/>
        </w:rPr>
        <w:t>, 2015)</w:t>
      </w:r>
      <w:r w:rsidRPr="00531789">
        <w:rPr>
          <w:rFonts w:ascii="Cambria" w:hAnsi="Cambria" w:cs="Arial"/>
          <w:b/>
        </w:rPr>
        <w:fldChar w:fldCharType="end"/>
      </w:r>
      <w:r w:rsidRPr="00531789">
        <w:rPr>
          <w:rFonts w:ascii="Cambria" w:hAnsi="Cambria" w:cs="Arial"/>
        </w:rPr>
        <w:t xml:space="preserve"> yet due to environmental and developmental constraints plants do not always achieve perfect co-limitation </w:t>
      </w:r>
      <w:r w:rsidRPr="00531789">
        <w:rPr>
          <w:rFonts w:ascii="Cambria" w:hAnsi="Cambria" w:cs="Arial"/>
          <w:i/>
        </w:rPr>
        <w:t>in vivo</w:t>
      </w:r>
      <w:r w:rsidRPr="00531789">
        <w:rPr>
          <w:rFonts w:ascii="Cambria" w:hAnsi="Cambria" w:cs="Arial"/>
        </w:rPr>
        <w:t>.</w:t>
      </w:r>
    </w:p>
    <w:p w14:paraId="67A7AD45"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 </w:t>
      </w:r>
    </w:p>
    <w:p w14:paraId="26AF1A64"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Greater insights into this balancing of sources and sinks at the whole plant scale can be gained by analogy with metabolic systems within cells or tissues. In plant metabolic networks, control of the overall flux is typically shared between several enzyme steps, although many elements in the system exert only a limited effect </w:t>
      </w:r>
      <w:r w:rsidRPr="00531789">
        <w:rPr>
          <w:rFonts w:ascii="Cambria" w:hAnsi="Cambria" w:cs="Arial"/>
        </w:rPr>
        <w:fldChar w:fldCharType="begin" w:fldLock="1"/>
      </w:r>
      <w:r>
        <w:rPr>
          <w:rFonts w:ascii="Cambria" w:hAnsi="Cambria" w:cs="Arial"/>
        </w:rPr>
        <w:instrText>ADDIN CSL_CITATION { "citationItems" : [ { "id" : "ITEM-1", "itemData" : { "ISBN" : "0264-6021 (Print)\\r0264-6021 (Linking)", "ISSN" : "0264-6021", "PMID" : "7575476", "abstract" : "Biochemists have long assumed that the flux through a metabolic pathway can be controlled by the activity of a key regulatory enzyme near the beginning of the pathway. We present the accumulating evidence that every step in this assumption is flawed. Instead, effective physiological control of metabolism is shown to involve simultaneous multisite modulation through action on a number of enzymes.", "author" : [ { "dropping-particle" : "", "family" : "Fell", "given" : "D A", "non-dropping-particle" : "", "parse-names" : false, "suffix" : "" }, { "dropping-particle" : "", "family" : "Thomas", "given" : "S", "non-dropping-particle" : "", "parse-names" : false, "suffix" : "" } ], "container-title" : "The Biochemical Journal", "id" : "ITEM-1", "issued" : { "date-parts" : [ [ "1995" ] ] }, "page" : "35-39", "title" : "Physiological control of metabolic flux: the requirement for multisite modulation.", "type" : "article-journal", "volume" : "311" }, "uris" : [ "http://www.mendeley.com/documents/?uuid=df41aa00-400a-4ff7-a082-90beb4b140b9" ] }, { "id" : "ITEM-2", "itemData" : { "DOI" : "10.1111/j.1365-3040.2011.02332.x", "ISSN" : "1365-3040", "PMID" : "21477125", "abstract" : "The tricarboxylic acid (TCA) cycle is a crucial component of respiratory metabolism in both photosynthetic and heterotrophic plant organs. All of the major genes of the tomato TCA cycle have been cloned recently, allowing the generation of a suite of transgenic plants in which the majority of the enzymes in the pathway are progressively decreased. Investigations of these plants have provided an almost complete view of the distribution of control in this important pathway. Our studies suggest that citrate synthase, aconitase, isocitrate dehydrogenase, succinyl CoA ligase, succinate dehydrogenase, fumarase and malate dehydrogenase have control coefficients flux for respiration of -0.4, 0.964, -0.123, 0.0008, 0.289, 0.601 and 1.76, respectively; while 2-oxoglutarate dehydrogenase is estimated to have a control coefficient of 0.786 in potato tubers. These results thus indicate that the control of this pathway is distributed among malate dehydrogenase, aconitase, fumarase, succinate dehydrogenase and 2-oxoglutarate dehydrogenase. The unusual distribution of control estimated here is consistent with specific non-cyclic flux mode and cytosolic bypasses that operate in illuminated leaves. These observations are discussed in the context of known regulatory properties of the enzymes and some illustrative examples of how the pathway responds to environmental change are given.", "author" : [ { "dropping-particle" : "", "family" : "Ara\u00fajo", "given" : "Wagner L", "non-dropping-particle" : "", "parse-names" : false, "suffix" : "" }, { "dropping-particle" : "", "family" : "Nunes-Nesi", "given" : "Adriano", "non-dropping-particle" : "", "parse-names" : false, "suffix" : "" }, { "dropping-particle" : "", "family" : "Nikoloski", "given" : "Zoran", "non-dropping-particle" : "", "parse-names" : false, "suffix" : "" }, { "dropping-particle" : "", "family" : "Sweetlove", "given" : "Lee J", "non-dropping-particle" : "", "parse-names" : false, "suffix" : "" }, { "dropping-particle" : "", "family" : "Fernie", "given" : "Alisdair R", "non-dropping-particle" : "", "parse-names" : false, "suffix" : "" } ], "container-title" : "Plant, Cell &amp; Environment", "id" : "ITEM-2", "issue" : "1", "issued" : { "date-parts" : [ [ "2012" ] ] }, "page" : "1-21", "title" : "Metabolic control and regulation of the tricarboxylic acid cycle in photosynthetic and heterotrophic plant tissues.", "type" : "article-journal", "volume" : "35" }, "uris" : [ "http://www.mendeley.com/documents/?uuid=e32f4b91-e7d2-492c-82b6-508c4a21560c" ] }, { "id" : "ITEM-3", "itemData" : { "author" : [ { "dropping-particle" : "", "family" : "Raines", "given" : "Christine A", "non-dropping-particle" : "", "parse-names" : false, "suffix" : "" } ], "container-title" : "Photosynthesis Research", "id" : "ITEM-3", "issued" : { "date-parts" : [ [ "2003" ] ] }, "page" : "1-10", "title" : "The Calvin cycle revisited", "type" : "article-journal", "volume" : "75" }, "uris" : [ "http://www.mendeley.com/documents/?uuid=46dc780b-0f5b-42af-b84e-7f7205057177" ] } ], "mendeley" : { "formattedCitation" : "(Fell and Thomas, 1995; Raines, 2003; Ara\u00fajo &lt;i&gt;et al.&lt;/i&gt;, 2012)", "manualFormatting" : "(Fell and Thomas, 1995; e.g. Raines, 2003; Ara\u00fajo et al., 2012)", "plainTextFormattedCitation" : "(Fell and Thomas, 1995; Raines, 2003; Ara\u00fajo et al., 2012)", "previouslyFormattedCitation" : "(Fell and Thomas, 1995; Raines, 2003; Ara\u00fajo &lt;i&gt;et al.&lt;/i&gt;, 2012)"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 xml:space="preserve">(Fell and Thomas, 1995; e.g. Raines, 2003; Araújo </w:t>
      </w:r>
      <w:r w:rsidRPr="00531789">
        <w:rPr>
          <w:rFonts w:ascii="Cambria" w:hAnsi="Cambria" w:cs="Arial"/>
          <w:i/>
          <w:noProof/>
        </w:rPr>
        <w:t>et al.</w:t>
      </w:r>
      <w:r w:rsidRPr="00531789">
        <w:rPr>
          <w:rFonts w:ascii="Cambria" w:hAnsi="Cambria" w:cs="Arial"/>
          <w:noProof/>
        </w:rPr>
        <w:t>, 2012)</w:t>
      </w:r>
      <w:r w:rsidRPr="00531789">
        <w:rPr>
          <w:rFonts w:ascii="Cambria" w:hAnsi="Cambria" w:cs="Arial"/>
        </w:rPr>
        <w:fldChar w:fldCharType="end"/>
      </w:r>
      <w:r w:rsidRPr="00531789">
        <w:rPr>
          <w:rFonts w:ascii="Cambria" w:hAnsi="Cambria" w:cs="Arial"/>
        </w:rPr>
        <w:t xml:space="preserve">.  If the dynamic internal system of resource fluxes among source and sink tissues is analogous to such a metabolic system, then overall control of the flux of materials into growth is also likely to be shared among multiple elements. This flux control analogy generates two predictions. </w:t>
      </w:r>
    </w:p>
    <w:p w14:paraId="26943E81" w14:textId="77777777" w:rsidR="00DF4522" w:rsidRPr="00531789" w:rsidRDefault="00DF4522" w:rsidP="00DF4522">
      <w:pPr>
        <w:spacing w:line="360" w:lineRule="auto"/>
        <w:jc w:val="both"/>
        <w:rPr>
          <w:rFonts w:ascii="Cambria" w:hAnsi="Cambria" w:cs="Arial"/>
        </w:rPr>
      </w:pPr>
    </w:p>
    <w:p w14:paraId="202E9BFA"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The first prediction is that multiple elements in the system share control of the growth rate, and growth will increase if their sizes or activities are raised together.  In contrast, most elements exert limited control, and are present in excess.  The most resource-efficient solution for the developing plant is therefore to tune down investment in those components with little influence, and increase allocation to the elements exerting a high degree of control.  Such regulation must be a dynamic process that balances fluctuations in external resource availability with </w:t>
      </w:r>
      <w:proofErr w:type="spellStart"/>
      <w:r w:rsidRPr="00531789">
        <w:rPr>
          <w:rFonts w:ascii="Cambria" w:hAnsi="Cambria" w:cs="Arial"/>
        </w:rPr>
        <w:t>ontogenic</w:t>
      </w:r>
      <w:proofErr w:type="spellEnd"/>
      <w:r w:rsidRPr="00531789">
        <w:rPr>
          <w:rFonts w:ascii="Cambria" w:hAnsi="Cambria" w:cs="Arial"/>
        </w:rPr>
        <w:t xml:space="preserve"> changes in the demand for resources. Analogous examples from metabolism show how such reallocation among elements in the system can optimize enzyme activities to increase fluxes </w:t>
      </w:r>
      <w:r w:rsidRPr="00531789">
        <w:rPr>
          <w:rFonts w:ascii="Cambria" w:hAnsi="Cambria" w:cs="Arial"/>
        </w:rPr>
        <w:fldChar w:fldCharType="begin" w:fldLock="1"/>
      </w:r>
      <w:r>
        <w:rPr>
          <w:rFonts w:ascii="Cambria" w:hAnsi="Cambria" w:cs="Arial"/>
        </w:rPr>
        <w:instrText>ADDIN CSL_CITATION { "citationItems" : [ { "id" : "ITEM-1", "itemData" : { "DOI" : "10.1007/BF00014594", "ISBN" : "0166-8595", "ISSN" : "01668595", "PMID" : "1340", "abstract" : "A range of studies of C-3 plants have shown that there is a change in both the carbon flux and the pattern of nitrogen allocation when plants are grown under enhanced CO2. This paper examines evidence that allocation of nitrogen both to and within the photosynthetic system is optimised with respect to the carbon flux. A model is developed which predicts the optimal relative allocation of nitrogen to key enzymes of the photosynthetic system as a function of CO2 concentration. It is shown that evidence from flux control analysis is broadly consistent with this model, although at high nitrogen and under certain conditions at low nitrogen experimental data are not consistent with the model. Acclimation to enhanced CO2 is also assessed in terms of resource allocation between photosynthate sources and sinks. A means of assessing the optimisation of this source-sink allocation is proposed, and several studies are examined within this framework. It is concluded that C-3 plants probably possess the genetic feedback mechanisms required to efficiently `smooth out' any imbalance within the photosynthetic system caused by a rise in atmospheric CO2.", "author" : [ { "dropping-particle" : "", "family" : "Woodrow", "given" : "Ian E.", "non-dropping-particle" : "", "parse-names" : false, "suffix" : "" } ], "container-title" : "Photosynthesis Research", "id" : "ITEM-1", "issued" : { "date-parts" : [ [ "1994" ] ] }, "page" : "401-412", "title" : "Optimal acclimation of the C3 photosynthetic system under enhanced CO2", "type" : "article-journal", "volume" : "39" }, "uris" : [ "http://www.mendeley.com/documents/?uuid=a38fedd6-657e-4348-9b3d-0796e7153ddb" ] }, { "id" : "ITEM-2", "itemData" : { "author" : [ { "dropping-particle" : "", "family" : "Zhu", "given" : "Xin-Guang", "non-dropping-particle" : "", "parse-names" : false, "suffix" : "" }, { "dropping-particle" : "", "family" : "Sturler", "given" : "Eric", "non-dropping-particle" : "de", "parse-names" : false, "suffix" : "" }, { "dropping-particle" : "", "family" : "Long", "given" : "Stephen P", "non-dropping-particle" : "", "parse-names" : false, "suffix" : "" } ], "container-title" : "Plant Physiology", "id" : "ITEM-2", "issue" : "2", "issued" : { "date-parts" : [ [ "2007" ] ] }, "page" : "513-526", "title" : "Optimizing the distribution of resources between enzymes of carbon metabolism can dramatically increase photosynthetic rate: a numerical simulation using an evolutionary algorithm", "type" : "article-journal", "volume" : "145" }, "uris" : [ "http://www.mendeley.com/documents/?uuid=5ecc1840-1cbc-48e7-9be3-06ab1ecbbe7f" ] } ], "mendeley" : { "formattedCitation" : "(Woodrow, 1994; Zhu &lt;i&gt;et al.&lt;/i&gt;, 2007)", "plainTextFormattedCitation" : "(Woodrow, 1994; Zhu et al., 2007)", "previouslyFormattedCitation" : "(Woodrow, 1994; Zhu &lt;i&gt;et al.&lt;/i&gt;, 2007)"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(Woodrow, 1994; Zhu </w:t>
      </w:r>
      <w:r w:rsidRPr="002C5907">
        <w:rPr>
          <w:rFonts w:ascii="Cambria" w:hAnsi="Cambria" w:cs="Arial"/>
          <w:i/>
          <w:noProof/>
        </w:rPr>
        <w:t>et al.</w:t>
      </w:r>
      <w:r w:rsidRPr="002C5907">
        <w:rPr>
          <w:rFonts w:ascii="Cambria" w:hAnsi="Cambria" w:cs="Arial"/>
          <w:noProof/>
        </w:rPr>
        <w:t>, 2007)</w:t>
      </w:r>
      <w:r w:rsidRPr="00531789">
        <w:rPr>
          <w:rFonts w:ascii="Cambria" w:hAnsi="Cambria" w:cs="Arial"/>
        </w:rPr>
        <w:fldChar w:fldCharType="end"/>
      </w:r>
      <w:r w:rsidRPr="00531789">
        <w:rPr>
          <w:rFonts w:ascii="Cambria" w:hAnsi="Cambria" w:cs="Arial"/>
        </w:rPr>
        <w:t xml:space="preserve">.  However, in a whole plant system, this optimisation process must operate within the context of life history strategies of investment in growth verses defence or storage (the growth-survival trade-off). </w:t>
      </w:r>
    </w:p>
    <w:p w14:paraId="372299BE" w14:textId="77777777" w:rsidR="00DF4522" w:rsidRPr="00531789" w:rsidRDefault="00DF4522" w:rsidP="00DF4522">
      <w:pPr>
        <w:spacing w:line="360" w:lineRule="auto"/>
        <w:jc w:val="both"/>
        <w:rPr>
          <w:rFonts w:ascii="Cambria" w:hAnsi="Cambria" w:cs="Arial"/>
        </w:rPr>
      </w:pPr>
    </w:p>
    <w:p w14:paraId="4570D248" w14:textId="03FD47D7" w:rsidR="00DF4522" w:rsidRPr="00531789" w:rsidRDefault="00DF4522" w:rsidP="00DF4522">
      <w:pPr>
        <w:spacing w:line="360" w:lineRule="auto"/>
        <w:jc w:val="both"/>
        <w:rPr>
          <w:rFonts w:ascii="Cambria" w:hAnsi="Cambria" w:cs="Arial"/>
        </w:rPr>
      </w:pPr>
      <w:r w:rsidRPr="00531789">
        <w:rPr>
          <w:rFonts w:ascii="Cambria" w:hAnsi="Cambria" w:cs="Arial"/>
        </w:rPr>
        <w:t xml:space="preserve">The second prediction generated by the flux control analogy is that development of new source and sink organs during ontogeny shifts the overall control of growth to different elements in the system.  This effect is expected because changes in the number, size and activity of plant organs during development alters the internal capacity of a plant to acquire and consume resources, and is well supported by experimental evidence. For example, some plants transition from sink to source limitation during the shift from vegetative to reproductive growth </w:t>
      </w:r>
      <w:r w:rsidRPr="00531789">
        <w:rPr>
          <w:rFonts w:ascii="Cambria" w:hAnsi="Cambria" w:cs="Arial"/>
        </w:rPr>
        <w:fldChar w:fldCharType="begin" w:fldLock="1"/>
      </w:r>
      <w:r w:rsidR="00906E41">
        <w:rPr>
          <w:rFonts w:ascii="Cambria" w:hAnsi="Cambria" w:cs="Arial"/>
        </w:rPr>
        <w:instrText>ADDIN CSL_CITATION { "citationItems" : [ { "id" : "ITEM-1", "itemData" : { "author" : [ { "dropping-particle" : "", "family" : "Arp", "given" : "W J", "non-dropping-particle" : "", "parse-names" : false, "suffix" : "" } ], "container-title" : "Plant, Cell &amp; Environment", "id" : "ITEM-1", "issued" : { "date-parts" : [ [ "1991" ] ] }, "page" : "869-875", "title" : "Effects of source-sink relations on photosynthetic acclimation to elevated CO2", "type" : "article-journal", "volume" : "14" }, "uris" : [ "http://www.mendeley.com/documents/?uuid=bb80a4ae-185e-48b5-858d-08efd177107a" ] }, { "id" : "ITEM-2", "itemData" : { "ISBN" : "0-12-473543-6", "author" : [ { "dropping-particle" : "", "family" : "Marschner", "given" : "Horst", "non-dropping-particle" : "", "parse-names" : false, "suffix" : "" } ], "edition" : "2nd", "editor" : [ { "dropping-particle" : "", "family" : "Marschner", "given" : "P", "non-dropping-particle" : "", "parse-names" : false, "suffix" : "" } ], "id" : "ITEM-2", "issued" : { "date-parts" : [ [ "1995" ] ] }, "publisher" : "Academic Press", "publisher-place" : "London", "title" : "Mineral Nutrition of Higher Plants", "type" : "book" }, "uris" : [ "http://www.mendeley.com/documents/?uuid=4da83903-c379-4e79-8410-79eaf9305b73" ] }, { "id" : "ITEM-3", "itemData" : { "author" : [ { "dropping-particle" : "", "family" : "Rogers", "given" : "A", "non-dropping-particle" : "", "parse-names" : false, "suffix" : "" }, { "dropping-particle" : "", "family" : "Ainsworth", "given" : "Elizabeth A", "non-dropping-particle" : "", "parse-names" : false, "suffix" : "" } ], "chapter-number" : "16", "container-title" : "Managed ecosystems and CO2 case studies processes and perspectives", "editor" : [ { "dropping-particle" : "", "family" : "Nosberger", "given" : "J", "non-dropping-particle" : "", "parse-names" : false, "suffix" : "" }, { "dropping-particle" : "", "family" : "Long", "given" : "SP", "non-dropping-particle" : "", "parse-names" : false, "suffix" : "" }, { "dropping-particle" : "", "family" : "Blum", "given" : "H", "non-dropping-particle" : "", "parse-names" : false, "suffix" : "" }, { "dropping-particle" : "", "family" : "Norby", "given" : "RJ", "non-dropping-particle" : "", "parse-names" : false, "suffix" : "" }, { "dropping-particle" : "", "family" : "Hendrey", "given" : "GR", "non-dropping-particle" : "", "parse-names" : false, "suffix" : "" }, { "dropping-particle" : "", "family" : "Stitt", "given" : "M", "non-dropping-particle" : "", "parse-names" : false, "suffix" : "" } ], "id" : "ITEM-3", "issued" : { "date-parts" : [ [ "2006" ] ] }, "page" : "293-308", "publisher" : "Springer-Verlag", "publisher-place" : "Heidelberg, Berlin", "title" : "The response of foliar carbohydrates to elevated [CO2]", "type" : "chapter" }, "uris" : [ "http://www.mendeley.com/documents/?uuid=ad611b43-52b4-4728-8d67-4ff9617c644b" ] } ], "mendeley" : { "formattedCitation" : "(Arp, 1991; Marschner, 1995; Rogers and Ainsworth, 2006)", "manualFormatting" : "(examples within Arp, 1991; Marschner, 1995; Rogers and Ainsworth, 2006)", "plainTextFormattedCitation" : "(Arp, 1991; Marschner, 1995; Rogers and Ainsworth, 2006)", "previouslyFormattedCitation" : "(Arp, 1991; Marschner, 1995; Rogers and Ainsworth, 2006)"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(examples within Arp, 1991; Marschner, 1995; Rogers and Ainsworth, 2006)</w:t>
      </w:r>
      <w:r w:rsidRPr="00531789">
        <w:rPr>
          <w:rFonts w:ascii="Cambria" w:hAnsi="Cambria" w:cs="Arial"/>
        </w:rPr>
        <w:fldChar w:fldCharType="end"/>
      </w:r>
      <w:r w:rsidRPr="00531789">
        <w:rPr>
          <w:rFonts w:ascii="Cambria" w:hAnsi="Cambria" w:cs="Arial"/>
        </w:rPr>
        <w:t>. Equivalent effects arise when plants are exposed to external environmental conditions which change resource acquisition rates, or if the numbers or activities of source or sink organs are manipulated experimentally. The evidence for such effects is considered in the next section of this review.</w:t>
      </w:r>
    </w:p>
    <w:p w14:paraId="14400035" w14:textId="77777777" w:rsidR="00DF4522" w:rsidRPr="00531789" w:rsidRDefault="00DF4522" w:rsidP="00DF4522">
      <w:pPr>
        <w:spacing w:line="360" w:lineRule="auto"/>
        <w:jc w:val="both"/>
        <w:rPr>
          <w:rFonts w:ascii="Cambria" w:hAnsi="Cambria" w:cs="Arial"/>
        </w:rPr>
      </w:pPr>
    </w:p>
    <w:p w14:paraId="7654A1E1" w14:textId="77777777" w:rsidR="00DF4522" w:rsidRPr="00531789" w:rsidRDefault="00DF4522" w:rsidP="00DF4522">
      <w:pPr>
        <w:spacing w:line="360" w:lineRule="auto"/>
        <w:jc w:val="both"/>
        <w:rPr>
          <w:rFonts w:ascii="Cambria" w:hAnsi="Cambria" w:cs="Arial"/>
        </w:rPr>
      </w:pPr>
      <w:r w:rsidRPr="00531789">
        <w:rPr>
          <w:rFonts w:ascii="Cambria" w:hAnsi="Cambria" w:cs="Arial"/>
        </w:rPr>
        <w:t>In combination, these external and internal factors mean that the acquisition and consumption of resources must be balanced over time by a combination of coarse and fine internal regulatory controls. This control, in turn, operates within a general life history strategy of investment in growth verses storage or defence, which means that the growth rate is not necessarily maximised under particular internal and external constraints.</w:t>
      </w:r>
    </w:p>
    <w:p w14:paraId="27D33086" w14:textId="77777777" w:rsidR="00DF4522" w:rsidRPr="00531789" w:rsidRDefault="00DF4522" w:rsidP="00DF4522">
      <w:pPr>
        <w:spacing w:line="360" w:lineRule="auto"/>
        <w:jc w:val="both"/>
        <w:rPr>
          <w:rFonts w:ascii="Cambria" w:hAnsi="Cambria" w:cs="Arial"/>
        </w:rPr>
      </w:pPr>
    </w:p>
    <w:p w14:paraId="6BF93ADA" w14:textId="371A14E7" w:rsidR="00DF4522" w:rsidRPr="00531789" w:rsidRDefault="00DF4522" w:rsidP="00DF4522">
      <w:pPr>
        <w:spacing w:line="360" w:lineRule="auto"/>
        <w:jc w:val="both"/>
        <w:rPr>
          <w:rFonts w:ascii="Cambria" w:hAnsi="Cambria" w:cs="Arial"/>
        </w:rPr>
      </w:pPr>
      <w:r w:rsidRPr="00531789">
        <w:rPr>
          <w:rFonts w:ascii="Cambria" w:hAnsi="Cambria" w:cs="Arial"/>
        </w:rPr>
        <w:t xml:space="preserve">The situation for crop plants is simpler, since breeders aim to maximise lifetime growth and reproductive allocation within </w:t>
      </w:r>
      <w:proofErr w:type="spellStart"/>
      <w:r w:rsidRPr="00531789">
        <w:rPr>
          <w:rFonts w:ascii="Cambria" w:hAnsi="Cambria" w:cs="Arial"/>
        </w:rPr>
        <w:t>monospecific</w:t>
      </w:r>
      <w:proofErr w:type="spellEnd"/>
      <w:r w:rsidRPr="00531789">
        <w:rPr>
          <w:rFonts w:ascii="Cambria" w:hAnsi="Cambria" w:cs="Arial"/>
        </w:rPr>
        <w:t xml:space="preserve"> communities </w:t>
      </w:r>
      <w:r w:rsidRPr="00531789">
        <w:rPr>
          <w:rFonts w:ascii="Cambria" w:hAnsi="Cambria" w:cs="Arial"/>
        </w:rPr>
        <w:fldChar w:fldCharType="begin" w:fldLock="1"/>
      </w:r>
      <w:r w:rsidRPr="00531789">
        <w:rPr>
          <w:rFonts w:ascii="Cambria" w:hAnsi="Cambria" w:cs="Arial"/>
        </w:rPr>
        <w:instrText>ADDIN CSL_CITATION { "citationItems" : [ { "id" : "ITEM-1", "itemData" : { "author" : [ { "dropping-particle" : "", "family" : "Denison", "given" : "R. Ford", "non-dropping-particle" : "", "parse-names" : false, "suffix" : "" } ], "id" : "ITEM-1", "issued" : { "date-parts" : [ [ "2012" ] ] }, "publisher" : "Princeton University Press", "publisher-place" : "Princeton, New Jersey", "title" : "Darwinian Agriculture: How Understanding Evolution Can Improve Agriculture", "type" : "book" }, "uris" : [ "http://www.mendeley.com/documents/?uuid=5e450c62-b635-414d-9bcc-24bc3791da00" ] } ], "mendeley" : { "formattedCitation" : "(Denison, 2012)", "plainTextFormattedCitation" : "(Denison, 2012)", "previouslyFormattedCitation" : "(Denison, 2012)"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(Denison, 2012)</w:t>
      </w:r>
      <w:r w:rsidRPr="00531789">
        <w:rPr>
          <w:rFonts w:ascii="Cambria" w:hAnsi="Cambria" w:cs="Arial"/>
        </w:rPr>
        <w:fldChar w:fldCharType="end"/>
      </w:r>
      <w:r w:rsidRPr="00531789">
        <w:rPr>
          <w:rFonts w:ascii="Cambria" w:hAnsi="Cambria" w:cs="Arial"/>
        </w:rPr>
        <w:t xml:space="preserve">. Current views on source-sink relations in crop plants point towards a co-limitation of growth by sources and sinks during grain-filling </w:t>
      </w:r>
      <w:r w:rsidRPr="00531789">
        <w:rPr>
          <w:rFonts w:ascii="Cambria" w:hAnsi="Cambria" w:cs="Arial"/>
        </w:rPr>
        <w:fldChar w:fldCharType="begin" w:fldLock="1"/>
      </w:r>
      <w:r>
        <w:rPr>
          <w:rFonts w:ascii="Cambria" w:hAnsi="Cambria" w:cs="Arial"/>
        </w:rPr>
        <w:instrText>ADDIN CSL_CITATION { "citationItems" : [ { "id" : "ITEM-1", "itemData" : { "DOI" : "10.2135/cropsci2007.10.0545", "ISSN" : "1435-0653", "author" : [ { "dropping-particle" : "", "family" : "\u00c1lvaro", "given" : "F.", "non-dropping-particle" : "", "parse-names" : false, "suffix" : "" }, { "dropping-particle" : "", "family" : "Royo", "given" : "C.", "non-dropping-particle" : "", "parse-names" : false, "suffix" : "" }, { "dropping-particle" : "", "family" : "Garc\u00eda del Moral", "given" : "L. F.", "non-dropping-particle" : "", "parse-names" : false, "suffix" : "" }, { "dropping-particle" : "", "family" : "Villegas", "given" : "D.", "non-dropping-particle" : "", "parse-names" : false, "suffix" : "" } ], "container-title" : "Crop Science", "id" : "ITEM-1", "issue" : "4", "issued" : { "date-parts" : [ [ "2008" ] ] }, "page" : "1523", "title" : "Grain filling and dry matter translocation responses to source\u2013sink modifications in a historical series of durum wheat", "type" : "article-journal", "volume" : "48" }, "uris" : [ "http://www.mendeley.com/documents/?uuid=bc1c79db-bafd-44a8-a567-4cc46e4e66a9" ] }, { "id" : "ITEM-2", "itemData" : { "DOI" : "10.1016/j.fcr.2008.07.006", "ISSN" : "03784290", "author" : [ { "dropping-particle" : "", "family" : "Acreche", "given" : "Mart\u00edn M.", "non-dropping-particle" : "", "parse-names" : false, "suffix" : "" }, { "dropping-particle" : "", "family" : "Slafer", "given" : "Gustavo A.", "non-dropping-particle" : "", "parse-names" : false, "suffix" : "" } ], "container-title" : "Field Crops Research", "id" : "ITEM-2", "issue" : "2", "issued" : { "date-parts" : [ [ "2009", "2" ] ] }, "page" : "98-105", "title" : "Grain weight, radiation interception and use efficiency as affected by sink-strength in Mediterranean wheats released from 1940 to 2005", "type" : "article-journal", "volume" : "110" }, "uris" : [ "http://www.mendeley.com/documents/?uuid=c4038cd1-032b-4704-8eaf-d32835ccb089" ] }, { "id" : "ITEM-3", "itemData" : { "DOI" : "10.1016/j.copbio.2011.12.013", "ISSN" : "1879-0429", "PMID" : "22261558", "abstract" : "Source and sink strength control plant carbon gain and yield. Source strength was recently engineered by modifying the large subunit of Rubisco, replacing the small subunit, and creating improved thermostable Rubisco activases. This technological breakthrough makes Rubisco engineering feasible at last. Enhancement of leaf transitory starch synthesis or induction of artificial sinks in leaves increased biomass and yield. Importantly, such approaches also had a positive feedback on source strength. In addition, novel targets for the improvement of carbon gain in crops have been identified that are especially relevant in the light of climate change.", "author" : [ { "dropping-particle" : "", "family" : "Peterhansel", "given" : "Christoph", "non-dropping-particle" : "", "parse-names" : false, "suffix" : "" }, { "dropping-particle" : "", "family" : "Offermann", "given" : "Sascha", "non-dropping-particle" : "", "parse-names" : false, "suffix" : "" } ], "container-title" : "Current Opinion in Biotechnology", "id" : "ITEM-3", "issue" : "2", "issued" : { "date-parts" : [ [ "2012", "4" ] ] }, "page" : "204-8", "publisher" : "Elsevier Ltd", "title" : "Re-engineering of carbon fixation in plants - challenges for plant biotechnology to improve yields in a high-CO2 world.", "type" : "article-journal", "volume" : "23" }, "uris" : [ "http://www.mendeley.com/documents/?uuid=d88261af-c545-47f4-bac3-bc6b86d5add4" ] }, { "id" : "ITEM-4", "itemData" : { "DOI" : "10.1093/jxb/ers124", "ISSN" : "1460-2431", "PMID" : "22732107", "abstract" : "A dramatic change in agricultural crops is needed in order to keep pace with the demands of an increasing human population, exponential need for renewable fuels, and uncertain climatic changes. Grasses make up the vast majority of agricultural commodities. How these grasses capture, transport, and store carbohydrates underpins all aspects of crop productivity. Sink-source dynamics within the plant direct how much, where, and when carbohydrates are allocated, as well as determine the harvestable tissue. Carbohydrate partitioning can limit the yield capacity of these plants, thus offering a potential target for crop improvement. Grasses have the ability to buffer this sink-source interaction by transiently storing carbohydrates in stem tissue when production from the source is greater than whole-plant demand. These reserves improve yield stability in grain crops by providing an alternative source when photosynthetic capacity is reduced during the later phases of grain filling, or during periods of environmental and biotic stresses. Domesticated grasses such as sugarcane and sweet sorghum have undergone selection for high accumulation of stem carbohydrates, which serve as the primary sources of sugars for human and animal consumption, as well as ethanol production for fuel. With the enormous expectations placed on agricultural production in the near future, research into carbohydrate partitioning in grasses is essential for maintaining and increasing yields in grass crops. This review highlights the current knowledge of non-structural carbohydrate dynamics in grass stems and discusses the impacts of stem reserves in essential agronomic grasses.", "author" : [ { "dropping-particle" : "", "family" : "Slewinski", "given" : "Thomas L", "non-dropping-particle" : "", "parse-names" : false, "suffix" : "" } ], "container-title" : "Journal of Experimental Botany", "id" : "ITEM-4", "issue" : "13", "issued" : { "date-parts" : [ [ "2012", "8" ] ] }, "note" : "Quoted from text:\n\nThere are periods in the plant life cycle where carbohydrate production in source tissues exceeds the demands of sink tissues, and vice versa. This is in agreement with a more integrative view of sink\u2013source interactions which emphasizes a co-limitation, rather than strictly sink or source limitation (Slafer, 2003; Alvaro et al.,2008; Acreche and Slafer, 2011). For example in wheat, stem carbohydrates progressively accumulate in the stem until the stage of rapid grain filling when stem carbohydrates reserves become mobile and partition to the developing grain (Ruuska et al., 2006).\n\nThe nature of the plant life cycle also has a dramatic impact on whole-plant carbohydrate partitioning (Thompson and Stewart, 1981). Most of the grain-producing grasses are monocarpic annuals with only one chance at producing offspring before the life cycle ends. Thus, carbohydrate reserves buffer against extended periods of low light or drought, allowing plants to produce some viable seed. Perennials go one step further by storing carbohydrates in stems and roots, which may include rhizomes, to fuel re-growth of new tissues in the spring. \n\nStorage and remobilization strategies depend to a large degree on the form in which carbohydrates are stored. Depending on the species, stem carbohydrates can be stored as soluble sugars, such as sucrose, fructans (soluble polymers of fructose), or starch (insoluble polymers of glucose) (Halford et al., 2011). The amount of stored carbohydrate in the stem also varies with the species and cultivar of grass and is dependent on the stage of development and growing conditions. Some grasses that have a central lacuna can also store carbohydrate in the chloranchyma cells along the periphery of the stem.\n\nSome grasses store NSCs in the form of polymers in the storage parenchyma cells, either as starch or as fructans (Fig. 1C) (Morvan-Bertrand et al., 2001; Xue et al., 2008). Grass species that are indigenous to temperate climates and that regularly experience periods of drought and frost typically utilize fructans as a carbohydrate storage pool (Halford et al., 2011). Fructans are synthesized in the vacuolar lumen from imported sucrose (Pollock et al., 2003). Only a few grasses use starch as a primary reserve in thestems (discussed below). Unlike fructans, starch is formed in the plastids/amyloplasts by metabolic events both in the plastid and in the cytosol. Remobilization requires the breakdown of starch in the plastids, then sucrose re- synthesis in the cytosol before export from the cell. For further discussions on starch metabolism, see Zeeman et al. (2010) and Weise et al. (2011).\n\nCarbohydrate partitioning in rice plants is also interesting because plants store carbohydrate reserves as sucrose in the leaves and both starch and sucrose in the stems\u2014a pattern that diverges from many of the grasses (Scofield et al., 2009).\n\nQuantifying NSCs in stems at harvest is one way todetect sink\u2013source imbalances in grain-producing grasses. A recent survey of major domestic cultivars of rice grown under normal agricultural conditions in Japan found that all varieties have significant NSC left in the straw (Park et al., 2011). Other reports indicate that if too much nitrogen is applied to fields, or plants express the staygreen condition longer than is needed for grain fill, stems become saturated with starch (Pan et al., 2011). This starch is then disposed of in the chaff during harvest, which decreases the harvest index. Interestingly, hybrid rice varieties also have reduced harvest index, presumably due to the same phenomenon. These data suggest that rice exhibits more sink than source limitation imposed by constraints in the transport or grain-filling processes. This raises some important questions. Will increasing carbohydrate source strength be enough to increase yield? Does increased and sustained photosynthesis correlate with increased grain fill and harvest index? Carbohydrate partitioning involves not only the production, storage, and utilization of carbohydrates, but is also critically depen- dent on transport. Transport is determined by both the physiology and vascular architecture of the transport system (Dinant and Lemoine, 2010). Rice panicles that produce more spikelets per panicle, so-called \u2018Super Rice\u2019, have problems filling grains produced on the inferior spikelets (Yang and Zhang, 2010b). These plants become more \u2018source limited\u2019 as spikelet density increases, but the grain-filling problem may result from inadequate vascular connections to the inferior spikelet. This results in normal grain filling in the superior spikelet, but reduced in the inferior spikelets, throughout the panicle (Yang et al., 2002). Such morphogenetic constraints in the vascular system can confound investigations into sink\u2013source dynamics (Watson and Casper, 1984) ..... Increasing productivity will most probably require an extensive redesign of the plant, including the physical architecture of the vascular system and buffering capabilities in the stem, not simply the introduction of the C4 photosynthetic syndrome.\n\nIs it possible to optimize the sugar transport streamfurther in order to convert more of the NSCs in the stem into grain mass? As the data highlighted above suggest, there is still much that remains unknown about carbohy- drate partitioning in rice, and how entire life cycle dynamics impact yield. Even though many aspects of carbohydrate partitioning remain elusive, there is potential for improve- ment in the way currently grown cultivars convert carbohy- drate stores into harvested grains.\n\nThe roles and mechanisms of storing and remobilizing stem carbohydrates in wheat have been more intensely studied than in other grain-bearing grasses (Schnyder, 1993; Blum et al., 1994; Wardlaw and Willenbrink, 2000). This is because early researchers discovered a direct correlation between carbohydrate storage in the stems and the ability of the plants to maintain high yield stability under drought or other environmentally deleterious conditions (Bindinger et al., 1977; Asseng and Herwaarden, 2003). Mobilized reserves from the stem tissues can contribute ;20\u201340% of the final grain weight under normal non-stressed growing conditions (Dreccer et al., 2009). \n\nAs breeders and basic scientists raise both source and sink potentials, the physical architecture of the vascular system itself may become the new limiting factor in the carbon economy of the plant (Asli and Houshmandfar, 2011). Buffering the supply with stem carbohydrate reserves may be one way to maximize transport through a constrained vascular route. However, eventually the vascular system itself will have to be altered to accommodate the high rates of transport to the developing florets and grains. More research is needed in this area to identify substantial bottlenecks in transport and grain-filling processes.\n\nPresumably, influx into storage parenchyma cells of thesegrasses is symplasmic, as it is in many tissues that accumulate sugar polymers (Aoki et al., 2004). Stem NSC in wheat, barley, and oat is mostly in the form of fructans stored in the vacuoles of the stem storage parenchyma cells. Other major carbohydrates do not significantly contribute to the NSC reserves, or show little variance between high and low stem NSC lines (Bancal and Tribo\u0131\u00a8, 1993; Ruuska et al., 2006). Starch is present in the stem and leaves of wheat, but has been suggested to function as a source for vegetative growth rather than for mobilization to the grain (Scofield et al., 2009). Fructan synthesis may depend more on sucrose availability, as seen when fructans become rapidly labelled when [14C]sucrose is injected into wheat stems (Hogan and Hendrix, 1986). However, fructan concentrations in wheat are not directly correlated with fructosyltranserase activity (Goggin and Setter, 2004).\n\n\nIn barley, the most promising potential to increaseradiation use efficiency may come from alterations in sink\u2013 source dynamics (Bingham et al., 2007; Newton et al., 2011). Barley appears to be much more sink than source limited. Presumably, the low sink capacity of barley leads to a reduction in photosynthetic productivity due to feedback inhibition.\n\nImproving stress tolerance in wheat by manipulating NSCs in stems has already been put into practice in areas where environmental conditions are suboptimal (Ehdaie et al., 2006). Such is the case in Australia where severe and terminal droughts are common (Bell et al., 2010). Wheat cultivars that have high NSCs in stems show improved floret fertility, grain filling, and yield stability when grown under rain-fed or drought conditions. When these lines are grown under irrigated and non-stress conditions, yields from high stem NSC lines are comparable with those of low NSC lines, suggesting there are no yield penalties associated with high NSCs if the plant does not experience stress (Foulkes et al., 2007).\n\nClosing the yield gap will require drastic exploitation of the sink\u2013source relationship in the grass crops. However, most sink or source components that directly affect yield appear to be negatively correlated with each other (Slafer et al., 1996). The nature of these negative relationships remains unknown. Therefore, new descriptive models are needed that diverge from simple sink- or source-limited systems, to whole-plant entire life cycle systems to understand these relationships fully.\n\nCan larger stem NSC reserves increase radiation use efficiency in the grasses (Reynolds et al., 2011)? It has been suggested that in barley, one of the most promising ways to increase radiation use efficiency is to increase sink strength and storage capacity (Newton et al., 2011), which includes NSC reserves in the stems.", "page" : "4647-70", "title" : "Non-structural carbohydrate partitioning in grass stems: a target to increase yield stability, stress tolerance, and biofuel production.", "type" : "article-journal", "volume" : "63" }, "uris" : [ "http://www.mendeley.com/documents/?uuid=21ab6445-1653-4121-b68f-0126cb60d2ee" ] } ], "mendeley" : { "formattedCitation" : "(\u00c1lvaro &lt;i&gt;et al.&lt;/i&gt;, 2008; Acreche and Slafer, 2009; Peterhansel and Offermann, 2012; Slewinski, 2012)", "plainTextFormattedCitation" : "(\u00c1lvaro et al., 2008; Acreche and Slafer, 2009; Peterhansel and Offermann, 2012; Slewinski, 2012)", "previouslyFormattedCitation" : "(\u00c1lvaro &lt;i&gt;et al.&lt;/i&gt;, 2008; Acreche and Slafer, 2009; Peterhansel and Offermann, 2012; Slewinski, 2012)"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(Álvaro </w:t>
      </w:r>
      <w:r w:rsidRPr="002C5907">
        <w:rPr>
          <w:rFonts w:ascii="Cambria" w:hAnsi="Cambria" w:cs="Arial"/>
          <w:i/>
          <w:noProof/>
        </w:rPr>
        <w:t>et al.</w:t>
      </w:r>
      <w:r w:rsidRPr="002C5907">
        <w:rPr>
          <w:rFonts w:ascii="Cambria" w:hAnsi="Cambria" w:cs="Arial"/>
          <w:noProof/>
        </w:rPr>
        <w:t>, 2008; Acreche and Slafer, 2009; Peterhansel and Offermann, 2012; Slewinski, 2012)</w:t>
      </w:r>
      <w:r w:rsidRPr="00531789">
        <w:rPr>
          <w:rFonts w:ascii="Cambria" w:hAnsi="Cambria" w:cs="Arial"/>
        </w:rPr>
        <w:fldChar w:fldCharType="end"/>
      </w:r>
      <w:r w:rsidRPr="00531789">
        <w:rPr>
          <w:rFonts w:ascii="Cambria" w:hAnsi="Cambria" w:cs="Arial"/>
        </w:rPr>
        <w:t xml:space="preserve"> yet growth could be further optimised.  One line of evidence for the lack of optimisation of source and sink to maximise growth comes from experiments where plants are grown at elevated CO</w:t>
      </w:r>
      <w:r w:rsidRPr="00531789">
        <w:rPr>
          <w:rFonts w:ascii="Cambria" w:hAnsi="Cambria" w:cs="Arial"/>
          <w:vertAlign w:val="subscript"/>
        </w:rPr>
        <w:t>2</w:t>
      </w:r>
      <w:r w:rsidRPr="00531789">
        <w:rPr>
          <w:rFonts w:ascii="Cambria" w:hAnsi="Cambria" w:cs="Arial"/>
        </w:rPr>
        <w:t xml:space="preserve"> (discussed later, in Table 1).  Such experiments aim to predict the responses of plants to future climatic conditions, and increase the carbon source activity of plants in a non-invasive manner.  The increase in photosynthesis under elevated CO</w:t>
      </w:r>
      <w:r w:rsidRPr="00531789">
        <w:rPr>
          <w:rFonts w:ascii="Cambria" w:hAnsi="Cambria" w:cs="Arial"/>
          <w:vertAlign w:val="subscript"/>
        </w:rPr>
        <w:t>2</w:t>
      </w:r>
      <w:r w:rsidRPr="00531789">
        <w:rPr>
          <w:rFonts w:ascii="Cambria" w:hAnsi="Cambria" w:cs="Arial"/>
        </w:rPr>
        <w:t xml:space="preserve"> demonstrates that source activity typically limits growth under ambient CO</w:t>
      </w:r>
      <w:r w:rsidRPr="00531789">
        <w:rPr>
          <w:rFonts w:ascii="Cambria" w:hAnsi="Cambria" w:cs="Arial"/>
          <w:vertAlign w:val="subscript"/>
        </w:rPr>
        <w:t>2</w:t>
      </w:r>
      <w:r w:rsidRPr="00531789">
        <w:rPr>
          <w:rFonts w:ascii="Cambria" w:hAnsi="Cambria" w:cs="Arial"/>
        </w:rPr>
        <w:t xml:space="preserve"> levels.  However, the increases in photosynthesis and yield seen when plants are grown under elevated CO</w:t>
      </w:r>
      <w:r w:rsidRPr="00531789">
        <w:rPr>
          <w:rFonts w:ascii="Cambria" w:hAnsi="Cambria" w:cs="Arial"/>
          <w:vertAlign w:val="subscript"/>
        </w:rPr>
        <w:t>2</w:t>
      </w:r>
      <w:r w:rsidRPr="00531789">
        <w:rPr>
          <w:rFonts w:ascii="Cambria" w:hAnsi="Cambria" w:cs="Arial"/>
        </w:rPr>
        <w:t xml:space="preserve"> do not match the magnitude of those predicted from theoretical modelling and extrapolation of chamber experiments</w:t>
      </w:r>
      <w:r w:rsidRPr="00531789">
        <w:rPr>
          <w:rFonts w:ascii="Cambria" w:hAnsi="Cambria" w:cs="Arial"/>
        </w:rPr>
        <w:fldChar w:fldCharType="begin" w:fldLock="1"/>
      </w:r>
      <w:r w:rsidR="00D05EDB">
        <w:rPr>
          <w:rFonts w:ascii="Cambria" w:hAnsi="Cambria" w:cs="Arial"/>
        </w:rPr>
        <w:instrText>ADDIN CSL_CITATION { "citationItems" : [ { "id" : "ITEM-1", "itemData" : { "DOI" : "10.1126/science.1114722", "ISSN" : "1095-9203", "PMID" : "16809532", "abstract" : "Model projections suggest that although increased temperature and decreased soil moisture will act to reduce global crop yields by 2050, the direct fertilization effect of rising carbon dioxide concentration ([CO2]) will offset these losses. The CO2 fertilization factors used in models to project future yields were derived from enclosure studies conducted approximately 20 years ago. Free-air concentration enrichment (FACE) technology has now facilitated large-scale trials of the major grain crops at elevated [CO2] under fully open-air field conditions. In those trials, elevated [CO2] enhanced yield by approximately 50% less than in enclosure studies. This casts serious doubt on projections that rising [CO2] will fully offset losses due to climate change.", "author" : [ { "dropping-particle" : "", "family" : "Long", "given" : "Stephen P", "non-dropping-particle" : "", "parse-names" : false, "suffix" : "" }, { "dropping-particle" : "", "family" : "Ainsworth", "given" : "Elizabeth A", "non-dropping-particle" : "", "parse-names" : false, "suffix" : "" }, { "dropping-particle" : "", "family" : "Leakey", "given" : "Andrew D B", "non-dropping-particle" : "", "parse-names" : false, "suffix" : "" }, { "dropping-particle" : "", "family" : "N\u00f6sberger", "given" : "Josef", "non-dropping-particle" : "", "parse-names" : false, "suffix" : "" }, { "dropping-particle" : "", "family" : "Ort", "given" : "Donald R", "non-dropping-particle" : "", "parse-names" : false, "suffix" : "" } ], "container-title" : "Science", "id" : "ITEM-1", "issue" : "5782", "issued" : { "date-parts" : [ [ "2006", "6", "30" ] ] }, "page" : "1918-21", "title" : "Food for thought: lower-than-expected crop yield stimulation with rising CO2 concentrations.", "type" : "article-journal", "volume" : "312" }, "uris" : [ "http://www.mendeley.com/documents/?uuid=fce954b0-4240-4dd5-b2bd-ba2f991b3a7b" ] }, { "id" : "ITEM-2", "itemData" : { "DOI" : "10.1111/j.1469-8137.2008.02470.x", "ISSN" : "1469-8137", "PMID" : "18557872", "author" : [ { "dropping-particle" : "", "family" : "Ainsworth", "given" : "Elizabeth A.", "non-dropping-particle" : "", "parse-names" : false, "suffix" : "" }, { "dropping-particle" : "", "family" : "Leakey", "given" : "Andrew D. B.", "non-dropping-particle" : "", "parse-names" : false, "suffix" : "" }, { "dropping-particle" : "", "family" : "Ort", "given" : "Donald R.", "non-dropping-particle" : "", "parse-names" : false, "suffix" : "" }, { "dropping-particle" : "", "family" : "Long", "given" : "Stephen P.", "non-dropping-particle" : "", "parse-names" : false, "suffix" : "" } ], "container-title" : "New Phytologist", "id" : "ITEM-2", "issue" : "1", "issued" : { "date-parts" : [ [ "2008", "1" ] ] }, "page" : "5-9", "title" : "FACE-ing the facts: inconsistencies and interdependence among field, chamber and modeling studies of elevated [CO2] impacts on crop yield and food supply", "type" : "article-journal", "volume" : "179" }, "uris" : [ "http://www.mendeley.com/documents/?uuid=2ecf71f0-7473-4042-bd60-1be2335079dd" ] }, { "id" : "ITEM-3", "itemData" : { "DOI" : "10.1093/jxb/erp096", "ISSN" : "1460-2431", "PMID" : "19401412", "abstract" : "Plant responses to the projected future levels of CO(2) were first characterized in short-term experiments lasting days to weeks. However, longer term acclimation responses to elevated CO(2) were subsequently discovered to be very important in determining plant and ecosystem function. Free-Air CO(2) Enrichment (FACE) experiments are the culmination of efforts to assess the impact of elevated CO(2) on plants over multiple seasons and, in the case of crops, over their entire lifetime. FACE has been used to expose vegetation to elevated concentrations of atmospheric CO(2) under completely open-air conditions for nearly two decades. This review describes some of the lessons learned from the long-term investment in these experiments. First, elevated CO(2) stimulates photosynthetic carbon gain and net primary production over the long term despite down-regulation of Rubisco activity. Second, elevated CO(2) improves nitrogen use efficiency and, third, decreases water use at both the leaf and canopy scale. Fourth, elevated CO(2) stimulates dark respiration via a transcriptional reprogramming of metabolism. Fifth, elevated CO(2) does not directly stimulate C(4) photosynthesis, but can indirectly stimulate carbon gain in times and places of drought. Finally, the stimulation of yield by elevated CO(2) in crop species is much smaller than expected. While many of these lessons have been most clearly demonstrated in crop systems, all of the lessons have important implications for natural systems.", "author" : [ { "dropping-particle" : "", "family" : "Leakey", "given" : "Andrew D B", "non-dropping-particle" : "", "parse-names" : false, "suffix" : "" }, { "dropping-particle" : "", "family" : "Ainsworth", "given" : "Elizabeth A", "non-dropping-particle" : "", "parse-names" : false, "suffix" : "" }, { "dropping-particle" : "", "family" : "Bernacchi", "given" : "Carl J", "non-dropping-particle" : "", "parse-names" : false, "suffix" : "" }, { "dropping-particle" : "", "family" : "Rogers", "given" : "Alistair", "non-dropping-particle" : "", "parse-names" : false, "suffix" : "" }, { "dropping-particle" : "", "family" : "Long", "given" : "Stephen P", "non-dropping-particle" : "", "parse-names" : false, "suffix" : "" }, { "dropping-particle" : "", "family" : "Ort", "given" : "Donald R", "non-dropping-particle" : "", "parse-names" : false, "suffix" : "" } ], "container-title" : "Journal of Experimental Botany", "id" : "ITEM-3", "issue" : "10", "issued" : { "date-parts" : [ [ "2009", "1" ] ] }, "page" : "2859-76", "title" : "Elevated CO2 effects on plant carbon, nitrogen, and water relations: six important lessons from FACE.", "type" : "article-journal", "volume" : "60" }, "uris" : [ "http://www.mendeley.com/documents/?uuid=dc3f8de3-43ba-4bf8-9cab-0496484e7348" ] } ], "mendeley" : { "formattedCitation" : "(Long &lt;i&gt;et al.&lt;/i&gt;, 2006&lt;i&gt;a&lt;/i&gt;; Ainsworth &lt;i&gt;et al.&lt;/i&gt;, 2008&lt;i&gt;a&lt;/i&gt;; Leakey &lt;i&gt;et al.&lt;/i&gt;, 2009)", "manualFormatting" : " (Long et al., 2006a; Ainsworth et al., 2008a; Leakey et al., 2009)", "plainTextFormattedCitation" : "(Long et al., 2006a; Ainsworth et al., 2008a; Leakey et al., 2009)", "previouslyFormattedCitation" : "(Long &lt;i&gt;et al.&lt;/i&gt;, 2006&lt;i&gt;a&lt;/i&gt;; Ainsworth &lt;i&gt;et al.&lt;/i&gt;, 2008&lt;i&gt;a&lt;/i&gt;; Leakey &lt;i&gt;et al.&lt;/i&gt;, 2009)"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 xml:space="preserve"> (Long </w:t>
      </w:r>
      <w:r w:rsidRPr="00531789">
        <w:rPr>
          <w:rFonts w:ascii="Cambria" w:hAnsi="Cambria" w:cs="Arial"/>
          <w:i/>
          <w:noProof/>
        </w:rPr>
        <w:t>et al</w:t>
      </w:r>
      <w:r w:rsidRPr="00531789">
        <w:rPr>
          <w:rFonts w:ascii="Cambria" w:hAnsi="Cambria" w:cs="Arial"/>
          <w:noProof/>
        </w:rPr>
        <w:t xml:space="preserve">., 2006a; Ainsworth </w:t>
      </w:r>
      <w:r w:rsidRPr="00531789">
        <w:rPr>
          <w:rFonts w:ascii="Cambria" w:hAnsi="Cambria" w:cs="Arial"/>
          <w:i/>
          <w:noProof/>
        </w:rPr>
        <w:t>et al</w:t>
      </w:r>
      <w:r w:rsidRPr="00531789">
        <w:rPr>
          <w:rFonts w:ascii="Cambria" w:hAnsi="Cambria" w:cs="Arial"/>
          <w:noProof/>
        </w:rPr>
        <w:t>., 2008</w:t>
      </w:r>
      <w:r>
        <w:rPr>
          <w:rFonts w:ascii="Cambria" w:hAnsi="Cambria" w:cs="Arial"/>
          <w:i/>
          <w:noProof/>
        </w:rPr>
        <w:t>a</w:t>
      </w:r>
      <w:r w:rsidRPr="00531789">
        <w:rPr>
          <w:rFonts w:ascii="Cambria" w:hAnsi="Cambria" w:cs="Arial"/>
          <w:noProof/>
        </w:rPr>
        <w:t xml:space="preserve">; Leakey </w:t>
      </w:r>
      <w:r w:rsidRPr="00531789">
        <w:rPr>
          <w:rFonts w:ascii="Cambria" w:hAnsi="Cambria" w:cs="Arial"/>
          <w:i/>
          <w:noProof/>
        </w:rPr>
        <w:t>et al</w:t>
      </w:r>
      <w:r w:rsidRPr="00531789">
        <w:rPr>
          <w:rFonts w:ascii="Cambria" w:hAnsi="Cambria" w:cs="Arial"/>
          <w:noProof/>
        </w:rPr>
        <w:t>., 2009)</w:t>
      </w:r>
      <w:r w:rsidRPr="00531789">
        <w:rPr>
          <w:rFonts w:ascii="Cambria" w:hAnsi="Cambria" w:cs="Arial"/>
        </w:rPr>
        <w:fldChar w:fldCharType="end"/>
      </w:r>
      <w:r w:rsidRPr="00531789">
        <w:rPr>
          <w:rFonts w:ascii="Cambria" w:hAnsi="Cambria" w:cs="Arial"/>
        </w:rPr>
        <w:t>.  These results suggest a degree of sink limitation of growth, which could be due to nitrogen limitation.  Responses to CO</w:t>
      </w:r>
      <w:r w:rsidRPr="00531789">
        <w:rPr>
          <w:rFonts w:ascii="Cambria" w:hAnsi="Cambria" w:cs="Arial"/>
          <w:vertAlign w:val="subscript"/>
        </w:rPr>
        <w:t>2</w:t>
      </w:r>
      <w:r w:rsidRPr="00531789">
        <w:rPr>
          <w:rFonts w:ascii="Cambria" w:hAnsi="Cambria" w:cs="Arial"/>
        </w:rPr>
        <w:t xml:space="preserve"> do vary between species </w:t>
      </w:r>
      <w:r w:rsidRPr="00531789">
        <w:rPr>
          <w:rFonts w:ascii="Cambria" w:hAnsi="Cambria" w:cs="Arial"/>
        </w:rPr>
        <w:fldChar w:fldCharType="begin" w:fldLock="1"/>
      </w:r>
      <w:r w:rsidRPr="00531789">
        <w:rPr>
          <w:rFonts w:ascii="Cambria" w:hAnsi="Cambria" w:cs="Arial"/>
        </w:rPr>
        <w:instrText>ADDIN CSL_CITATION { "citationItems" : [ { "id" : "ITEM-1", "itemData" : { "author" : [ { "dropping-particle" : "", "family" : "Poorter", "given" : "Hendrik", "non-dropping-particle" : "", "parse-names" : false, "suffix" : "" } ], "container-title" : "Vegetatio", "id" : "ITEM-1", "issued" : { "date-parts" : [ [ "1993" ] ] }, "page" : "77-97", "title" : "Interspecific variation in the growth response of plants to an elevated ambient CO2 concentration", "type" : "article-journal", "volume" : "104" }, "uris" : [ "http://www.mendeley.com/documents/?uuid=14eda38a-16de-4e11-923e-34aa65c0368c" ] } ], "mendeley" : { "formattedCitation" : "(Poorter, 1993)", "plainTextFormattedCitation" : "(Poorter, 1993)", "previouslyFormattedCitation" : "(Poorter, 1993)"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(Poorter, 1993)</w:t>
      </w:r>
      <w:r w:rsidRPr="00531789">
        <w:rPr>
          <w:rFonts w:ascii="Cambria" w:hAnsi="Cambria" w:cs="Arial"/>
        </w:rPr>
        <w:fldChar w:fldCharType="end"/>
      </w:r>
      <w:r w:rsidRPr="00531789">
        <w:rPr>
          <w:rFonts w:ascii="Cambria" w:hAnsi="Cambria" w:cs="Arial"/>
        </w:rPr>
        <w:t xml:space="preserve"> and some plants are able to </w:t>
      </w:r>
      <w:proofErr w:type="spellStart"/>
      <w:r w:rsidRPr="00531789">
        <w:rPr>
          <w:rFonts w:ascii="Cambria" w:hAnsi="Cambria" w:cs="Arial"/>
        </w:rPr>
        <w:t>upregulate</w:t>
      </w:r>
      <w:proofErr w:type="spellEnd"/>
      <w:r w:rsidRPr="00531789">
        <w:rPr>
          <w:rFonts w:ascii="Cambria" w:hAnsi="Cambria" w:cs="Arial"/>
        </w:rPr>
        <w:t xml:space="preserve"> source and sink in concert.  For example, high CO</w:t>
      </w:r>
      <w:r w:rsidRPr="00531789">
        <w:rPr>
          <w:rFonts w:ascii="Cambria" w:hAnsi="Cambria" w:cs="Arial"/>
          <w:vertAlign w:val="subscript"/>
        </w:rPr>
        <w:t>2</w:t>
      </w:r>
      <w:r w:rsidRPr="00531789">
        <w:rPr>
          <w:rFonts w:ascii="Cambria" w:hAnsi="Cambria" w:cs="Arial"/>
        </w:rPr>
        <w:t xml:space="preserve"> can stimulate nitrate uptake to balance source and sink capacity </w:t>
      </w:r>
      <w:r w:rsidRPr="00531789">
        <w:rPr>
          <w:rFonts w:ascii="Cambria" w:hAnsi="Cambria" w:cs="Arial"/>
        </w:rPr>
        <w:fldChar w:fldCharType="begin" w:fldLock="1"/>
      </w:r>
      <w:r w:rsidRPr="00531789">
        <w:rPr>
          <w:rFonts w:ascii="Cambria" w:hAnsi="Cambria" w:cs="Arial"/>
        </w:rPr>
        <w:instrText>ADDIN CSL_CITATION { "citationItems" : [ { "id" : "ITEM-1", "itemData" : { "DOI" : "10.1046/j.1365-3040.1999.00386.x", "ISSN" : "0140-7791", "author" : [ { "dropping-particle" : "", "family" : "Stitt", "given" : "M.", "non-dropping-particle" : "", "parse-names" : false, "suffix" : "" }, { "dropping-particle" : "", "family" : "Krapp", "given" : "A.", "non-dropping-particle" : "", "parse-names" : false, "suffix" : "" } ], "container-title" : "Plant, Cell &amp; Environment", "id" : "ITEM-1", "issue" : "6", "issued" : { "date-parts" : [ [ "1999", "6" ] ] }, "page" : "583-621", "title" : "The interaction between elevated carbon dioxide and nitrogen nutrition: the physiological and molecular background", "type" : "article-journal", "volume" : "22" }, "uris" : [ "http://www.mendeley.com/documents/?uuid=12d0f917-f3d6-43c6-92fa-0d13f38659a0" ] } ], "mendeley" : { "formattedCitation" : "(Stitt and Krapp, 1999)", "plainTextFormattedCitation" : "(Stitt and Krapp, 1999)", "previouslyFormattedCitation" : "(Stitt and Krapp, 1999)"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(Stitt and Krapp, 1999)</w:t>
      </w:r>
      <w:r w:rsidRPr="00531789">
        <w:rPr>
          <w:rFonts w:ascii="Cambria" w:hAnsi="Cambria" w:cs="Arial"/>
        </w:rPr>
        <w:fldChar w:fldCharType="end"/>
      </w:r>
      <w:r w:rsidRPr="00531789">
        <w:rPr>
          <w:rFonts w:ascii="Cambria" w:hAnsi="Cambria" w:cs="Arial"/>
        </w:rPr>
        <w:t>.  When external nitrate levels are low, elevated CO</w:t>
      </w:r>
      <w:r w:rsidRPr="00531789">
        <w:rPr>
          <w:rFonts w:ascii="Cambria" w:hAnsi="Cambria" w:cs="Arial"/>
          <w:vertAlign w:val="subscript"/>
        </w:rPr>
        <w:t>2</w:t>
      </w:r>
      <w:r w:rsidRPr="00531789">
        <w:rPr>
          <w:rFonts w:ascii="Cambria" w:hAnsi="Cambria" w:cs="Arial"/>
        </w:rPr>
        <w:t xml:space="preserve"> levels cause an increase in both the rate of nitrate uptake and the activity of a high affinity nitrate transport system in wheat roots </w:t>
      </w:r>
      <w:r w:rsidRPr="00531789">
        <w:rPr>
          <w:rFonts w:ascii="Cambria" w:hAnsi="Cambria" w:cs="Arial"/>
        </w:rPr>
        <w:fldChar w:fldCharType="begin" w:fldLock="1"/>
      </w:r>
      <w:r>
        <w:rPr>
          <w:rFonts w:ascii="Cambria" w:hAnsi="Cambria" w:cs="Arial"/>
        </w:rPr>
        <w:instrText>ADDIN CSL_CITATION { "citationItems" : [ { "id" : "ITEM-1", "itemData" : { "author" : [ { "dropping-particle" : "", "family" : "Lekshmy", "given" : "S.", "non-dropping-particle" : "", "parse-names" : false, "suffix" : "" }, { "dropping-particle" : "", "family" : "Jain", "given" : "Vanita", "non-dropping-particle" : "", "parse-names" : false, "suffix" : "" }, { "dropping-particle" : "", "family" : "Khetarpal", "given" : "Sangeeta", "non-dropping-particle" : "", "parse-names" : false, "suffix" : "" }, { "dropping-particle" : "", "family" : "Pandey", "given" : "Renu", "non-dropping-particle" : "", "parse-names" : false, "suffix" : "" }, { "dropping-particle" : "", "family" : "Singh", "given" : "Rajendra", "non-dropping-particle" : "", "parse-names" : false, "suffix" : "" } ], "container-title" : "Indian Journal of Plant Physiology", "id" : "ITEM-1", "issue" : "1", "issued" : { "date-parts" : [ [ "2009" ] ] }, "page" : "16-22", "title" : "Effect of elevated carbon dioxide on kinetics of nitrate uptake in wheat roots", "type" : "article-journal", "volume" : "14" }, "uris" : [ "http://www.mendeley.com/documents/?uuid=d16ef5db-d5cf-4263-b80d-bc71ad99d6a2" ] } ], "mendeley" : { "formattedCitation" : "(Lekshmy &lt;i&gt;et al.&lt;/i&gt;, 2009)", "plainTextFormattedCitation" : "(Lekshmy et al., 2009)", "previouslyFormattedCitation" : "(Lekshmy &lt;i&gt;et al.&lt;/i&gt;, 2009)"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(Lekshmy </w:t>
      </w:r>
      <w:r w:rsidRPr="002C5907">
        <w:rPr>
          <w:rFonts w:ascii="Cambria" w:hAnsi="Cambria" w:cs="Arial"/>
          <w:i/>
          <w:noProof/>
        </w:rPr>
        <w:t>et al.</w:t>
      </w:r>
      <w:r w:rsidRPr="002C5907">
        <w:rPr>
          <w:rFonts w:ascii="Cambria" w:hAnsi="Cambria" w:cs="Arial"/>
          <w:noProof/>
        </w:rPr>
        <w:t>, 2009)</w:t>
      </w:r>
      <w:r w:rsidRPr="00531789">
        <w:rPr>
          <w:rFonts w:ascii="Cambria" w:hAnsi="Cambria" w:cs="Arial"/>
        </w:rPr>
        <w:fldChar w:fldCharType="end"/>
      </w:r>
      <w:r w:rsidRPr="00531789">
        <w:rPr>
          <w:rFonts w:ascii="Cambria" w:hAnsi="Cambria" w:cs="Arial"/>
        </w:rPr>
        <w:t xml:space="preserve">, representing an </w:t>
      </w:r>
      <w:proofErr w:type="spellStart"/>
      <w:r w:rsidRPr="00531789">
        <w:rPr>
          <w:rFonts w:ascii="Cambria" w:hAnsi="Cambria" w:cs="Arial"/>
        </w:rPr>
        <w:t>upregulation</w:t>
      </w:r>
      <w:proofErr w:type="spellEnd"/>
      <w:r w:rsidRPr="00531789">
        <w:rPr>
          <w:rFonts w:ascii="Cambria" w:hAnsi="Cambria" w:cs="Arial"/>
        </w:rPr>
        <w:t xml:space="preserve"> of nitrogen source strength through increased activity (Equation 1).</w:t>
      </w:r>
    </w:p>
    <w:p w14:paraId="5353A38C" w14:textId="77777777" w:rsidR="00DF4522" w:rsidRPr="00531789" w:rsidRDefault="00DF4522" w:rsidP="00DF4522">
      <w:pPr>
        <w:spacing w:line="360" w:lineRule="auto"/>
        <w:jc w:val="both"/>
        <w:rPr>
          <w:rFonts w:ascii="Cambria" w:hAnsi="Cambria" w:cs="Arial"/>
        </w:rPr>
      </w:pPr>
    </w:p>
    <w:p w14:paraId="4AB6107E"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In order to improve crop yields, a greater, more integrated understanding of how plant growth rates are limited by sinks and sources for carbon and nitrogen, and the shifts in limitation that occur during the lifetime of a plant, is required.  Only by grounding modelling and experimental work in mechanistic knowledge of </w:t>
      </w:r>
      <w:proofErr w:type="spellStart"/>
      <w:r w:rsidRPr="00531789">
        <w:rPr>
          <w:rFonts w:ascii="Cambria" w:hAnsi="Cambria" w:cs="Arial"/>
        </w:rPr>
        <w:t>source:sink</w:t>
      </w:r>
      <w:proofErr w:type="spellEnd"/>
      <w:r w:rsidRPr="00531789">
        <w:rPr>
          <w:rFonts w:ascii="Cambria" w:hAnsi="Cambria" w:cs="Arial"/>
        </w:rPr>
        <w:t xml:space="preserve"> relationships will plant growth be effectively understood – and potentially manipulated – at every stage of development in order to maximise yield.</w:t>
      </w:r>
    </w:p>
    <w:p w14:paraId="45A39B6C" w14:textId="77777777" w:rsidR="00DF4522" w:rsidRPr="00531789" w:rsidRDefault="00DF4522" w:rsidP="00DF4522">
      <w:pPr>
        <w:spacing w:line="360" w:lineRule="auto"/>
        <w:jc w:val="both"/>
        <w:rPr>
          <w:rFonts w:ascii="Cambria" w:hAnsi="Cambria" w:cs="Arial"/>
        </w:rPr>
      </w:pPr>
    </w:p>
    <w:p w14:paraId="308E5C6C" w14:textId="77777777" w:rsidR="00DF4522" w:rsidRDefault="00DF4522" w:rsidP="00DF4522">
      <w:pPr>
        <w:pStyle w:val="Heading2"/>
        <w:rPr>
          <w:rFonts w:ascii="Cambria" w:hAnsi="Cambria"/>
          <w:color w:val="auto"/>
        </w:rPr>
      </w:pPr>
      <w:bookmarkStart w:id="39" w:name="_Toc322267580"/>
      <w:bookmarkStart w:id="40" w:name="_Toc322267702"/>
      <w:bookmarkStart w:id="41" w:name="_Toc322267866"/>
      <w:bookmarkStart w:id="42" w:name="_Toc331253009"/>
      <w:r w:rsidRPr="00531789">
        <w:rPr>
          <w:rFonts w:ascii="Cambria" w:hAnsi="Cambria"/>
          <w:color w:val="auto"/>
        </w:rPr>
        <w:t>S</w:t>
      </w:r>
      <w:bookmarkEnd w:id="39"/>
      <w:bookmarkEnd w:id="40"/>
      <w:bookmarkEnd w:id="41"/>
      <w:r>
        <w:rPr>
          <w:rFonts w:ascii="Cambria" w:hAnsi="Cambria"/>
          <w:color w:val="auto"/>
        </w:rPr>
        <w:t>OURCES AND SINKS AFFECT GROWTH AND YIELD</w:t>
      </w:r>
      <w:bookmarkEnd w:id="42"/>
    </w:p>
    <w:p w14:paraId="607C5B12" w14:textId="77777777" w:rsidR="00DF4522" w:rsidRPr="00BE3F76" w:rsidRDefault="00DF4522" w:rsidP="00DF4522"/>
    <w:p w14:paraId="1DBEB874" w14:textId="77777777" w:rsidR="00DF4522" w:rsidRPr="00531789" w:rsidRDefault="00DF4522" w:rsidP="00DF4522">
      <w:pPr>
        <w:spacing w:line="360" w:lineRule="auto"/>
        <w:jc w:val="both"/>
        <w:rPr>
          <w:rFonts w:ascii="Cambria" w:hAnsi="Cambria" w:cs="Arial"/>
        </w:rPr>
      </w:pPr>
      <w:r w:rsidRPr="00531789">
        <w:rPr>
          <w:rFonts w:ascii="Cambria" w:hAnsi="Cambria" w:cs="Arial"/>
        </w:rPr>
        <w:t>Evidence that growth may be controlled by both source and sink strengths comes from manipulation experiments and studies of natural variation among species.</w:t>
      </w:r>
    </w:p>
    <w:p w14:paraId="38B6F7BC" w14:textId="77777777" w:rsidR="00DF4522" w:rsidRPr="00531789" w:rsidRDefault="00DF4522" w:rsidP="00DF4522">
      <w:pPr>
        <w:spacing w:line="360" w:lineRule="auto"/>
        <w:jc w:val="both"/>
        <w:rPr>
          <w:rFonts w:ascii="Cambria" w:hAnsi="Cambria" w:cs="Arial"/>
        </w:rPr>
      </w:pPr>
    </w:p>
    <w:p w14:paraId="5E4AA69C" w14:textId="77777777" w:rsidR="00DF4522" w:rsidRPr="00531789" w:rsidRDefault="00DF4522" w:rsidP="00DF4522">
      <w:pPr>
        <w:spacing w:line="360" w:lineRule="auto"/>
        <w:jc w:val="both"/>
        <w:rPr>
          <w:rFonts w:ascii="Cambria" w:hAnsi="Cambria" w:cs="Arial"/>
          <w:b/>
        </w:rPr>
      </w:pPr>
      <w:r w:rsidRPr="00531789">
        <w:rPr>
          <w:rFonts w:ascii="Cambria" w:hAnsi="Cambria" w:cs="Arial"/>
          <w:b/>
        </w:rPr>
        <w:t>Manipulation experiments</w:t>
      </w:r>
    </w:p>
    <w:p w14:paraId="70E69B2A" w14:textId="77777777" w:rsidR="00DF4522" w:rsidRPr="00531789" w:rsidRDefault="00DF4522" w:rsidP="00DF4522">
      <w:pPr>
        <w:spacing w:line="360" w:lineRule="auto"/>
        <w:jc w:val="both"/>
        <w:rPr>
          <w:rFonts w:ascii="Cambria" w:hAnsi="Cambria" w:cs="Arial"/>
        </w:rPr>
      </w:pPr>
    </w:p>
    <w:p w14:paraId="59DB9B0F" w14:textId="77777777" w:rsidR="00DF4522" w:rsidRDefault="00DF4522" w:rsidP="00DF4522">
      <w:pPr>
        <w:spacing w:line="360" w:lineRule="auto"/>
        <w:jc w:val="both"/>
        <w:rPr>
          <w:rFonts w:ascii="Cambria" w:hAnsi="Cambria"/>
        </w:rPr>
      </w:pPr>
      <w:r w:rsidRPr="00531789">
        <w:rPr>
          <w:rFonts w:ascii="Cambria" w:hAnsi="Cambria" w:cs="Arial"/>
        </w:rPr>
        <w:t xml:space="preserve">Manipulating the </w:t>
      </w:r>
      <w:proofErr w:type="spellStart"/>
      <w:r w:rsidRPr="00531789">
        <w:rPr>
          <w:rFonts w:ascii="Cambria" w:hAnsi="Cambria" w:cs="Arial"/>
        </w:rPr>
        <w:t>source:sink</w:t>
      </w:r>
      <w:proofErr w:type="spellEnd"/>
      <w:r w:rsidRPr="00531789">
        <w:rPr>
          <w:rFonts w:ascii="Cambria" w:hAnsi="Cambria" w:cs="Arial"/>
        </w:rPr>
        <w:t xml:space="preserve"> balance shows that source and sink strengths often operate below their full potential, due to the limitations imposed by environmental and developmental changes discussed above.  Historically, such manipulations involved physically manipulating the plant or its environment: for example, source activity may be altered by elevated CO</w:t>
      </w:r>
      <w:r w:rsidRPr="00531789">
        <w:rPr>
          <w:rFonts w:ascii="Cambria" w:hAnsi="Cambria" w:cs="Arial"/>
          <w:vertAlign w:val="subscript"/>
        </w:rPr>
        <w:t>2</w:t>
      </w:r>
      <w:r w:rsidRPr="00531789">
        <w:rPr>
          <w:rFonts w:ascii="Cambria" w:hAnsi="Cambria" w:cs="Arial"/>
        </w:rPr>
        <w:t xml:space="preserve">, defoliation, or shading, while sink activity may be altered by sink removal or sink chilling.  However, modern genetic approaches may now be used to alter source and sink activity with greater elegance.  </w:t>
      </w:r>
      <w:r w:rsidRPr="00531789">
        <w:rPr>
          <w:rFonts w:ascii="Cambria" w:hAnsi="Cambria"/>
        </w:rPr>
        <w:t xml:space="preserve">Table 1 outlines a range of </w:t>
      </w:r>
      <w:proofErr w:type="spellStart"/>
      <w:r w:rsidRPr="00531789">
        <w:rPr>
          <w:rFonts w:ascii="Cambria" w:hAnsi="Cambria"/>
        </w:rPr>
        <w:t>source:sink</w:t>
      </w:r>
      <w:proofErr w:type="spellEnd"/>
      <w:r w:rsidRPr="00531789">
        <w:rPr>
          <w:rFonts w:ascii="Cambria" w:hAnsi="Cambria"/>
        </w:rPr>
        <w:t xml:space="preserve"> manipulations and summarises their results.  Broadly speaking, increasing either source or sink may increase growth, suggesting that both can limit growth to a certain extent.  Sources and sinks regulate each other by molecular feedback mechanisms (discussed later), and evidence for these is seen at the whole-plant scale when manipulation of the source affects sink activity, and </w:t>
      </w:r>
      <w:r w:rsidRPr="0079342F">
        <w:rPr>
          <w:rFonts w:ascii="Cambria" w:hAnsi="Cambria"/>
          <w:i/>
        </w:rPr>
        <w:t>vice versa</w:t>
      </w:r>
      <w:r w:rsidRPr="00531789">
        <w:rPr>
          <w:rFonts w:ascii="Cambria" w:hAnsi="Cambria"/>
        </w:rPr>
        <w:t xml:space="preserve">.  </w:t>
      </w:r>
    </w:p>
    <w:p w14:paraId="58D87194" w14:textId="77777777" w:rsidR="00DF4522" w:rsidRDefault="00DF4522" w:rsidP="00DF4522">
      <w:pPr>
        <w:jc w:val="both"/>
        <w:rPr>
          <w:rFonts w:ascii="Cambria" w:hAnsi="Cambria"/>
        </w:rPr>
      </w:pPr>
    </w:p>
    <w:p w14:paraId="028A2086" w14:textId="77777777" w:rsidR="00DF4522" w:rsidRPr="00943850" w:rsidRDefault="00DF4522" w:rsidP="00DF4522">
      <w:pPr>
        <w:jc w:val="both"/>
        <w:rPr>
          <w:rFonts w:ascii="Cambria" w:hAnsi="Cambria"/>
          <w:sz w:val="20"/>
          <w:szCs w:val="20"/>
        </w:rPr>
      </w:pPr>
      <w:r w:rsidRPr="00943850">
        <w:rPr>
          <w:rFonts w:ascii="Cambria" w:hAnsi="Cambria"/>
          <w:b/>
          <w:sz w:val="20"/>
          <w:szCs w:val="20"/>
        </w:rPr>
        <w:t>Table 1.</w:t>
      </w:r>
      <w:r w:rsidRPr="00943850">
        <w:rPr>
          <w:rFonts w:ascii="Cambria" w:hAnsi="Cambria"/>
          <w:sz w:val="20"/>
          <w:szCs w:val="20"/>
        </w:rPr>
        <w:t xml:space="preserve">  Experimental manipulations of the carbon </w:t>
      </w:r>
      <w:proofErr w:type="spellStart"/>
      <w:r w:rsidRPr="00943850">
        <w:rPr>
          <w:rFonts w:ascii="Cambria" w:hAnsi="Cambria"/>
          <w:sz w:val="20"/>
          <w:szCs w:val="20"/>
        </w:rPr>
        <w:t>source:sink</w:t>
      </w:r>
      <w:proofErr w:type="spellEnd"/>
      <w:r w:rsidRPr="00943850">
        <w:rPr>
          <w:rFonts w:ascii="Cambria" w:hAnsi="Cambria"/>
          <w:sz w:val="20"/>
          <w:szCs w:val="20"/>
        </w:rPr>
        <w:t xml:space="preserve"> balance, illustrating that: (a) both sources and sinks affect plant growth; (b) sources and sinks regulate each other by feedback mechanisms; (c) source and sink strength can be altered by the plant, to alleviate perturbations of the </w:t>
      </w:r>
      <w:proofErr w:type="spellStart"/>
      <w:r w:rsidRPr="00943850">
        <w:rPr>
          <w:rFonts w:ascii="Cambria" w:hAnsi="Cambria"/>
          <w:sz w:val="20"/>
          <w:szCs w:val="20"/>
        </w:rPr>
        <w:t>source:sink</w:t>
      </w:r>
      <w:proofErr w:type="spellEnd"/>
      <w:r w:rsidRPr="00943850">
        <w:rPr>
          <w:rFonts w:ascii="Cambria" w:hAnsi="Cambria"/>
          <w:sz w:val="20"/>
          <w:szCs w:val="20"/>
        </w:rPr>
        <w:t xml:space="preserve"> balance.  ‘+’ denotes treatments applied in combination; ‘/’ denotes alternative treatments.</w:t>
      </w:r>
    </w:p>
    <w:p w14:paraId="080E5B6C" w14:textId="77777777" w:rsidR="00DF4522" w:rsidRDefault="00DF4522" w:rsidP="00DF4522">
      <w:pPr>
        <w:rPr>
          <w:rFonts w:ascii="Cambria" w:hAnsi="Cambria"/>
          <w:sz w:val="20"/>
          <w:szCs w:val="20"/>
          <w:lang w:val="en-US"/>
        </w:rPr>
      </w:pPr>
    </w:p>
    <w:p w14:paraId="29D5EE31" w14:textId="77777777" w:rsidR="00DF4522" w:rsidRDefault="00DF4522" w:rsidP="00DF4522">
      <w:pPr>
        <w:rPr>
          <w:rFonts w:ascii="Cambria" w:hAnsi="Cambria"/>
          <w:sz w:val="20"/>
          <w:szCs w:val="20"/>
          <w:lang w:val="en-US"/>
        </w:rPr>
      </w:pPr>
    </w:p>
    <w:p w14:paraId="0F1FA1DD" w14:textId="77777777" w:rsidR="00DF4522" w:rsidRPr="002974F8" w:rsidRDefault="00DF4522" w:rsidP="00DF4522">
      <w:pPr>
        <w:pBdr>
          <w:bar w:val="single" w:sz="4" w:color="auto"/>
        </w:pBdr>
        <w:rPr>
          <w:rFonts w:ascii="Cambria" w:hAnsi="Cambria"/>
          <w:sz w:val="20"/>
          <w:szCs w:val="20"/>
          <w:lang w:val="en-US"/>
        </w:rPr>
      </w:pPr>
    </w:p>
    <w:tbl>
      <w:tblPr>
        <w:tblStyle w:val="LightShading-Accent1"/>
        <w:tblW w:w="8755" w:type="dxa"/>
        <w:tblLayout w:type="fixed"/>
        <w:tblLook w:val="04A0" w:firstRow="1" w:lastRow="0" w:firstColumn="1" w:lastColumn="0" w:noHBand="0" w:noVBand="1"/>
      </w:tblPr>
      <w:tblGrid>
        <w:gridCol w:w="1238"/>
        <w:gridCol w:w="1705"/>
        <w:gridCol w:w="1843"/>
        <w:gridCol w:w="2552"/>
        <w:gridCol w:w="1417"/>
      </w:tblGrid>
      <w:tr w:rsidR="00DF4522" w:rsidRPr="002974F8" w14:paraId="3C6913AF" w14:textId="77777777" w:rsidTr="00FB53C0">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1238" w:type="dxa"/>
          </w:tcPr>
          <w:p w14:paraId="4B915E3C" w14:textId="77777777" w:rsidR="00DF4522" w:rsidRPr="002974F8" w:rsidRDefault="00DF4522" w:rsidP="00FB53C0">
            <w:pPr>
              <w:pBdr>
                <w:bar w:val="single" w:sz="4" w:color="auto"/>
              </w:pBdr>
              <w:rPr>
                <w:rFonts w:ascii="Cambria" w:hAnsi="Cambria"/>
                <w:sz w:val="20"/>
                <w:szCs w:val="20"/>
              </w:rPr>
            </w:pPr>
            <w:r w:rsidRPr="002974F8">
              <w:rPr>
                <w:rFonts w:ascii="Cambria" w:hAnsi="Cambria"/>
                <w:sz w:val="20"/>
                <w:szCs w:val="20"/>
              </w:rPr>
              <w:t>Species</w:t>
            </w:r>
          </w:p>
        </w:tc>
        <w:tc>
          <w:tcPr>
            <w:tcW w:w="1705" w:type="dxa"/>
          </w:tcPr>
          <w:p w14:paraId="22D8F5CF" w14:textId="77777777" w:rsidR="00DF4522" w:rsidRPr="002974F8" w:rsidRDefault="00DF4522" w:rsidP="00FB53C0">
            <w:pPr>
              <w:pBdr>
                <w:bar w:val="single" w:sz="4" w:color="auto"/>
              </w:pBdr>
              <w:tabs>
                <w:tab w:val="center" w:pos="1639"/>
              </w:tabs>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Manipulation</w:t>
            </w:r>
          </w:p>
        </w:tc>
        <w:tc>
          <w:tcPr>
            <w:tcW w:w="1843" w:type="dxa"/>
          </w:tcPr>
          <w:p w14:paraId="785AC570" w14:textId="77777777" w:rsidR="00DF4522" w:rsidRPr="002974F8" w:rsidRDefault="00DF4522" w:rsidP="00FB53C0">
            <w:pPr>
              <w:pBdr>
                <w:bar w:val="single" w:sz="4" w:color="auto"/>
              </w:pBdr>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Effect</w:t>
            </w:r>
          </w:p>
        </w:tc>
        <w:tc>
          <w:tcPr>
            <w:tcW w:w="2552" w:type="dxa"/>
          </w:tcPr>
          <w:p w14:paraId="4D553F37" w14:textId="77777777" w:rsidR="00DF4522" w:rsidRPr="002974F8" w:rsidRDefault="00DF4522" w:rsidP="00FB53C0">
            <w:pPr>
              <w:pBdr>
                <w:bar w:val="single" w:sz="4" w:color="auto"/>
              </w:pBdr>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Pr>
                <w:rFonts w:ascii="Cambria" w:hAnsi="Cambria"/>
                <w:sz w:val="20"/>
                <w:szCs w:val="20"/>
              </w:rPr>
              <w:t>Key r</w:t>
            </w:r>
            <w:r w:rsidRPr="002974F8">
              <w:rPr>
                <w:rFonts w:ascii="Cambria" w:hAnsi="Cambria"/>
                <w:sz w:val="20"/>
                <w:szCs w:val="20"/>
              </w:rPr>
              <w:t>esult</w:t>
            </w:r>
          </w:p>
        </w:tc>
        <w:tc>
          <w:tcPr>
            <w:tcW w:w="1417" w:type="dxa"/>
          </w:tcPr>
          <w:p w14:paraId="5A66FF9D" w14:textId="77777777" w:rsidR="00DF4522" w:rsidRPr="002974F8" w:rsidRDefault="00DF4522" w:rsidP="00FB53C0">
            <w:pPr>
              <w:pBdr>
                <w:bar w:val="single" w:sz="4" w:color="auto"/>
              </w:pBdr>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Reference</w:t>
            </w:r>
          </w:p>
        </w:tc>
      </w:tr>
      <w:tr w:rsidR="00DF4522" w:rsidRPr="002974F8" w14:paraId="744E3EAD" w14:textId="77777777" w:rsidTr="00FB53C0">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8755" w:type="dxa"/>
            <w:gridSpan w:val="5"/>
          </w:tcPr>
          <w:p w14:paraId="2624FEC3" w14:textId="77777777" w:rsidR="00DF4522" w:rsidRPr="002974F8" w:rsidRDefault="00DF4522" w:rsidP="00FB53C0">
            <w:pPr>
              <w:pBdr>
                <w:bar w:val="single" w:sz="4" w:color="auto"/>
              </w:pBdr>
              <w:jc w:val="center"/>
              <w:rPr>
                <w:rFonts w:ascii="Cambria" w:hAnsi="Cambria"/>
                <w:sz w:val="20"/>
                <w:szCs w:val="20"/>
              </w:rPr>
            </w:pPr>
            <w:r w:rsidRPr="002974F8">
              <w:rPr>
                <w:rFonts w:ascii="Cambria" w:hAnsi="Cambria"/>
                <w:sz w:val="20"/>
                <w:szCs w:val="20"/>
              </w:rPr>
              <w:t>SOURCE MANIPULATIONS</w:t>
            </w:r>
          </w:p>
        </w:tc>
      </w:tr>
      <w:tr w:rsidR="00DF4522" w:rsidRPr="002974F8" w14:paraId="3915C1CB" w14:textId="77777777" w:rsidTr="00FB53C0">
        <w:trPr>
          <w:trHeight w:val="951"/>
        </w:trPr>
        <w:tc>
          <w:tcPr>
            <w:cnfStyle w:val="001000000000" w:firstRow="0" w:lastRow="0" w:firstColumn="1" w:lastColumn="0" w:oddVBand="0" w:evenVBand="0" w:oddHBand="0" w:evenHBand="0" w:firstRowFirstColumn="0" w:firstRowLastColumn="0" w:lastRowFirstColumn="0" w:lastRowLastColumn="0"/>
            <w:tcW w:w="1238" w:type="dxa"/>
            <w:tcBorders>
              <w:right w:val="nil"/>
            </w:tcBorders>
          </w:tcPr>
          <w:p w14:paraId="78C769C1" w14:textId="77777777" w:rsidR="00DF4522" w:rsidRPr="002974F8" w:rsidRDefault="00DF4522" w:rsidP="00FB53C0">
            <w:pPr>
              <w:pBdr>
                <w:bar w:val="single" w:sz="4" w:color="auto"/>
              </w:pBdr>
              <w:rPr>
                <w:rFonts w:ascii="Cambria" w:hAnsi="Cambria"/>
                <w:b w:val="0"/>
                <w:i/>
                <w:sz w:val="20"/>
                <w:szCs w:val="20"/>
              </w:rPr>
            </w:pPr>
            <w:r w:rsidRPr="002974F8">
              <w:rPr>
                <w:rFonts w:ascii="Cambria" w:hAnsi="Cambria"/>
                <w:b w:val="0"/>
                <w:i/>
                <w:sz w:val="20"/>
                <w:szCs w:val="20"/>
              </w:rPr>
              <w:t xml:space="preserve">Eucalyptus </w:t>
            </w:r>
            <w:proofErr w:type="spellStart"/>
            <w:r w:rsidRPr="002974F8">
              <w:rPr>
                <w:rFonts w:ascii="Cambria" w:hAnsi="Cambria"/>
                <w:b w:val="0"/>
                <w:i/>
                <w:sz w:val="20"/>
                <w:szCs w:val="20"/>
              </w:rPr>
              <w:t>globulus</w:t>
            </w:r>
            <w:proofErr w:type="spellEnd"/>
          </w:p>
        </w:tc>
        <w:tc>
          <w:tcPr>
            <w:tcW w:w="1705" w:type="dxa"/>
            <w:tcBorders>
              <w:left w:val="nil"/>
              <w:right w:val="nil"/>
            </w:tcBorders>
          </w:tcPr>
          <w:p w14:paraId="15311B82"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Defoliation</w:t>
            </w:r>
          </w:p>
          <w:p w14:paraId="17F91096"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w:t>
            </w:r>
          </w:p>
          <w:p w14:paraId="48FE1379"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roofErr w:type="spellStart"/>
            <w:r w:rsidRPr="002974F8">
              <w:rPr>
                <w:rFonts w:ascii="Cambria" w:hAnsi="Cambria"/>
                <w:sz w:val="20"/>
                <w:szCs w:val="20"/>
              </w:rPr>
              <w:t>Debudding</w:t>
            </w:r>
            <w:proofErr w:type="spellEnd"/>
            <w:r w:rsidRPr="002974F8">
              <w:rPr>
                <w:rFonts w:ascii="Cambria" w:hAnsi="Cambria"/>
                <w:sz w:val="20"/>
                <w:szCs w:val="20"/>
              </w:rPr>
              <w:t xml:space="preserve"> </w:t>
            </w:r>
          </w:p>
        </w:tc>
        <w:tc>
          <w:tcPr>
            <w:tcW w:w="1843" w:type="dxa"/>
            <w:tcBorders>
              <w:left w:val="nil"/>
              <w:right w:val="nil"/>
            </w:tcBorders>
          </w:tcPr>
          <w:p w14:paraId="563DDFA6"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Reduces source</w:t>
            </w:r>
          </w:p>
          <w:p w14:paraId="1EB9C337"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p w14:paraId="5782DBA3"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Reduces sink</w:t>
            </w:r>
          </w:p>
        </w:tc>
        <w:tc>
          <w:tcPr>
            <w:tcW w:w="2552" w:type="dxa"/>
            <w:tcBorders>
              <w:left w:val="nil"/>
              <w:right w:val="nil"/>
            </w:tcBorders>
          </w:tcPr>
          <w:p w14:paraId="5230E111"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 xml:space="preserve">Defoliation increases photosynthesis in other leaves; </w:t>
            </w:r>
            <w:proofErr w:type="spellStart"/>
            <w:r w:rsidRPr="002974F8">
              <w:rPr>
                <w:rFonts w:ascii="Cambria" w:hAnsi="Cambria"/>
                <w:sz w:val="20"/>
                <w:szCs w:val="20"/>
              </w:rPr>
              <w:t>source:sink</w:t>
            </w:r>
            <w:proofErr w:type="spellEnd"/>
            <w:r w:rsidRPr="002974F8">
              <w:rPr>
                <w:rFonts w:ascii="Cambria" w:hAnsi="Cambria"/>
                <w:sz w:val="20"/>
                <w:szCs w:val="20"/>
              </w:rPr>
              <w:t xml:space="preserve"> biomass ratio is main driver of this change</w:t>
            </w:r>
          </w:p>
        </w:tc>
        <w:tc>
          <w:tcPr>
            <w:tcW w:w="1417" w:type="dxa"/>
            <w:tcBorders>
              <w:left w:val="nil"/>
            </w:tcBorders>
          </w:tcPr>
          <w:p w14:paraId="383735BF" w14:textId="25B2FC6E" w:rsidR="00DF4522" w:rsidRPr="002974F8" w:rsidRDefault="00DF4522" w:rsidP="00CD06F5">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fldChar w:fldCharType="begin" w:fldLock="1"/>
            </w:r>
            <w:r w:rsidR="00906E41">
              <w:rPr>
                <w:rFonts w:ascii="Cambria" w:hAnsi="Cambria"/>
                <w:sz w:val="20"/>
                <w:szCs w:val="20"/>
              </w:rPr>
              <w:instrText>ADDIN CSL_CITATION { "citationItems" : [ { "id" : "ITEM-1", "itemData" : { "DOI" : "10.1093/jxb/ert017", "ISSN" : "1460-2431", "PMID" : "23382548", "abstract" : "Increases in photosynthetic capacity (A(1500)) after defoliation have been attributed to changes in leaf-level biochemistry, water, and/or nutrient status. The hypothesis that transient photosynthetic responses to partial defoliation are regulated by whole-plant (e.g. source-sink relationships or changes in hydraulic conductance) rather than leaf-level mechanisms is tested here. Temporal variation in leaf-level gas exchange, chemistry, whole-plant soil-to-leaf hydraulic conductance (K(P)), and aboveground biomass partitioning were determined to evaluate mechanisms responsible for increases in A(1500) of Eucalyptus globulus L. potted saplings. A(1500) increased in response to debudding (B), partial defoliation (D), and combined B&amp;D treatments by up to 36% at 5 weeks after treatment. Changes in leaf-level factors partly explained increases in A(1500) of B and B&amp;D treatments but not for D treatment. By week 5, saplings in B, B&amp;D, and D treatments had similar leaf-specific K(P) to control trees by maintaining lower midday water potentials and higher transpiration rate per leaf area. Whole-plant source:sink ratios correlated strongly with A(1500). Further, unlike K(P), temporal changes in source:sink ratios tracked well with those observed for A(1500). The results indicate that increases in A(1500) after partial defoliation treatments were largely driven by an increased demand for assimilate by developing sinks rather than improvements in whole-plant water relations and changes in leaf-level factors. Three carbohydrates, galactional, stachyose, and, to a lesser extent, raffinose, correlated strongly with photosynthetic capacity, indicating that these sugars may function as signalling molecules in the regulation of longer term defoliation-induced gas exchange responses.", "author" : [ { "dropping-particle" : "", "family" : "Eyles", "given" : "Alieta", "non-dropping-particle" : "", "parse-names" : false, "suffix" : "" }, { "dropping-particle" : "", "family" : "Pinkard", "given" : "Elizabeth A", "non-dropping-particle" : "", "parse-names" : false, "suffix" : "" }, { "dropping-particle" : "", "family" : "Davies", "given" : "Noel W", "non-dropping-particle" : "", "parse-names" : false, "suffix" : "" }, { "dropping-particle" : "", "family" : "Corkrey", "given" : "Ross", "non-dropping-particle" : "", "parse-names" : false, "suffix" : "" }, { "dropping-particle" : "", "family" : "Churchill", "given" : "Keith", "non-dropping-particle" : "", "parse-names" : false, "suffix" : "" }, { "dropping-particle" : "", "family" : "O'Grady", "given" : "Anthony P", "non-dropping-particle" : "", "parse-names" : false, "suffix" : "" }, { "dropping-particle" : "", "family" : "Sands", "given" : "Peter", "non-dropping-particle" : "", "parse-names" : false, "suffix" : "" }, { "dropping-particle" : "", "family" : "Mohammed", "given" : "Caroline", "non-dropping-particle" : "", "parse-names" : false, "suffix" : "" } ], "container-title" : "Journal of Experimental Botany", "id" : "ITEM-1", "issued" : { "date-parts" : [ [ "2013", "2", "4" ] ] }, "page" : "1625-1636", "title" : "Whole-plant- versus leaf-level regulation of photosynthetic responses after partial defoliation in Eucalyptus globulus saplings.", "type" : "article-journal", "volume" : "64" }, "uris" : [ "http://www.mendeley.com/documents/?uuid=806913fb-60bb-4055-8f33-a68e82fe25c6" ] } ], "mendeley" : { "formattedCitation" : "(Eyles &lt;i&gt;et al.&lt;/i&gt;, 2013&lt;i&gt;a&lt;/i&gt;)", "manualFormatting" : "Eyles et al., 2013", "plainTextFormattedCitation" : "(Eyles et al., 2013a)", "previouslyFormattedCitation" : "(Eyles &lt;i&gt;et al.&lt;/i&gt;, 2013&lt;i&gt;a&lt;/i&gt;)" }, "properties" : { "noteIndex" : 0 }, "schema" : "https://github.com/citation-style-language/schema/raw/master/csl-citation.json" }</w:instrText>
            </w:r>
            <w:r w:rsidRPr="002974F8">
              <w:rPr>
                <w:rFonts w:ascii="Cambria" w:hAnsi="Cambria"/>
                <w:sz w:val="20"/>
                <w:szCs w:val="20"/>
              </w:rPr>
              <w:fldChar w:fldCharType="separate"/>
            </w:r>
            <w:r w:rsidRPr="002C5907">
              <w:rPr>
                <w:rFonts w:ascii="Cambria" w:hAnsi="Cambria"/>
                <w:noProof/>
                <w:sz w:val="20"/>
                <w:szCs w:val="20"/>
              </w:rPr>
              <w:t xml:space="preserve">Eyles </w:t>
            </w:r>
            <w:r w:rsidRPr="002C5907">
              <w:rPr>
                <w:rFonts w:ascii="Cambria" w:hAnsi="Cambria"/>
                <w:i/>
                <w:noProof/>
                <w:sz w:val="20"/>
                <w:szCs w:val="20"/>
              </w:rPr>
              <w:t>et al.</w:t>
            </w:r>
            <w:r w:rsidRPr="002C5907">
              <w:rPr>
                <w:rFonts w:ascii="Cambria" w:hAnsi="Cambria"/>
                <w:noProof/>
                <w:sz w:val="20"/>
                <w:szCs w:val="20"/>
              </w:rPr>
              <w:t>, 2013</w:t>
            </w:r>
            <w:r w:rsidRPr="002974F8">
              <w:rPr>
                <w:rFonts w:ascii="Cambria" w:hAnsi="Cambria"/>
                <w:sz w:val="20"/>
                <w:szCs w:val="20"/>
              </w:rPr>
              <w:fldChar w:fldCharType="end"/>
            </w:r>
          </w:p>
        </w:tc>
      </w:tr>
      <w:tr w:rsidR="00DF4522" w:rsidRPr="002974F8" w14:paraId="544A4223" w14:textId="77777777" w:rsidTr="00FB53C0">
        <w:trPr>
          <w:cnfStyle w:val="000000100000" w:firstRow="0" w:lastRow="0" w:firstColumn="0" w:lastColumn="0" w:oddVBand="0" w:evenVBand="0" w:oddHBand="1" w:evenHBand="0" w:firstRowFirstColumn="0" w:firstRowLastColumn="0" w:lastRowFirstColumn="0" w:lastRowLastColumn="0"/>
          <w:trHeight w:val="951"/>
        </w:trPr>
        <w:tc>
          <w:tcPr>
            <w:cnfStyle w:val="001000000000" w:firstRow="0" w:lastRow="0" w:firstColumn="1" w:lastColumn="0" w:oddVBand="0" w:evenVBand="0" w:oddHBand="0" w:evenHBand="0" w:firstRowFirstColumn="0" w:firstRowLastColumn="0" w:lastRowFirstColumn="0" w:lastRowLastColumn="0"/>
            <w:tcW w:w="1238" w:type="dxa"/>
          </w:tcPr>
          <w:p w14:paraId="12B867AF" w14:textId="77777777" w:rsidR="00DF4522" w:rsidRPr="002974F8" w:rsidRDefault="00DF4522" w:rsidP="00FB53C0">
            <w:pPr>
              <w:pBdr>
                <w:bar w:val="single" w:sz="4" w:color="auto"/>
              </w:pBdr>
              <w:rPr>
                <w:rFonts w:ascii="Cambria" w:hAnsi="Cambria"/>
                <w:b w:val="0"/>
                <w:i/>
                <w:sz w:val="20"/>
                <w:szCs w:val="20"/>
              </w:rPr>
            </w:pPr>
            <w:r w:rsidRPr="002974F8">
              <w:rPr>
                <w:rFonts w:ascii="Cambria" w:hAnsi="Cambria"/>
                <w:b w:val="0"/>
                <w:sz w:val="20"/>
                <w:szCs w:val="20"/>
              </w:rPr>
              <w:t xml:space="preserve">Three chalk grassland species </w:t>
            </w:r>
          </w:p>
        </w:tc>
        <w:tc>
          <w:tcPr>
            <w:tcW w:w="1705" w:type="dxa"/>
          </w:tcPr>
          <w:p w14:paraId="476E5D5F"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 xml:space="preserve">Defoliation </w:t>
            </w:r>
          </w:p>
          <w:p w14:paraId="7000D336"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 xml:space="preserve">+ </w:t>
            </w:r>
          </w:p>
          <w:p w14:paraId="6AB3A651"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Elevated CO</w:t>
            </w:r>
            <w:r w:rsidRPr="002974F8">
              <w:rPr>
                <w:rFonts w:ascii="Cambria" w:hAnsi="Cambria"/>
                <w:sz w:val="20"/>
                <w:szCs w:val="20"/>
                <w:vertAlign w:val="subscript"/>
              </w:rPr>
              <w:t>2</w:t>
            </w:r>
            <w:r w:rsidRPr="002974F8">
              <w:rPr>
                <w:rFonts w:ascii="Cambria" w:hAnsi="Cambria"/>
                <w:sz w:val="20"/>
                <w:szCs w:val="20"/>
              </w:rPr>
              <w:t xml:space="preserve"> </w:t>
            </w:r>
          </w:p>
        </w:tc>
        <w:tc>
          <w:tcPr>
            <w:tcW w:w="1843" w:type="dxa"/>
          </w:tcPr>
          <w:p w14:paraId="09005A41"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Reduces source</w:t>
            </w:r>
          </w:p>
          <w:p w14:paraId="6D932782"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p>
          <w:p w14:paraId="415F9366"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Increases source</w:t>
            </w:r>
          </w:p>
        </w:tc>
        <w:tc>
          <w:tcPr>
            <w:tcW w:w="2552" w:type="dxa"/>
          </w:tcPr>
          <w:p w14:paraId="0AA67C8F"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In two species, photosynthetic acclimation to elevated CO</w:t>
            </w:r>
            <w:r w:rsidRPr="002974F8">
              <w:rPr>
                <w:rFonts w:ascii="Cambria" w:hAnsi="Cambria"/>
                <w:sz w:val="20"/>
                <w:szCs w:val="20"/>
                <w:vertAlign w:val="subscript"/>
              </w:rPr>
              <w:t>2</w:t>
            </w:r>
            <w:r w:rsidRPr="002974F8">
              <w:rPr>
                <w:rFonts w:ascii="Cambria" w:hAnsi="Cambria"/>
                <w:sz w:val="20"/>
                <w:szCs w:val="20"/>
              </w:rPr>
              <w:t xml:space="preserve"> was alleviated by defoliation, which restores the </w:t>
            </w:r>
            <w:proofErr w:type="spellStart"/>
            <w:r w:rsidRPr="002974F8">
              <w:rPr>
                <w:rFonts w:ascii="Cambria" w:hAnsi="Cambria"/>
                <w:sz w:val="20"/>
                <w:szCs w:val="20"/>
              </w:rPr>
              <w:t>source:sink</w:t>
            </w:r>
            <w:proofErr w:type="spellEnd"/>
            <w:r w:rsidRPr="002974F8">
              <w:rPr>
                <w:rFonts w:ascii="Cambria" w:hAnsi="Cambria"/>
                <w:sz w:val="20"/>
                <w:szCs w:val="20"/>
              </w:rPr>
              <w:t xml:space="preserve"> balance</w:t>
            </w:r>
          </w:p>
        </w:tc>
        <w:tc>
          <w:tcPr>
            <w:tcW w:w="1417" w:type="dxa"/>
          </w:tcPr>
          <w:p w14:paraId="30053EE2" w14:textId="77512AE8" w:rsidR="00DF4522" w:rsidRPr="002974F8" w:rsidRDefault="00DF4522" w:rsidP="00CD06F5">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fldChar w:fldCharType="begin" w:fldLock="1"/>
            </w:r>
            <w:r w:rsidR="00906E41">
              <w:rPr>
                <w:rFonts w:ascii="Cambria" w:hAnsi="Cambria"/>
                <w:sz w:val="20"/>
                <w:szCs w:val="20"/>
              </w:rPr>
              <w:instrText>ADDIN CSL_CITATION { "citationItems" : [ { "id" : "ITEM-1", "itemData" : { "DOI" : "10.1046/j.1365-3040.1998.00265.x", "ISSN" : "0140-7791", "abstract" : "Artificial chalk grassland swards were exposed to either ambient air or air enriched to 600 mol mol\u20131 CO2, using free-airCO2 enrichment technology, and subjected to an 8 week simulated grazing regime. After 14 months of treatment, ribulose-1,5-bisphosphate carboxylase (Rubisco) activity (Vc,max) and electron transport mediated ribulose- 1,5-bisphosphate (RuBP) regeneration capacity (Jmax), estimated from leaf gas exchange, were significantly lower in fully expanded leaves of Anthyllis vulneraria L. (a legume) and Sanguisorba minor Scop. grown in elevated CO2. After a change in source:sink balance brought about by defoliation, photosynthetic capacity was fully restored in A. vulneraria and S. minor, but acclimation continued in the grass Bromopsis erecta (Hudson) Fourr. Changes in net photosynthesis (Pn) with growth at elevated CO2 ranged from a 1\u00b76% reduction in precut leaves of A. vulneraria to a 47\u00b71% stimulation in postcut leaves of S. minor. Stomatal acclimation was observed in leaves of A. vulneraria (reduced stomatal density) and B. erecta (reduced stomatal conductance). The results are discussed in terms of whole-plant resource-use optimization and chalk grass- land community competitive interactions at elevated CO2.", "author" : [ { "dropping-particle" : "", "family" : "Bryant", "given" : "J.", "non-dropping-particle" : "", "parse-names" : false, "suffix" : "" }, { "dropping-particle" : "", "family" : "Taylor", "given" : "G.", "non-dropping-particle" : "", "parse-names" : false, "suffix" : "" }, { "dropping-particle" : "", "family" : "Frehner", "given" : "M.", "non-dropping-particle" : "", "parse-names" : false, "suffix" : "" } ], "container-title" : "Plant, Cell &amp; Environment", "id" : "ITEM-1", "issue" : "2", "issued" : { "date-parts" : [ [ "1998", "2" ] ] }, "page" : "159-168", "title" : "Photosynthetic acclimation to elevated CO2 is modified by source:sink balance in three component species of chalk grassland swards grown in a free air carbon dioxide enrichment (FACE) experiment", "type" : "article-journal", "volume" : "21" }, "uris" : [ "http://www.mendeley.com/documents/?uuid=08d06e6f-6558-4bdd-9350-c1b56acb361c" ] } ], "mendeley" : { "formattedCitation" : "(Bryant &lt;i&gt;et al.&lt;/i&gt;, 1998)", "manualFormatting" : "Bryant et al., 1998", "plainTextFormattedCitation" : "(Bryant et al., 1998)", "previouslyFormattedCitation" : "(Bryant &lt;i&gt;et al.&lt;/i&gt;, 1998)" }, "properties" : { "noteIndex" : 0 }, "schema" : "https://github.com/citation-style-language/schema/raw/master/csl-citation.json" }</w:instrText>
            </w:r>
            <w:r w:rsidRPr="002974F8">
              <w:rPr>
                <w:rFonts w:ascii="Cambria" w:hAnsi="Cambria"/>
                <w:sz w:val="20"/>
                <w:szCs w:val="20"/>
              </w:rPr>
              <w:fldChar w:fldCharType="separate"/>
            </w:r>
            <w:r w:rsidRPr="002C5907">
              <w:rPr>
                <w:rFonts w:ascii="Cambria" w:hAnsi="Cambria"/>
                <w:noProof/>
                <w:sz w:val="20"/>
                <w:szCs w:val="20"/>
              </w:rPr>
              <w:t xml:space="preserve">Bryant </w:t>
            </w:r>
            <w:r w:rsidRPr="002C5907">
              <w:rPr>
                <w:rFonts w:ascii="Cambria" w:hAnsi="Cambria"/>
                <w:i/>
                <w:noProof/>
                <w:sz w:val="20"/>
                <w:szCs w:val="20"/>
              </w:rPr>
              <w:t>et al.</w:t>
            </w:r>
            <w:r w:rsidRPr="002C5907">
              <w:rPr>
                <w:rFonts w:ascii="Cambria" w:hAnsi="Cambria"/>
                <w:noProof/>
                <w:sz w:val="20"/>
                <w:szCs w:val="20"/>
              </w:rPr>
              <w:t>, 1998</w:t>
            </w:r>
            <w:r w:rsidRPr="002974F8">
              <w:rPr>
                <w:rFonts w:ascii="Cambria" w:hAnsi="Cambria"/>
                <w:sz w:val="20"/>
                <w:szCs w:val="20"/>
              </w:rPr>
              <w:fldChar w:fldCharType="end"/>
            </w:r>
          </w:p>
        </w:tc>
      </w:tr>
      <w:tr w:rsidR="00DF4522" w:rsidRPr="002974F8" w14:paraId="0935EE08" w14:textId="77777777" w:rsidTr="00FB53C0">
        <w:trPr>
          <w:trHeight w:val="951"/>
        </w:trPr>
        <w:tc>
          <w:tcPr>
            <w:cnfStyle w:val="001000000000" w:firstRow="0" w:lastRow="0" w:firstColumn="1" w:lastColumn="0" w:oddVBand="0" w:evenVBand="0" w:oddHBand="0" w:evenHBand="0" w:firstRowFirstColumn="0" w:firstRowLastColumn="0" w:lastRowFirstColumn="0" w:lastRowLastColumn="0"/>
            <w:tcW w:w="1238" w:type="dxa"/>
            <w:tcBorders>
              <w:right w:val="nil"/>
            </w:tcBorders>
          </w:tcPr>
          <w:p w14:paraId="3FD810FB" w14:textId="77777777" w:rsidR="00DF4522" w:rsidRPr="002974F8" w:rsidRDefault="00DF4522" w:rsidP="00FB53C0">
            <w:pPr>
              <w:pBdr>
                <w:bar w:val="single" w:sz="4" w:color="auto"/>
              </w:pBdr>
              <w:rPr>
                <w:rFonts w:ascii="Cambria" w:hAnsi="Cambria"/>
                <w:b w:val="0"/>
                <w:i/>
                <w:sz w:val="20"/>
                <w:szCs w:val="20"/>
              </w:rPr>
            </w:pPr>
            <w:proofErr w:type="spellStart"/>
            <w:r w:rsidRPr="002974F8">
              <w:rPr>
                <w:rFonts w:ascii="Cambria" w:hAnsi="Cambria"/>
                <w:b w:val="0"/>
                <w:i/>
                <w:sz w:val="20"/>
                <w:szCs w:val="20"/>
              </w:rPr>
              <w:t>Lolium</w:t>
            </w:r>
            <w:proofErr w:type="spellEnd"/>
            <w:r w:rsidRPr="002974F8">
              <w:rPr>
                <w:rFonts w:ascii="Cambria" w:hAnsi="Cambria"/>
                <w:b w:val="0"/>
                <w:i/>
                <w:sz w:val="20"/>
                <w:szCs w:val="20"/>
              </w:rPr>
              <w:t xml:space="preserve"> </w:t>
            </w:r>
            <w:proofErr w:type="spellStart"/>
            <w:r w:rsidRPr="002974F8">
              <w:rPr>
                <w:rFonts w:ascii="Cambria" w:hAnsi="Cambria"/>
                <w:b w:val="0"/>
                <w:i/>
                <w:sz w:val="20"/>
                <w:szCs w:val="20"/>
              </w:rPr>
              <w:t>perenne</w:t>
            </w:r>
            <w:proofErr w:type="spellEnd"/>
          </w:p>
        </w:tc>
        <w:tc>
          <w:tcPr>
            <w:tcW w:w="1705" w:type="dxa"/>
            <w:tcBorders>
              <w:left w:val="nil"/>
              <w:right w:val="nil"/>
            </w:tcBorders>
          </w:tcPr>
          <w:p w14:paraId="5F1045F9"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 xml:space="preserve">Canopy-cutting </w:t>
            </w:r>
          </w:p>
          <w:p w14:paraId="0E5944AA"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 xml:space="preserve">+ </w:t>
            </w:r>
          </w:p>
          <w:p w14:paraId="11ABF41E"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Elevated CO</w:t>
            </w:r>
            <w:r w:rsidRPr="002974F8">
              <w:rPr>
                <w:rFonts w:ascii="Cambria" w:hAnsi="Cambria"/>
                <w:sz w:val="20"/>
                <w:szCs w:val="20"/>
                <w:vertAlign w:val="subscript"/>
              </w:rPr>
              <w:t>2</w:t>
            </w:r>
            <w:r w:rsidRPr="002974F8">
              <w:rPr>
                <w:rFonts w:ascii="Cambria" w:hAnsi="Cambria"/>
                <w:sz w:val="20"/>
                <w:szCs w:val="20"/>
              </w:rPr>
              <w:t xml:space="preserve"> </w:t>
            </w:r>
          </w:p>
        </w:tc>
        <w:tc>
          <w:tcPr>
            <w:tcW w:w="1843" w:type="dxa"/>
            <w:tcBorders>
              <w:left w:val="nil"/>
              <w:right w:val="nil"/>
            </w:tcBorders>
          </w:tcPr>
          <w:p w14:paraId="0CC0EBE2"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Reduces source</w:t>
            </w:r>
          </w:p>
          <w:p w14:paraId="6025ED6E"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p w14:paraId="2A1274DF"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Increases source</w:t>
            </w:r>
          </w:p>
        </w:tc>
        <w:tc>
          <w:tcPr>
            <w:tcW w:w="2552" w:type="dxa"/>
            <w:tcBorders>
              <w:left w:val="nil"/>
              <w:right w:val="nil"/>
            </w:tcBorders>
          </w:tcPr>
          <w:p w14:paraId="211A55AC"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Photosynthetic acclimation to elevated CO</w:t>
            </w:r>
            <w:r w:rsidRPr="002974F8">
              <w:rPr>
                <w:rFonts w:ascii="Cambria" w:hAnsi="Cambria"/>
                <w:sz w:val="20"/>
                <w:szCs w:val="20"/>
                <w:vertAlign w:val="subscript"/>
              </w:rPr>
              <w:t>2</w:t>
            </w:r>
            <w:r w:rsidRPr="002974F8">
              <w:rPr>
                <w:rFonts w:ascii="Cambria" w:hAnsi="Cambria"/>
                <w:sz w:val="20"/>
                <w:szCs w:val="20"/>
              </w:rPr>
              <w:t xml:space="preserve"> was alleviated by cutting the canopy which restores the </w:t>
            </w:r>
            <w:proofErr w:type="spellStart"/>
            <w:r w:rsidRPr="002974F8">
              <w:rPr>
                <w:rFonts w:ascii="Cambria" w:hAnsi="Cambria"/>
                <w:sz w:val="20"/>
                <w:szCs w:val="20"/>
              </w:rPr>
              <w:t>source:sink</w:t>
            </w:r>
            <w:proofErr w:type="spellEnd"/>
            <w:r w:rsidRPr="002974F8">
              <w:rPr>
                <w:rFonts w:ascii="Cambria" w:hAnsi="Cambria"/>
                <w:sz w:val="20"/>
                <w:szCs w:val="20"/>
              </w:rPr>
              <w:t xml:space="preserve"> balance</w:t>
            </w:r>
          </w:p>
        </w:tc>
        <w:tc>
          <w:tcPr>
            <w:tcW w:w="1417" w:type="dxa"/>
            <w:tcBorders>
              <w:left w:val="nil"/>
            </w:tcBorders>
          </w:tcPr>
          <w:p w14:paraId="0A5565FA" w14:textId="62BD1CE9" w:rsidR="00DF4522" w:rsidRPr="002974F8" w:rsidRDefault="00DF4522" w:rsidP="00CD06F5">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fldChar w:fldCharType="begin" w:fldLock="1"/>
            </w:r>
            <w:r w:rsidR="00906E41">
              <w:rPr>
                <w:rFonts w:ascii="Cambria" w:hAnsi="Cambria"/>
                <w:sz w:val="20"/>
                <w:szCs w:val="20"/>
              </w:rPr>
              <w:instrText>ADDIN CSL_CITATION { "citationItems" : [ { "id" : "ITEM-1", "itemData" : { "ISSN" : "1532-2548", "PMID" : "9765554", "abstract" : "Acclimation of photosynthesis to elevated CO2 has previously been shown to be more pronounced when N supply is poor. Is this a direct effect of N or an indirect effect of N by limiting the development of sinks for photoassimilate? This question was tested by growing a perennial ryegrass (Lolium perenne) in the field under elevated (60 Pa) and current (36 Pa) partial pressures of CO2 (pCO2) at low and high levels of N fertilization. Cutting of this herbage crop at 4- to 8-week intervals removed about 80% of the canopy, therefore decreasing the ratio of photosynthetic area to sinks for photoassimilate. Leaf photosynthesis, in vivo carboxylation capacity, carbohydrate, N, ribulose-1,5-bisphosphate carboxylase/oxygenase, sedoheptulose-1,7-bisphosphatase, and chloroplastic fructose-1, 6-bisphosphatase levels were determined for mature lamina during two consecutive summers. Just before the cut, when the canopy was relatively large, growth at elevated pCO2 and low N resulted in significant decreases in carboxylation capacity and the amount of ribulose-1,5-bisphosphate carboxylase/oxygenase protein. In high N there were no significant decreases in carboxylation capacity or proteins, but chloroplastic fructose-1,6-bisphosphatase protein levels increased significantly. Elevated pCO2 resulted in a marked and significant increase in leaf carbohydrate content at low N, but had no effect at high N. This acclimation at low N was absent after the harvest, when the canopy size was small. These results suggest that acclimation under low N is caused by limitation of sink development rather than being a direct effect of N supply on photosynthesis.", "author" : [ { "dropping-particle" : "", "family" : "Rogers", "given" : "A", "non-dropping-particle" : "", "parse-names" : false, "suffix" : "" }, { "dropping-particle" : "", "family" : "Fischer", "given" : "BU", "non-dropping-particle" : "", "parse-names" : false, "suffix" : "" }, { "dropping-particle" : "", "family" : "Bryant", "given" : "J", "non-dropping-particle" : "", "parse-names" : false, "suffix" : "" }, { "dropping-particle" : "", "family" : "Frehner", "given" : "M", "non-dropping-particle" : "", "parse-names" : false, "suffix" : "" }, { "dropping-particle" : "", "family" : "Blum", "given" : "H", "non-dropping-particle" : "", "parse-names" : false, "suffix" : "" }, { "dropping-particle" : "", "family" : "Raines", "given" : "CA", "non-dropping-particle" : "", "parse-names" : false, "suffix" : "" }, { "dropping-particle" : "", "family" : "Long", "given" : "SP", "non-dropping-particle" : "", "parse-names" : false, "suffix" : "" } ], "container-title" : "Plant Physiology", "id" : "ITEM-1", "issue" : "2", "issued" : { "date-parts" : [ [ "1998", "10" ] ] }, "page" : "683-9", "title" : "Acclimation of photosynthesis to elevated CO2 under low-nitrogen nutrition is affected by the capacity for assimilate utilization. Perennial ryegrass under free-air CO2 enrichment", "type" : "article-journal", "volume" : "118" }, "uris" : [ "http://www.mendeley.com/documents/?uuid=cbd02c05-1a1f-4c95-812f-93fcf1df820a" ] } ], "mendeley" : { "formattedCitation" : "(Rogers &lt;i&gt;et al.&lt;/i&gt;, 1998)", "manualFormatting" : "Rogers et al., 1998", "plainTextFormattedCitation" : "(Rogers et al., 1998)", "previouslyFormattedCitation" : "(Rogers &lt;i&gt;et al.&lt;/i&gt;, 1998)" }, "properties" : { "noteIndex" : 0 }, "schema" : "https://github.com/citation-style-language/schema/raw/master/csl-citation.json" }</w:instrText>
            </w:r>
            <w:r w:rsidRPr="002974F8">
              <w:rPr>
                <w:rFonts w:ascii="Cambria" w:hAnsi="Cambria"/>
                <w:sz w:val="20"/>
                <w:szCs w:val="20"/>
              </w:rPr>
              <w:fldChar w:fldCharType="separate"/>
            </w:r>
            <w:r w:rsidRPr="002C5907">
              <w:rPr>
                <w:rFonts w:ascii="Cambria" w:hAnsi="Cambria"/>
                <w:noProof/>
                <w:sz w:val="20"/>
                <w:szCs w:val="20"/>
              </w:rPr>
              <w:t xml:space="preserve">Rogers </w:t>
            </w:r>
            <w:r w:rsidRPr="002C5907">
              <w:rPr>
                <w:rFonts w:ascii="Cambria" w:hAnsi="Cambria"/>
                <w:i/>
                <w:noProof/>
                <w:sz w:val="20"/>
                <w:szCs w:val="20"/>
              </w:rPr>
              <w:t>et al.</w:t>
            </w:r>
            <w:r w:rsidRPr="002C5907">
              <w:rPr>
                <w:rFonts w:ascii="Cambria" w:hAnsi="Cambria"/>
                <w:noProof/>
                <w:sz w:val="20"/>
                <w:szCs w:val="20"/>
              </w:rPr>
              <w:t>, 1998</w:t>
            </w:r>
            <w:r w:rsidRPr="002974F8">
              <w:rPr>
                <w:rFonts w:ascii="Cambria" w:hAnsi="Cambria"/>
                <w:sz w:val="20"/>
                <w:szCs w:val="20"/>
              </w:rPr>
              <w:fldChar w:fldCharType="end"/>
            </w:r>
          </w:p>
        </w:tc>
      </w:tr>
      <w:tr w:rsidR="00DF4522" w:rsidRPr="002974F8" w14:paraId="267F7819" w14:textId="77777777" w:rsidTr="00FB53C0">
        <w:trPr>
          <w:cnfStyle w:val="000000100000" w:firstRow="0" w:lastRow="0" w:firstColumn="0" w:lastColumn="0" w:oddVBand="0" w:evenVBand="0" w:oddHBand="1" w:evenHBand="0" w:firstRowFirstColumn="0" w:firstRowLastColumn="0" w:lastRowFirstColumn="0" w:lastRowLastColumn="0"/>
          <w:trHeight w:val="951"/>
        </w:trPr>
        <w:tc>
          <w:tcPr>
            <w:cnfStyle w:val="001000000000" w:firstRow="0" w:lastRow="0" w:firstColumn="1" w:lastColumn="0" w:oddVBand="0" w:evenVBand="0" w:oddHBand="0" w:evenHBand="0" w:firstRowFirstColumn="0" w:firstRowLastColumn="0" w:lastRowFirstColumn="0" w:lastRowLastColumn="0"/>
            <w:tcW w:w="1238" w:type="dxa"/>
          </w:tcPr>
          <w:p w14:paraId="74F963F2" w14:textId="77777777" w:rsidR="00DF4522" w:rsidRPr="002974F8" w:rsidRDefault="00DF4522" w:rsidP="00FB53C0">
            <w:pPr>
              <w:pBdr>
                <w:bar w:val="single" w:sz="4" w:color="auto"/>
              </w:pBdr>
              <w:rPr>
                <w:rFonts w:ascii="Cambria" w:hAnsi="Cambria"/>
                <w:b w:val="0"/>
                <w:sz w:val="20"/>
                <w:szCs w:val="20"/>
              </w:rPr>
            </w:pPr>
            <w:proofErr w:type="spellStart"/>
            <w:r w:rsidRPr="002974F8">
              <w:rPr>
                <w:rFonts w:ascii="Cambria" w:hAnsi="Cambria"/>
                <w:b w:val="0"/>
                <w:i/>
                <w:sz w:val="20"/>
                <w:szCs w:val="20"/>
              </w:rPr>
              <w:t>Phaseolus</w:t>
            </w:r>
            <w:proofErr w:type="spellEnd"/>
            <w:r w:rsidRPr="002974F8">
              <w:rPr>
                <w:rFonts w:ascii="Cambria" w:hAnsi="Cambria"/>
                <w:b w:val="0"/>
                <w:i/>
                <w:sz w:val="20"/>
                <w:szCs w:val="20"/>
              </w:rPr>
              <w:t xml:space="preserve"> vulgaris</w:t>
            </w:r>
          </w:p>
        </w:tc>
        <w:tc>
          <w:tcPr>
            <w:tcW w:w="1705" w:type="dxa"/>
          </w:tcPr>
          <w:p w14:paraId="1E7C4037"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Defoliation /</w:t>
            </w:r>
          </w:p>
          <w:p w14:paraId="1FB836DA"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Reduced light</w:t>
            </w:r>
          </w:p>
          <w:p w14:paraId="791D1DDC"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w:t>
            </w:r>
          </w:p>
          <w:p w14:paraId="6D0F8ADD"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Elevated CO</w:t>
            </w:r>
            <w:r w:rsidRPr="002974F8">
              <w:rPr>
                <w:rFonts w:ascii="Cambria" w:hAnsi="Cambria"/>
                <w:sz w:val="20"/>
                <w:szCs w:val="20"/>
                <w:vertAlign w:val="subscript"/>
              </w:rPr>
              <w:t>2</w:t>
            </w:r>
          </w:p>
        </w:tc>
        <w:tc>
          <w:tcPr>
            <w:tcW w:w="1843" w:type="dxa"/>
          </w:tcPr>
          <w:p w14:paraId="084F2990"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Reduces source</w:t>
            </w:r>
          </w:p>
          <w:p w14:paraId="5FFA34BB"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p>
          <w:p w14:paraId="1CC5C559"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p>
          <w:p w14:paraId="6A30B1E2"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Increases source</w:t>
            </w:r>
          </w:p>
        </w:tc>
        <w:tc>
          <w:tcPr>
            <w:tcW w:w="2552" w:type="dxa"/>
          </w:tcPr>
          <w:p w14:paraId="69252109"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At ambient and elevated CO</w:t>
            </w:r>
            <w:r w:rsidRPr="002974F8">
              <w:rPr>
                <w:rFonts w:ascii="Cambria" w:hAnsi="Cambria"/>
                <w:sz w:val="20"/>
                <w:szCs w:val="20"/>
                <w:vertAlign w:val="subscript"/>
              </w:rPr>
              <w:t>2</w:t>
            </w:r>
            <w:r w:rsidRPr="002974F8">
              <w:rPr>
                <w:rFonts w:ascii="Cambria" w:hAnsi="Cambria"/>
                <w:sz w:val="20"/>
                <w:szCs w:val="20"/>
              </w:rPr>
              <w:t>: defoliation increases photosynthetic rate in other leaves, reduced light decreases photosynthetic rate</w:t>
            </w:r>
          </w:p>
        </w:tc>
        <w:tc>
          <w:tcPr>
            <w:tcW w:w="1417" w:type="dxa"/>
          </w:tcPr>
          <w:p w14:paraId="507152BA" w14:textId="4C90D30A" w:rsidR="00DF4522" w:rsidRPr="002974F8" w:rsidRDefault="00DF4522" w:rsidP="00CD06F5">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fldChar w:fldCharType="begin" w:fldLock="1"/>
            </w:r>
            <w:r w:rsidR="00906E41">
              <w:rPr>
                <w:rFonts w:ascii="Cambria" w:hAnsi="Cambria"/>
                <w:sz w:val="20"/>
                <w:szCs w:val="20"/>
              </w:rPr>
              <w:instrText>ADDIN CSL_CITATION { "citationItems" : [ { "id" : "ITEM-1", "itemData" : { "abstract" : "The response of CO2-assimilation rate to the intercellular partial pressure of CO 2 (p(CO2)) is used to analyse the effects of various growth treatments on the photosynthetic charac- teristics of P. vulgaris. Partial defoliation caused an increase in CO2-assimilation rate at all intercel- lular p(CO2). A change in the light regime for growth from high to low light levels caused a de- crease of CO2-assimilation rate at all intercellular p(CO2). Growth in a CO2-enriched atmosphere re- sulted in lowered assimilation rates compared with controls at comparable intercellular p(CO2). Short-term water stress initially caused only a de- cline in the CO2-assimilation rate at high intercel- lular p(CO2) , but not at low intercellular p(CO2). Except under severe water stress, changes in the initial slope of the response of CO2-assimilation rate to intercellular p(CO2) were in parallel to those of the in-vitro activity of ribulose-l,5-bis- phosphate (RuBP) carboxylase. From the results, we infer that partial defoliation, changes in the light regime for growth, and growth in a CO 2- enriched atmosphere cause parallel changes in RuBP-carboxylase (EC 4.1.1.39) activity and the \"capacity for RuBP regeneration\", whereas short- term water stress initially causes only a decline in the RuBP-regeneration capacity.", "author" : [ { "dropping-particle" : "", "family" : "Caemmerer", "given" : "S", "non-dropping-particle" : "von", "parse-names" : false, "suffix" : "" }, { "dropping-particle" : "", "family" : "Farquhar", "given" : "G D", "non-dropping-particle" : "", "parse-names" : false, "suffix" : "" } ], "container-title" : "Planta", "id" : "ITEM-1", "issued" : { "date-parts" : [ [ "1984" ] ] }, "page" : "320-329", "title" : "Effects of partial defoliation, changes of irradiance during growth, short-term water stress and growth at enhanced p(CO2) on the photosynthetic capacity of leaves of Phaseolus vulgaris L.", "type" : "article-journal", "volume" : "160" }, "uris" : [ "http://www.mendeley.com/documents/?uuid=977f1aec-7e33-4bd4-aa58-97cfe55b97b2" ] } ], "mendeley" : { "formattedCitation" : "(von Caemmerer and Farquhar, 1984)", "manualFormatting" : "von Caemmerer &amp; Farquhar, 1984", "plainTextFormattedCitation" : "(von Caemmerer and Farquhar, 1984)", "previouslyFormattedCitation" : "(von Caemmerer and Farquhar, 1984)" }, "properties" : { "noteIndex" : 0 }, "schema" : "https://github.com/citation-style-language/schema/raw/master/csl-citation.json" }</w:instrText>
            </w:r>
            <w:r w:rsidRPr="002974F8">
              <w:rPr>
                <w:rFonts w:ascii="Cambria" w:hAnsi="Cambria"/>
                <w:sz w:val="20"/>
                <w:szCs w:val="20"/>
              </w:rPr>
              <w:fldChar w:fldCharType="separate"/>
            </w:r>
            <w:r w:rsidRPr="002974F8">
              <w:rPr>
                <w:rFonts w:ascii="Cambria" w:hAnsi="Cambria"/>
                <w:noProof/>
                <w:sz w:val="20"/>
                <w:szCs w:val="20"/>
              </w:rPr>
              <w:t>von Caemmerer &amp; Farquhar, 1984</w:t>
            </w:r>
            <w:r w:rsidRPr="002974F8">
              <w:rPr>
                <w:rFonts w:ascii="Cambria" w:hAnsi="Cambria"/>
                <w:sz w:val="20"/>
                <w:szCs w:val="20"/>
              </w:rPr>
              <w:fldChar w:fldCharType="end"/>
            </w:r>
          </w:p>
        </w:tc>
      </w:tr>
      <w:tr w:rsidR="00DF4522" w:rsidRPr="002974F8" w14:paraId="5FDD7B37" w14:textId="77777777" w:rsidTr="00FB53C0">
        <w:trPr>
          <w:trHeight w:val="951"/>
        </w:trPr>
        <w:tc>
          <w:tcPr>
            <w:cnfStyle w:val="001000000000" w:firstRow="0" w:lastRow="0" w:firstColumn="1" w:lastColumn="0" w:oddVBand="0" w:evenVBand="0" w:oddHBand="0" w:evenHBand="0" w:firstRowFirstColumn="0" w:firstRowLastColumn="0" w:lastRowFirstColumn="0" w:lastRowLastColumn="0"/>
            <w:tcW w:w="1238" w:type="dxa"/>
            <w:tcBorders>
              <w:right w:val="nil"/>
            </w:tcBorders>
          </w:tcPr>
          <w:p w14:paraId="032F1859" w14:textId="77777777" w:rsidR="00DF4522" w:rsidRPr="002974F8" w:rsidRDefault="00DF4522" w:rsidP="00FB53C0">
            <w:pPr>
              <w:pBdr>
                <w:bar w:val="single" w:sz="4" w:color="auto"/>
              </w:pBdr>
              <w:rPr>
                <w:rFonts w:ascii="Cambria" w:hAnsi="Cambria"/>
                <w:b w:val="0"/>
                <w:sz w:val="20"/>
                <w:szCs w:val="20"/>
              </w:rPr>
            </w:pPr>
            <w:proofErr w:type="spellStart"/>
            <w:r w:rsidRPr="002974F8">
              <w:rPr>
                <w:rFonts w:ascii="Cambria" w:hAnsi="Cambria"/>
                <w:b w:val="0"/>
                <w:i/>
                <w:sz w:val="20"/>
                <w:szCs w:val="20"/>
              </w:rPr>
              <w:t>Lolium</w:t>
            </w:r>
            <w:proofErr w:type="spellEnd"/>
            <w:r w:rsidRPr="002974F8">
              <w:rPr>
                <w:rFonts w:ascii="Cambria" w:hAnsi="Cambria"/>
                <w:b w:val="0"/>
                <w:i/>
                <w:sz w:val="20"/>
                <w:szCs w:val="20"/>
              </w:rPr>
              <w:t xml:space="preserve"> </w:t>
            </w:r>
            <w:proofErr w:type="spellStart"/>
            <w:r w:rsidRPr="002974F8">
              <w:rPr>
                <w:rFonts w:ascii="Cambria" w:hAnsi="Cambria"/>
                <w:b w:val="0"/>
                <w:i/>
                <w:sz w:val="20"/>
                <w:szCs w:val="20"/>
              </w:rPr>
              <w:t>perenne</w:t>
            </w:r>
            <w:proofErr w:type="spellEnd"/>
          </w:p>
        </w:tc>
        <w:tc>
          <w:tcPr>
            <w:tcW w:w="1705" w:type="dxa"/>
            <w:tcBorders>
              <w:left w:val="nil"/>
              <w:right w:val="nil"/>
            </w:tcBorders>
          </w:tcPr>
          <w:p w14:paraId="40C5C9D3"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Elevated CO</w:t>
            </w:r>
            <w:r w:rsidRPr="002974F8">
              <w:rPr>
                <w:rFonts w:ascii="Cambria" w:hAnsi="Cambria"/>
                <w:sz w:val="20"/>
                <w:szCs w:val="20"/>
                <w:vertAlign w:val="subscript"/>
              </w:rPr>
              <w:t>2</w:t>
            </w:r>
            <w:r w:rsidRPr="002974F8">
              <w:rPr>
                <w:rFonts w:ascii="Cambria" w:hAnsi="Cambria"/>
                <w:sz w:val="20"/>
                <w:szCs w:val="20"/>
              </w:rPr>
              <w:t xml:space="preserve"> </w:t>
            </w:r>
          </w:p>
          <w:p w14:paraId="7EDC8608"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w:t>
            </w:r>
          </w:p>
          <w:p w14:paraId="6D0EE4B4"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 xml:space="preserve">Canopy-cutting </w:t>
            </w:r>
          </w:p>
          <w:p w14:paraId="6F68BAB5"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w:t>
            </w:r>
          </w:p>
          <w:p w14:paraId="1FCFB28F"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 xml:space="preserve">Low nitrogen </w:t>
            </w:r>
          </w:p>
        </w:tc>
        <w:tc>
          <w:tcPr>
            <w:tcW w:w="1843" w:type="dxa"/>
            <w:tcBorders>
              <w:left w:val="nil"/>
              <w:right w:val="nil"/>
            </w:tcBorders>
          </w:tcPr>
          <w:p w14:paraId="7E01D4B6"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Increases source</w:t>
            </w:r>
          </w:p>
          <w:p w14:paraId="274A563C"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p w14:paraId="69DB090C"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Reduces source</w:t>
            </w:r>
          </w:p>
          <w:p w14:paraId="12F6F59E"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p w14:paraId="2739633A"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Reduces sink</w:t>
            </w:r>
          </w:p>
        </w:tc>
        <w:tc>
          <w:tcPr>
            <w:tcW w:w="2552" w:type="dxa"/>
            <w:tcBorders>
              <w:left w:val="nil"/>
              <w:right w:val="nil"/>
            </w:tcBorders>
          </w:tcPr>
          <w:p w14:paraId="5FA05DB8"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 xml:space="preserve">Photosynthetic rate decreased in low nitrogen, but this effect was reduced when the </w:t>
            </w:r>
            <w:proofErr w:type="spellStart"/>
            <w:r w:rsidRPr="002974F8">
              <w:rPr>
                <w:rFonts w:ascii="Cambria" w:hAnsi="Cambria"/>
                <w:sz w:val="20"/>
                <w:szCs w:val="20"/>
              </w:rPr>
              <w:t>source:sink</w:t>
            </w:r>
            <w:proofErr w:type="spellEnd"/>
            <w:r w:rsidRPr="002974F8">
              <w:rPr>
                <w:rFonts w:ascii="Cambria" w:hAnsi="Cambria"/>
                <w:sz w:val="20"/>
                <w:szCs w:val="20"/>
              </w:rPr>
              <w:t xml:space="preserve"> balance was restored by canopy-cutting</w:t>
            </w:r>
          </w:p>
          <w:p w14:paraId="263837C8"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 xml:space="preserve">  </w:t>
            </w:r>
          </w:p>
        </w:tc>
        <w:tc>
          <w:tcPr>
            <w:tcW w:w="1417" w:type="dxa"/>
            <w:tcBorders>
              <w:left w:val="nil"/>
            </w:tcBorders>
          </w:tcPr>
          <w:p w14:paraId="55C0C8A0" w14:textId="6F75CA15" w:rsidR="00DF4522" w:rsidRPr="002974F8" w:rsidRDefault="00DF4522" w:rsidP="00CD06F5">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fldChar w:fldCharType="begin" w:fldLock="1"/>
            </w:r>
            <w:r w:rsidR="00906E41">
              <w:rPr>
                <w:rFonts w:ascii="Cambria" w:hAnsi="Cambria"/>
                <w:sz w:val="20"/>
                <w:szCs w:val="20"/>
              </w:rPr>
              <w:instrText>ADDIN CSL_CITATION { "citationItems" : [ { "id" : "ITEM-1", "itemData" : { "author" : [ { "dropping-particle" : "", "family" : "Ainsworth", "given" : "E A", "non-dropping-particle" : "", "parse-names" : false, "suffix" : "" }, { "dropping-particle" : "", "family" : "Davey", "given" : "P A", "non-dropping-particle" : "", "parse-names" : false, "suffix" : "" }, { "dropping-particle" : "", "family" : "Hymus", "given" : "G J", "non-dropping-particle" : "", "parse-names" : false, "suffix" : "" }, { "dropping-particle" : "", "family" : "Osborne", "given" : "C P", "non-dropping-particle" : "", "parse-names" : false, "suffix" : "" }, { "dropping-particle" : "", "family" : "Rogers", "given" : "A", "non-dropping-particle" : "", "parse-names" : false, "suffix" : "" }, { "dropping-particle" : "", "family" : "Blum", "given" : "H", "non-dropping-particle" : "", "parse-names" : false, "suffix" : "" }, { "dropping-particle" : "", "family" : "N\u00f6sberger", "given" : "J", "non-dropping-particle" : "", "parse-names" : false, "suffix" : "" } ], "container-title" : "Plant, Cell &amp; Environment", "id" : "ITEM-1", "issued" : { "date-parts" : [ [ "2003" ] ] }, "page" : "705-714", "title" : "Is stimulation of leaf photosynthesis by elevated carbon dioxide concentration maintained in the long term? A test with Lolium perenne grown for 10 years at two nitrogen fertilization levels under Free Air CO2 Enrichment (FACE)", "type" : "article-journal", "volume" : "26" }, "uris" : [ "http://www.mendeley.com/documents/?uuid=c2e64ee4-0701-4038-bbb9-375db47c90d0" ] } ], "mendeley" : { "formattedCitation" : "(Ainsworth &lt;i&gt;et al.&lt;/i&gt;, 2003)", "manualFormatting" : "Ainsworth et al., 2003", "plainTextFormattedCitation" : "(Ainsworth et al., 2003)", "previouslyFormattedCitation" : "(Ainsworth &lt;i&gt;et al.&lt;/i&gt;, 2003)" }, "properties" : { "noteIndex" : 0 }, "schema" : "https://github.com/citation-style-language/schema/raw/master/csl-citation.json" }</w:instrText>
            </w:r>
            <w:r w:rsidRPr="002974F8">
              <w:rPr>
                <w:rFonts w:ascii="Cambria" w:hAnsi="Cambria"/>
                <w:sz w:val="20"/>
                <w:szCs w:val="20"/>
              </w:rPr>
              <w:fldChar w:fldCharType="separate"/>
            </w:r>
            <w:r w:rsidRPr="002C5907">
              <w:rPr>
                <w:rFonts w:ascii="Cambria" w:hAnsi="Cambria"/>
                <w:noProof/>
                <w:sz w:val="20"/>
                <w:szCs w:val="20"/>
              </w:rPr>
              <w:t xml:space="preserve">Ainsworth </w:t>
            </w:r>
            <w:r w:rsidRPr="002C5907">
              <w:rPr>
                <w:rFonts w:ascii="Cambria" w:hAnsi="Cambria"/>
                <w:i/>
                <w:noProof/>
                <w:sz w:val="20"/>
                <w:szCs w:val="20"/>
              </w:rPr>
              <w:t>et al.</w:t>
            </w:r>
            <w:r w:rsidRPr="002C5907">
              <w:rPr>
                <w:rFonts w:ascii="Cambria" w:hAnsi="Cambria"/>
                <w:noProof/>
                <w:sz w:val="20"/>
                <w:szCs w:val="20"/>
              </w:rPr>
              <w:t>, 2003</w:t>
            </w:r>
            <w:r w:rsidRPr="002974F8">
              <w:rPr>
                <w:rFonts w:ascii="Cambria" w:hAnsi="Cambria"/>
                <w:sz w:val="20"/>
                <w:szCs w:val="20"/>
              </w:rPr>
              <w:fldChar w:fldCharType="end"/>
            </w:r>
          </w:p>
        </w:tc>
      </w:tr>
      <w:tr w:rsidR="00DF4522" w:rsidRPr="002974F8" w14:paraId="69B051D2" w14:textId="77777777" w:rsidTr="00FB53C0">
        <w:trPr>
          <w:cnfStyle w:val="000000100000" w:firstRow="0" w:lastRow="0" w:firstColumn="0" w:lastColumn="0" w:oddVBand="0" w:evenVBand="0" w:oddHBand="1" w:evenHBand="0" w:firstRowFirstColumn="0" w:firstRowLastColumn="0" w:lastRowFirstColumn="0" w:lastRowLastColumn="0"/>
          <w:trHeight w:val="951"/>
        </w:trPr>
        <w:tc>
          <w:tcPr>
            <w:cnfStyle w:val="001000000000" w:firstRow="0" w:lastRow="0" w:firstColumn="1" w:lastColumn="0" w:oddVBand="0" w:evenVBand="0" w:oddHBand="0" w:evenHBand="0" w:firstRowFirstColumn="0" w:firstRowLastColumn="0" w:lastRowFirstColumn="0" w:lastRowLastColumn="0"/>
            <w:tcW w:w="1238" w:type="dxa"/>
            <w:tcBorders>
              <w:bottom w:val="single" w:sz="4" w:space="0" w:color="FFFFFF" w:themeColor="background1"/>
            </w:tcBorders>
          </w:tcPr>
          <w:p w14:paraId="4ECCC5B2" w14:textId="77777777" w:rsidR="00DF4522" w:rsidRPr="002974F8" w:rsidRDefault="00DF4522" w:rsidP="00FB53C0">
            <w:pPr>
              <w:pBdr>
                <w:bar w:val="single" w:sz="4" w:color="auto"/>
              </w:pBdr>
              <w:rPr>
                <w:rFonts w:ascii="Cambria" w:hAnsi="Cambria"/>
                <w:b w:val="0"/>
                <w:i/>
                <w:sz w:val="20"/>
                <w:szCs w:val="20"/>
              </w:rPr>
            </w:pPr>
            <w:proofErr w:type="spellStart"/>
            <w:r w:rsidRPr="002974F8">
              <w:rPr>
                <w:rFonts w:ascii="Cambria" w:hAnsi="Cambria"/>
                <w:b w:val="0"/>
                <w:i/>
                <w:sz w:val="20"/>
                <w:szCs w:val="20"/>
              </w:rPr>
              <w:t>Dactylis</w:t>
            </w:r>
            <w:proofErr w:type="spellEnd"/>
            <w:r w:rsidRPr="002974F8">
              <w:rPr>
                <w:rFonts w:ascii="Cambria" w:hAnsi="Cambria"/>
                <w:b w:val="0"/>
                <w:i/>
                <w:sz w:val="20"/>
                <w:szCs w:val="20"/>
              </w:rPr>
              <w:t xml:space="preserve"> </w:t>
            </w:r>
            <w:proofErr w:type="spellStart"/>
            <w:r w:rsidRPr="002974F8">
              <w:rPr>
                <w:rFonts w:ascii="Cambria" w:hAnsi="Cambria"/>
                <w:b w:val="0"/>
                <w:i/>
                <w:sz w:val="20"/>
                <w:szCs w:val="20"/>
              </w:rPr>
              <w:t>glomerata</w:t>
            </w:r>
            <w:proofErr w:type="spellEnd"/>
          </w:p>
        </w:tc>
        <w:tc>
          <w:tcPr>
            <w:tcW w:w="1705" w:type="dxa"/>
            <w:tcBorders>
              <w:bottom w:val="single" w:sz="4" w:space="0" w:color="FFFFFF" w:themeColor="background1"/>
            </w:tcBorders>
          </w:tcPr>
          <w:p w14:paraId="20C919E7"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Elevated CO</w:t>
            </w:r>
            <w:r w:rsidRPr="002974F8">
              <w:rPr>
                <w:rFonts w:ascii="Cambria" w:hAnsi="Cambria"/>
                <w:sz w:val="20"/>
                <w:szCs w:val="20"/>
                <w:vertAlign w:val="subscript"/>
              </w:rPr>
              <w:t>2</w:t>
            </w:r>
            <w:r w:rsidRPr="002974F8">
              <w:rPr>
                <w:rFonts w:ascii="Cambria" w:hAnsi="Cambria"/>
                <w:sz w:val="20"/>
                <w:szCs w:val="20"/>
              </w:rPr>
              <w:t xml:space="preserve"> </w:t>
            </w:r>
          </w:p>
        </w:tc>
        <w:tc>
          <w:tcPr>
            <w:tcW w:w="1843" w:type="dxa"/>
            <w:tcBorders>
              <w:bottom w:val="single" w:sz="4" w:space="0" w:color="FFFFFF" w:themeColor="background1"/>
            </w:tcBorders>
          </w:tcPr>
          <w:p w14:paraId="5DF37D65"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Increases source</w:t>
            </w:r>
          </w:p>
        </w:tc>
        <w:tc>
          <w:tcPr>
            <w:tcW w:w="2552" w:type="dxa"/>
            <w:tcBorders>
              <w:bottom w:val="single" w:sz="4" w:space="0" w:color="FFFFFF" w:themeColor="background1"/>
            </w:tcBorders>
          </w:tcPr>
          <w:p w14:paraId="611E7AA9"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Shortening of cell cycle in shoot and root meristems</w:t>
            </w:r>
          </w:p>
        </w:tc>
        <w:tc>
          <w:tcPr>
            <w:tcW w:w="1417" w:type="dxa"/>
            <w:tcBorders>
              <w:bottom w:val="single" w:sz="4" w:space="0" w:color="FFFFFF" w:themeColor="background1"/>
            </w:tcBorders>
          </w:tcPr>
          <w:p w14:paraId="69547F9B" w14:textId="664B4FE8" w:rsidR="00DF4522" w:rsidRPr="002974F8" w:rsidRDefault="00DF4522" w:rsidP="00CD06F5">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fldChar w:fldCharType="begin" w:fldLock="1"/>
            </w:r>
            <w:r w:rsidR="00906E41">
              <w:rPr>
                <w:rFonts w:ascii="Cambria" w:hAnsi="Cambria"/>
                <w:sz w:val="20"/>
                <w:szCs w:val="20"/>
              </w:rPr>
              <w:instrText>ADDIN CSL_CITATION { "citationItems" : [ { "id" : "ITEM-1", "itemData" : { "DOI" : "10.1046/j.1365-3040.1997.d01-21.x", "ISSN" : "0140-7791", "author" : [ { "dropping-particle" : "", "family" : "Kinsman", "given" : "E. A.", "non-dropping-particle" : "", "parse-names" : false, "suffix" : "" }, { "dropping-particle" : "", "family" : "Lewis", "given" : "C.", "non-dropping-particle" : "", "parse-names" : false, "suffix" : "" }, { "dropping-particle" : "", "family" : "Davies", "given" : "M. S.", "non-dropping-particle" : "", "parse-names" : false, "suffix" : "" }, { "dropping-particle" : "", "family" : "Young", "given" : "J. E.", "non-dropping-particle" : "", "parse-names" : false, "suffix" : "" }, { "dropping-particle" : "", "family" : "Francis", "given" : "D.", "non-dropping-particle" : "", "parse-names" : false, "suffix" : "" }, { "dropping-particle" : "", "family" : "Vilhar", "given" : "B.", "non-dropping-particle" : "", "parse-names" : false, "suffix" : "" }, { "dropping-particle" : "", "family" : "Ougham", "given" : "H.J.", "non-dropping-particle" : "", "parse-names" : false, "suffix" : "" } ], "container-title" : "Plant, Cell &amp; Environment", "id" : "ITEM-1", "issue" : "10", "issued" : { "date-parts" : [ [ "1997", "10" ] ] }, "page" : "1309-1316", "title" : "Elevated CO2 stimulates cells to divide in grass meristems: a differential effect in two natural populations of Dactylis glomerata", "type" : "article-journal", "volume" : "20" }, "uris" : [ "http://www.mendeley.com/documents/?uuid=a6db634d-23db-4625-8ef0-1633c08c4961" ] } ], "mendeley" : { "formattedCitation" : "(Kinsman &lt;i&gt;et al.&lt;/i&gt;, 1997)", "manualFormatting" : "Kinsman et al., 1997", "plainTextFormattedCitation" : "(Kinsman et al., 1997)", "previouslyFormattedCitation" : "(Kinsman &lt;i&gt;et al.&lt;/i&gt;, 1997)" }, "properties" : { "noteIndex" : 0 }, "schema" : "https://github.com/citation-style-language/schema/raw/master/csl-citation.json" }</w:instrText>
            </w:r>
            <w:r w:rsidRPr="002974F8">
              <w:rPr>
                <w:rFonts w:ascii="Cambria" w:hAnsi="Cambria"/>
                <w:sz w:val="20"/>
                <w:szCs w:val="20"/>
              </w:rPr>
              <w:fldChar w:fldCharType="separate"/>
            </w:r>
            <w:r w:rsidRPr="002C5907">
              <w:rPr>
                <w:rFonts w:ascii="Cambria" w:hAnsi="Cambria"/>
                <w:noProof/>
                <w:sz w:val="20"/>
                <w:szCs w:val="20"/>
              </w:rPr>
              <w:t xml:space="preserve">Kinsman </w:t>
            </w:r>
            <w:r w:rsidRPr="002C5907">
              <w:rPr>
                <w:rFonts w:ascii="Cambria" w:hAnsi="Cambria"/>
                <w:i/>
                <w:noProof/>
                <w:sz w:val="20"/>
                <w:szCs w:val="20"/>
              </w:rPr>
              <w:t>et al.</w:t>
            </w:r>
            <w:r w:rsidRPr="002C5907">
              <w:rPr>
                <w:rFonts w:ascii="Cambria" w:hAnsi="Cambria"/>
                <w:noProof/>
                <w:sz w:val="20"/>
                <w:szCs w:val="20"/>
              </w:rPr>
              <w:t>, 1997</w:t>
            </w:r>
            <w:r w:rsidRPr="002974F8">
              <w:rPr>
                <w:rFonts w:ascii="Cambria" w:hAnsi="Cambria"/>
                <w:sz w:val="20"/>
                <w:szCs w:val="20"/>
              </w:rPr>
              <w:fldChar w:fldCharType="end"/>
            </w:r>
          </w:p>
        </w:tc>
      </w:tr>
      <w:tr w:rsidR="00DF4522" w:rsidRPr="0077311E" w14:paraId="427081F2" w14:textId="77777777" w:rsidTr="00FB53C0">
        <w:trPr>
          <w:trHeight w:val="416"/>
        </w:trPr>
        <w:tc>
          <w:tcPr>
            <w:cnfStyle w:val="001000000000" w:firstRow="0" w:lastRow="0" w:firstColumn="1" w:lastColumn="0" w:oddVBand="0" w:evenVBand="0" w:oddHBand="0" w:evenHBand="0" w:firstRowFirstColumn="0" w:firstRowLastColumn="0" w:lastRowFirstColumn="0" w:lastRowLastColumn="0"/>
            <w:tcW w:w="1238" w:type="dxa"/>
            <w:tcBorders>
              <w:top w:val="single" w:sz="4" w:space="0" w:color="1F497D" w:themeColor="text2"/>
              <w:bottom w:val="single" w:sz="4" w:space="0" w:color="FFFFFF" w:themeColor="background1"/>
              <w:right w:val="nil"/>
            </w:tcBorders>
          </w:tcPr>
          <w:p w14:paraId="2C3FD070" w14:textId="77777777" w:rsidR="00DF4522" w:rsidRPr="0077311E" w:rsidRDefault="00DF4522" w:rsidP="00FB53C0">
            <w:pPr>
              <w:pBdr>
                <w:bar w:val="single" w:sz="4" w:color="auto"/>
              </w:pBdr>
              <w:rPr>
                <w:rFonts w:ascii="Cambria" w:hAnsi="Cambria"/>
                <w:sz w:val="20"/>
                <w:szCs w:val="20"/>
              </w:rPr>
            </w:pPr>
            <w:r w:rsidRPr="0077311E">
              <w:rPr>
                <w:rFonts w:ascii="Cambria" w:hAnsi="Cambria"/>
                <w:sz w:val="20"/>
                <w:szCs w:val="20"/>
              </w:rPr>
              <w:t>Species</w:t>
            </w:r>
          </w:p>
        </w:tc>
        <w:tc>
          <w:tcPr>
            <w:tcW w:w="1705" w:type="dxa"/>
            <w:tcBorders>
              <w:top w:val="single" w:sz="4" w:space="0" w:color="1F497D" w:themeColor="text2"/>
              <w:left w:val="nil"/>
              <w:bottom w:val="single" w:sz="4" w:space="0" w:color="FFFFFF" w:themeColor="background1"/>
              <w:right w:val="nil"/>
            </w:tcBorders>
          </w:tcPr>
          <w:p w14:paraId="272C28CA" w14:textId="77777777" w:rsidR="00DF4522" w:rsidRPr="0077311E" w:rsidRDefault="00DF4522" w:rsidP="00FB53C0">
            <w:pPr>
              <w:pBdr>
                <w:bar w:val="single" w:sz="4" w:color="auto"/>
              </w:pBdr>
              <w:tabs>
                <w:tab w:val="center" w:pos="1639"/>
              </w:tabs>
              <w:cnfStyle w:val="000000000000" w:firstRow="0" w:lastRow="0" w:firstColumn="0" w:lastColumn="0" w:oddVBand="0" w:evenVBand="0" w:oddHBand="0" w:evenHBand="0" w:firstRowFirstColumn="0" w:firstRowLastColumn="0" w:lastRowFirstColumn="0" w:lastRowLastColumn="0"/>
              <w:rPr>
                <w:rFonts w:ascii="Cambria" w:hAnsi="Cambria"/>
                <w:b/>
                <w:sz w:val="20"/>
                <w:szCs w:val="20"/>
              </w:rPr>
            </w:pPr>
            <w:r w:rsidRPr="0077311E">
              <w:rPr>
                <w:rFonts w:ascii="Cambria" w:hAnsi="Cambria"/>
                <w:b/>
                <w:sz w:val="20"/>
                <w:szCs w:val="20"/>
              </w:rPr>
              <w:t>Manipulation</w:t>
            </w:r>
          </w:p>
        </w:tc>
        <w:tc>
          <w:tcPr>
            <w:tcW w:w="1843" w:type="dxa"/>
            <w:tcBorders>
              <w:top w:val="single" w:sz="4" w:space="0" w:color="1F497D" w:themeColor="text2"/>
              <w:left w:val="nil"/>
              <w:bottom w:val="single" w:sz="4" w:space="0" w:color="FFFFFF" w:themeColor="background1"/>
              <w:right w:val="nil"/>
            </w:tcBorders>
          </w:tcPr>
          <w:p w14:paraId="64258786" w14:textId="77777777" w:rsidR="00DF4522" w:rsidRPr="0077311E"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b/>
                <w:sz w:val="20"/>
                <w:szCs w:val="20"/>
              </w:rPr>
            </w:pPr>
            <w:r w:rsidRPr="0077311E">
              <w:rPr>
                <w:rFonts w:ascii="Cambria" w:hAnsi="Cambria"/>
                <w:b/>
                <w:sz w:val="20"/>
                <w:szCs w:val="20"/>
              </w:rPr>
              <w:t>Effect</w:t>
            </w:r>
          </w:p>
        </w:tc>
        <w:tc>
          <w:tcPr>
            <w:tcW w:w="2552" w:type="dxa"/>
            <w:tcBorders>
              <w:top w:val="single" w:sz="4" w:space="0" w:color="1F497D" w:themeColor="text2"/>
              <w:left w:val="nil"/>
              <w:bottom w:val="single" w:sz="4" w:space="0" w:color="FFFFFF" w:themeColor="background1"/>
              <w:right w:val="nil"/>
            </w:tcBorders>
          </w:tcPr>
          <w:p w14:paraId="0ECD1E16" w14:textId="77777777" w:rsidR="00DF4522" w:rsidRPr="0077311E"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b/>
                <w:sz w:val="20"/>
                <w:szCs w:val="20"/>
              </w:rPr>
            </w:pPr>
            <w:r>
              <w:rPr>
                <w:rFonts w:ascii="Cambria" w:hAnsi="Cambria"/>
                <w:b/>
                <w:sz w:val="20"/>
                <w:szCs w:val="20"/>
              </w:rPr>
              <w:t>Key r</w:t>
            </w:r>
            <w:r w:rsidRPr="0077311E">
              <w:rPr>
                <w:rFonts w:ascii="Cambria" w:hAnsi="Cambria"/>
                <w:b/>
                <w:sz w:val="20"/>
                <w:szCs w:val="20"/>
              </w:rPr>
              <w:t>esult</w:t>
            </w:r>
          </w:p>
        </w:tc>
        <w:tc>
          <w:tcPr>
            <w:tcW w:w="1417" w:type="dxa"/>
            <w:tcBorders>
              <w:top w:val="single" w:sz="4" w:space="0" w:color="1F497D" w:themeColor="text2"/>
              <w:left w:val="nil"/>
              <w:bottom w:val="single" w:sz="4" w:space="0" w:color="FFFFFF" w:themeColor="background1"/>
            </w:tcBorders>
          </w:tcPr>
          <w:p w14:paraId="6E07F5E0" w14:textId="77777777" w:rsidR="00DF4522" w:rsidRPr="0077311E"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b/>
                <w:sz w:val="20"/>
                <w:szCs w:val="20"/>
              </w:rPr>
            </w:pPr>
            <w:r w:rsidRPr="0077311E">
              <w:rPr>
                <w:rFonts w:ascii="Cambria" w:hAnsi="Cambria"/>
                <w:b/>
                <w:sz w:val="20"/>
                <w:szCs w:val="20"/>
              </w:rPr>
              <w:t>Reference</w:t>
            </w:r>
          </w:p>
        </w:tc>
      </w:tr>
      <w:tr w:rsidR="00DF4522" w:rsidRPr="002974F8" w14:paraId="43353951" w14:textId="77777777" w:rsidTr="00FB53C0">
        <w:trPr>
          <w:cnfStyle w:val="000000100000" w:firstRow="0" w:lastRow="0" w:firstColumn="0" w:lastColumn="0" w:oddVBand="0" w:evenVBand="0" w:oddHBand="1" w:evenHBand="0" w:firstRowFirstColumn="0" w:firstRowLastColumn="0" w:lastRowFirstColumn="0" w:lastRowLastColumn="0"/>
          <w:trHeight w:val="997"/>
        </w:trPr>
        <w:tc>
          <w:tcPr>
            <w:cnfStyle w:val="001000000000" w:firstRow="0" w:lastRow="0" w:firstColumn="1" w:lastColumn="0" w:oddVBand="0" w:evenVBand="0" w:oddHBand="0" w:evenHBand="0" w:firstRowFirstColumn="0" w:firstRowLastColumn="0" w:lastRowFirstColumn="0" w:lastRowLastColumn="0"/>
            <w:tcW w:w="1238" w:type="dxa"/>
            <w:tcBorders>
              <w:top w:val="single" w:sz="4" w:space="0" w:color="1F497D" w:themeColor="text2"/>
            </w:tcBorders>
          </w:tcPr>
          <w:p w14:paraId="7135E638" w14:textId="77777777" w:rsidR="00DF4522" w:rsidRPr="002974F8" w:rsidRDefault="00DF4522" w:rsidP="00FB53C0">
            <w:pPr>
              <w:pBdr>
                <w:bar w:val="single" w:sz="4" w:color="auto"/>
              </w:pBdr>
              <w:rPr>
                <w:rFonts w:ascii="Cambria" w:hAnsi="Cambria"/>
                <w:b w:val="0"/>
                <w:sz w:val="20"/>
                <w:szCs w:val="20"/>
              </w:rPr>
            </w:pPr>
            <w:proofErr w:type="spellStart"/>
            <w:r w:rsidRPr="002974F8">
              <w:rPr>
                <w:rFonts w:ascii="Cambria" w:hAnsi="Cambria"/>
                <w:b w:val="0"/>
                <w:i/>
                <w:sz w:val="20"/>
                <w:szCs w:val="20"/>
              </w:rPr>
              <w:t>Triticum</w:t>
            </w:r>
            <w:proofErr w:type="spellEnd"/>
            <w:r w:rsidRPr="002974F8">
              <w:rPr>
                <w:rFonts w:ascii="Cambria" w:hAnsi="Cambria"/>
                <w:b w:val="0"/>
                <w:i/>
                <w:sz w:val="20"/>
                <w:szCs w:val="20"/>
              </w:rPr>
              <w:t xml:space="preserve"> </w:t>
            </w:r>
            <w:proofErr w:type="spellStart"/>
            <w:r w:rsidRPr="002974F8">
              <w:rPr>
                <w:rFonts w:ascii="Cambria" w:hAnsi="Cambria"/>
                <w:b w:val="0"/>
                <w:i/>
                <w:sz w:val="20"/>
                <w:szCs w:val="20"/>
              </w:rPr>
              <w:t>aestivum</w:t>
            </w:r>
            <w:proofErr w:type="spellEnd"/>
          </w:p>
        </w:tc>
        <w:tc>
          <w:tcPr>
            <w:tcW w:w="1705" w:type="dxa"/>
            <w:tcBorders>
              <w:top w:val="single" w:sz="4" w:space="0" w:color="1F497D" w:themeColor="text2"/>
            </w:tcBorders>
          </w:tcPr>
          <w:p w14:paraId="3BCDF339"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Elevated CO</w:t>
            </w:r>
            <w:r w:rsidRPr="002974F8">
              <w:rPr>
                <w:rFonts w:ascii="Cambria" w:hAnsi="Cambria"/>
                <w:sz w:val="20"/>
                <w:szCs w:val="20"/>
                <w:vertAlign w:val="subscript"/>
              </w:rPr>
              <w:t>2</w:t>
            </w:r>
            <w:r w:rsidRPr="002974F8">
              <w:rPr>
                <w:rFonts w:ascii="Cambria" w:hAnsi="Cambria"/>
                <w:sz w:val="20"/>
                <w:szCs w:val="20"/>
              </w:rPr>
              <w:t xml:space="preserve"> </w:t>
            </w:r>
          </w:p>
        </w:tc>
        <w:tc>
          <w:tcPr>
            <w:tcW w:w="1843" w:type="dxa"/>
            <w:tcBorders>
              <w:top w:val="single" w:sz="4" w:space="0" w:color="1F497D" w:themeColor="text2"/>
            </w:tcBorders>
          </w:tcPr>
          <w:p w14:paraId="66F8955D"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Increases source</w:t>
            </w:r>
          </w:p>
        </w:tc>
        <w:tc>
          <w:tcPr>
            <w:tcW w:w="2552" w:type="dxa"/>
            <w:tcBorders>
              <w:top w:val="single" w:sz="4" w:space="0" w:color="1F497D" w:themeColor="text2"/>
            </w:tcBorders>
          </w:tcPr>
          <w:p w14:paraId="698711CF"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 xml:space="preserve">Cell division and expansion affected </w:t>
            </w:r>
          </w:p>
        </w:tc>
        <w:tc>
          <w:tcPr>
            <w:tcW w:w="1417" w:type="dxa"/>
            <w:tcBorders>
              <w:top w:val="single" w:sz="4" w:space="0" w:color="1F497D" w:themeColor="text2"/>
            </w:tcBorders>
          </w:tcPr>
          <w:p w14:paraId="7DC32A28" w14:textId="69E76B5F" w:rsidR="00DF4522" w:rsidRPr="002974F8" w:rsidRDefault="00DF4522" w:rsidP="00CD06F5">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fldChar w:fldCharType="begin" w:fldLock="1"/>
            </w:r>
            <w:r w:rsidR="00906E41">
              <w:rPr>
                <w:rFonts w:ascii="Cambria" w:hAnsi="Cambria"/>
                <w:sz w:val="20"/>
                <w:szCs w:val="20"/>
              </w:rPr>
              <w:instrText>ADDIN CSL_CITATION { "citationItems" : [ { "id" : "ITEM-1", "itemData" : { "ISSN" : "0032-0889", "PMID" : "10759536", "abstract" : "This study demonstrates that elevated [CO(2)] has profound effects on cell division and expansion in developing wheat (Triticum aestivum L.) leaves and on the quantitative integration of these processes in whole-leaf growth kinetics, anatomy, and carbon content. The expression of these effects, however, is modified by intrinsic factors related to genetic makeup and leaf position, and also by exposure to low vernalizing temperatures at germination. Beyond these interactions, leaf developmental responses to elevated [CO(2)] in wheat share several remarkable features that were conserved across all leaves examined. Most significantly: (a) the contribution of [CO(2)] effects on meristem size and activity in driving differences in whole-blade growth kinetics and final dimensions; (b) an anisotropy in cellular growth responses to elevated [CO(2)], with final cell length and expansion in the paradermal plane being highly conserved, even when the rates and duration of cell elongation were modified, while cell cross-sectional areas were increased; (c) tissue-specific effects of elevated [CO(2)], with significant modifications of mesophyll anatomy, including an increased extension of intercellular air spaces and the formation of, on average, one extra cell layer, while epidermal anatomy was mostly unaltered. Our results indicate complex developmental regulations of sugar effects in expanding leaves that are subjected to genetic variation and influenced by environmental cues important in the promotion of floral initiation. They also provide insights into apparently contradictory and inconsistent conclusions of published CO(2) enrichment studies in wheat.", "author" : [ { "dropping-particle" : "", "family" : "Masle", "given" : "J", "non-dropping-particle" : "", "parse-names" : false, "suffix" : "" } ], "container-title" : "Plant Physiology", "id" : "ITEM-1", "issue" : "4", "issued" : { "date-parts" : [ [ "2000", "4" ] ] }, "page" : "1399-415", "title" : "The effects of elevated CO2 concentrations on cell division rates, growth patterns, and blade anatomy in young wheat plants are modulated by factors related to leaf position, vernalization, and genotype.", "type" : "article-journal", "volume" : "122" }, "uris" : [ "http://www.mendeley.com/documents/?uuid=f4b87b7f-8e83-4245-a692-33081698588e" ] } ], "mendeley" : { "formattedCitation" : "(Masle, 2000)", "manualFormatting" : "Masle, 2000", "plainTextFormattedCitation" : "(Masle, 2000)", "previouslyFormattedCitation" : "(Masle, 2000)" }, "properties" : { "noteIndex" : 0 }, "schema" : "https://github.com/citation-style-language/schema/raw/master/csl-citation.json" }</w:instrText>
            </w:r>
            <w:r w:rsidRPr="002974F8">
              <w:rPr>
                <w:rFonts w:ascii="Cambria" w:hAnsi="Cambria"/>
                <w:sz w:val="20"/>
                <w:szCs w:val="20"/>
              </w:rPr>
              <w:fldChar w:fldCharType="separate"/>
            </w:r>
            <w:r w:rsidRPr="002974F8">
              <w:rPr>
                <w:rFonts w:ascii="Cambria" w:hAnsi="Cambria"/>
                <w:noProof/>
                <w:sz w:val="20"/>
                <w:szCs w:val="20"/>
              </w:rPr>
              <w:t>Masle, 2000</w:t>
            </w:r>
            <w:r w:rsidRPr="002974F8">
              <w:rPr>
                <w:rFonts w:ascii="Cambria" w:hAnsi="Cambria"/>
                <w:sz w:val="20"/>
                <w:szCs w:val="20"/>
              </w:rPr>
              <w:fldChar w:fldCharType="end"/>
            </w:r>
          </w:p>
        </w:tc>
      </w:tr>
      <w:tr w:rsidR="00DF4522" w:rsidRPr="002974F8" w14:paraId="3E78394F" w14:textId="77777777" w:rsidTr="00FB53C0">
        <w:trPr>
          <w:trHeight w:val="325"/>
        </w:trPr>
        <w:tc>
          <w:tcPr>
            <w:cnfStyle w:val="001000000000" w:firstRow="0" w:lastRow="0" w:firstColumn="1" w:lastColumn="0" w:oddVBand="0" w:evenVBand="0" w:oddHBand="0" w:evenHBand="0" w:firstRowFirstColumn="0" w:firstRowLastColumn="0" w:lastRowFirstColumn="0" w:lastRowLastColumn="0"/>
            <w:tcW w:w="8755" w:type="dxa"/>
            <w:gridSpan w:val="5"/>
          </w:tcPr>
          <w:p w14:paraId="6BE4AAC5" w14:textId="77777777" w:rsidR="00DF4522" w:rsidRPr="002974F8" w:rsidRDefault="00DF4522" w:rsidP="00FB53C0">
            <w:pPr>
              <w:pBdr>
                <w:bar w:val="single" w:sz="4" w:color="auto"/>
              </w:pBdr>
              <w:jc w:val="center"/>
              <w:rPr>
                <w:rFonts w:ascii="Cambria" w:hAnsi="Cambria"/>
                <w:sz w:val="20"/>
                <w:szCs w:val="20"/>
              </w:rPr>
            </w:pPr>
            <w:r w:rsidRPr="002974F8">
              <w:rPr>
                <w:rFonts w:ascii="Cambria" w:hAnsi="Cambria"/>
                <w:sz w:val="20"/>
                <w:szCs w:val="20"/>
              </w:rPr>
              <w:t>SINK MANIPULATIONS</w:t>
            </w:r>
          </w:p>
        </w:tc>
      </w:tr>
      <w:tr w:rsidR="00DF4522" w:rsidRPr="002974F8" w14:paraId="791E7FAE" w14:textId="77777777" w:rsidTr="00FB53C0">
        <w:trPr>
          <w:cnfStyle w:val="000000100000" w:firstRow="0" w:lastRow="0" w:firstColumn="0" w:lastColumn="0" w:oddVBand="0" w:evenVBand="0" w:oddHBand="1" w:evenHBand="0" w:firstRowFirstColumn="0" w:firstRowLastColumn="0" w:lastRowFirstColumn="0" w:lastRowLastColumn="0"/>
          <w:trHeight w:val="994"/>
        </w:trPr>
        <w:tc>
          <w:tcPr>
            <w:cnfStyle w:val="001000000000" w:firstRow="0" w:lastRow="0" w:firstColumn="1" w:lastColumn="0" w:oddVBand="0" w:evenVBand="0" w:oddHBand="0" w:evenHBand="0" w:firstRowFirstColumn="0" w:firstRowLastColumn="0" w:lastRowFirstColumn="0" w:lastRowLastColumn="0"/>
            <w:tcW w:w="1238" w:type="dxa"/>
          </w:tcPr>
          <w:p w14:paraId="253B5B5A" w14:textId="77777777" w:rsidR="00DF4522" w:rsidRPr="002974F8" w:rsidRDefault="00DF4522" w:rsidP="00FB53C0">
            <w:pPr>
              <w:pBdr>
                <w:bar w:val="single" w:sz="4" w:color="auto"/>
              </w:pBdr>
              <w:rPr>
                <w:rFonts w:ascii="Cambria" w:hAnsi="Cambria"/>
                <w:b w:val="0"/>
                <w:sz w:val="20"/>
                <w:szCs w:val="20"/>
              </w:rPr>
            </w:pPr>
            <w:r w:rsidRPr="002974F8">
              <w:rPr>
                <w:rFonts w:ascii="Cambria" w:hAnsi="Cambria"/>
                <w:b w:val="0"/>
                <w:sz w:val="20"/>
                <w:szCs w:val="20"/>
              </w:rPr>
              <w:t>Various species</w:t>
            </w:r>
          </w:p>
        </w:tc>
        <w:tc>
          <w:tcPr>
            <w:tcW w:w="1705" w:type="dxa"/>
          </w:tcPr>
          <w:p w14:paraId="712C4264"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Elevated CO</w:t>
            </w:r>
            <w:r w:rsidRPr="002974F8">
              <w:rPr>
                <w:rFonts w:ascii="Cambria" w:hAnsi="Cambria"/>
                <w:sz w:val="20"/>
                <w:szCs w:val="20"/>
                <w:vertAlign w:val="subscript"/>
              </w:rPr>
              <w:t>2</w:t>
            </w:r>
          </w:p>
          <w:p w14:paraId="49FBE718"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w:t>
            </w:r>
          </w:p>
          <w:p w14:paraId="5FDD6BCB" w14:textId="77777777" w:rsidR="00DF4522"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 xml:space="preserve">Removal of sinks / </w:t>
            </w:r>
            <w:r w:rsidRPr="002974F8">
              <w:rPr>
                <w:rFonts w:ascii="Cambria" w:hAnsi="Cambria"/>
                <w:sz w:val="20"/>
                <w:szCs w:val="20"/>
              </w:rPr>
              <w:t>Low nitrogen</w:t>
            </w:r>
          </w:p>
          <w:p w14:paraId="4C7D300C"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w:t>
            </w:r>
            <w:r>
              <w:rPr>
                <w:rFonts w:ascii="Cambria" w:hAnsi="Cambria"/>
                <w:sz w:val="20"/>
                <w:szCs w:val="20"/>
              </w:rPr>
              <w:t xml:space="preserve"> </w:t>
            </w:r>
            <w:r w:rsidRPr="002974F8">
              <w:rPr>
                <w:rFonts w:ascii="Cambria" w:hAnsi="Cambria"/>
                <w:sz w:val="20"/>
                <w:szCs w:val="20"/>
              </w:rPr>
              <w:t xml:space="preserve">Low temperature </w:t>
            </w:r>
          </w:p>
        </w:tc>
        <w:tc>
          <w:tcPr>
            <w:tcW w:w="1843" w:type="dxa"/>
          </w:tcPr>
          <w:p w14:paraId="79A92C60"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Increases source</w:t>
            </w:r>
          </w:p>
          <w:p w14:paraId="6A184DEB"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p>
          <w:p w14:paraId="417211B4"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p>
          <w:p w14:paraId="501DFE5B"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All reduce sink</w:t>
            </w:r>
          </w:p>
        </w:tc>
        <w:tc>
          <w:tcPr>
            <w:tcW w:w="2552" w:type="dxa"/>
          </w:tcPr>
          <w:p w14:paraId="29B3CC57"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Reducing sink capacity increases acclimation of source activity</w:t>
            </w:r>
          </w:p>
        </w:tc>
        <w:tc>
          <w:tcPr>
            <w:tcW w:w="1417" w:type="dxa"/>
          </w:tcPr>
          <w:p w14:paraId="71B2F2EE" w14:textId="35477C4F" w:rsidR="00DF4522" w:rsidRPr="002974F8" w:rsidRDefault="00DF4522" w:rsidP="00CD06F5">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fldChar w:fldCharType="begin" w:fldLock="1"/>
            </w:r>
            <w:r w:rsidR="00906E41">
              <w:rPr>
                <w:rFonts w:ascii="Cambria" w:hAnsi="Cambria"/>
                <w:sz w:val="20"/>
                <w:szCs w:val="20"/>
              </w:rPr>
              <w:instrText>ADDIN CSL_CITATION { "citationItems" : [ { "id" : "ITEM-1", "itemData" : { "author" : [ { "dropping-particle" : "", "family" : "Arp", "given" : "W J", "non-dropping-particle" : "", "parse-names" : false, "suffix" : "" } ], "container-title" : "Plant, Cell &amp; Environment", "id" : "ITEM-1", "issued" : { "date-parts" : [ [ "1991" ] ] }, "page" : "869-875", "title" : "Effects of source-sink relations on photosynthetic acclimation to elevated CO2", "type" : "article-journal", "volume" : "14" }, "uris" : [ "http://www.mendeley.com/documents/?uuid=bb80a4ae-185e-48b5-858d-08efd177107a" ] } ], "mendeley" : { "formattedCitation" : "(Arp, 1991)", "manualFormatting" : "Arp, 1991", "plainTextFormattedCitation" : "(Arp, 1991)", "previouslyFormattedCitation" : "(Arp, 1991)" }, "properties" : { "noteIndex" : 0 }, "schema" : "https://github.com/citation-style-language/schema/raw/master/csl-citation.json" }</w:instrText>
            </w:r>
            <w:r w:rsidRPr="002974F8">
              <w:rPr>
                <w:rFonts w:ascii="Cambria" w:hAnsi="Cambria"/>
                <w:sz w:val="20"/>
                <w:szCs w:val="20"/>
              </w:rPr>
              <w:fldChar w:fldCharType="separate"/>
            </w:r>
            <w:r w:rsidRPr="002974F8">
              <w:rPr>
                <w:rFonts w:ascii="Cambria" w:hAnsi="Cambria"/>
                <w:noProof/>
                <w:sz w:val="20"/>
                <w:szCs w:val="20"/>
              </w:rPr>
              <w:t>Arp, 1991</w:t>
            </w:r>
            <w:r w:rsidRPr="002974F8">
              <w:rPr>
                <w:rFonts w:ascii="Cambria" w:hAnsi="Cambria"/>
                <w:sz w:val="20"/>
                <w:szCs w:val="20"/>
              </w:rPr>
              <w:fldChar w:fldCharType="end"/>
            </w:r>
          </w:p>
        </w:tc>
      </w:tr>
      <w:tr w:rsidR="00DF4522" w:rsidRPr="002974F8" w14:paraId="00B13E07" w14:textId="77777777" w:rsidTr="00FB53C0">
        <w:trPr>
          <w:trHeight w:val="994"/>
        </w:trPr>
        <w:tc>
          <w:tcPr>
            <w:cnfStyle w:val="001000000000" w:firstRow="0" w:lastRow="0" w:firstColumn="1" w:lastColumn="0" w:oddVBand="0" w:evenVBand="0" w:oddHBand="0" w:evenHBand="0" w:firstRowFirstColumn="0" w:firstRowLastColumn="0" w:lastRowFirstColumn="0" w:lastRowLastColumn="0"/>
            <w:tcW w:w="1238" w:type="dxa"/>
            <w:tcBorders>
              <w:right w:val="nil"/>
            </w:tcBorders>
          </w:tcPr>
          <w:p w14:paraId="221533B8" w14:textId="77777777" w:rsidR="00DF4522" w:rsidRPr="002974F8" w:rsidRDefault="00DF4522" w:rsidP="00FB53C0">
            <w:pPr>
              <w:pBdr>
                <w:bar w:val="single" w:sz="4" w:color="auto"/>
              </w:pBdr>
              <w:rPr>
                <w:rFonts w:ascii="Cambria" w:hAnsi="Cambria"/>
                <w:b w:val="0"/>
                <w:sz w:val="20"/>
                <w:szCs w:val="20"/>
              </w:rPr>
            </w:pPr>
            <w:r w:rsidRPr="002974F8">
              <w:rPr>
                <w:rFonts w:ascii="Cambria" w:hAnsi="Cambria"/>
                <w:b w:val="0"/>
                <w:i/>
                <w:sz w:val="20"/>
                <w:szCs w:val="20"/>
              </w:rPr>
              <w:t>Arabidopsis thaliana</w:t>
            </w:r>
          </w:p>
        </w:tc>
        <w:tc>
          <w:tcPr>
            <w:tcW w:w="1705" w:type="dxa"/>
            <w:tcBorders>
              <w:left w:val="nil"/>
              <w:right w:val="nil"/>
            </w:tcBorders>
          </w:tcPr>
          <w:p w14:paraId="226DD6EA"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 xml:space="preserve">Low temperature </w:t>
            </w:r>
          </w:p>
          <w:p w14:paraId="6ADA83E8"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w:t>
            </w:r>
          </w:p>
          <w:p w14:paraId="5C033E43"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 xml:space="preserve">Genetic manipulation of T6P/ SnRK1 signalling pathway </w:t>
            </w:r>
          </w:p>
        </w:tc>
        <w:tc>
          <w:tcPr>
            <w:tcW w:w="1843" w:type="dxa"/>
            <w:tcBorders>
              <w:left w:val="nil"/>
              <w:right w:val="nil"/>
            </w:tcBorders>
          </w:tcPr>
          <w:p w14:paraId="0378683C"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Reduces sink</w:t>
            </w:r>
          </w:p>
          <w:p w14:paraId="3D437BBF"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p w14:paraId="60EF1FD5"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Affects integration of sucrose levels and growth</w:t>
            </w:r>
          </w:p>
        </w:tc>
        <w:tc>
          <w:tcPr>
            <w:tcW w:w="2552" w:type="dxa"/>
            <w:tcBorders>
              <w:left w:val="nil"/>
              <w:right w:val="nil"/>
            </w:tcBorders>
          </w:tcPr>
          <w:p w14:paraId="50A5193A"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Altered signalling pathway reduced plant capacity to recover from sink limitation</w:t>
            </w:r>
          </w:p>
        </w:tc>
        <w:tc>
          <w:tcPr>
            <w:tcW w:w="1417" w:type="dxa"/>
            <w:tcBorders>
              <w:left w:val="nil"/>
            </w:tcBorders>
          </w:tcPr>
          <w:p w14:paraId="68C5A0A8" w14:textId="630863E0" w:rsidR="00DF4522" w:rsidRPr="002974F8" w:rsidRDefault="00DF4522" w:rsidP="00CD06F5">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fldChar w:fldCharType="begin" w:fldLock="1"/>
            </w:r>
            <w:r w:rsidR="00906E41">
              <w:rPr>
                <w:rFonts w:ascii="Cambria" w:hAnsi="Cambria"/>
                <w:sz w:val="20"/>
                <w:szCs w:val="20"/>
              </w:rPr>
              <w:instrText>ADDIN CSL_CITATION { "citationItems" : [ { "id" : "ITEM-1", "itemData" : { "DOI" : "10.1104/pp.113.220657", "ISSN" : "0032-0889", "author" : [ { "dropping-particle" : "", "family" : "Nunes", "given" : "C. M.", "non-dropping-particle" : "", "parse-names" : false, "suffix" : "" }, { "dropping-particle" : "", "family" : "O'Hara", "given" : "L.", "non-dropping-particle" : "", "parse-names" : false, "suffix" : "" }, { "dropping-particle" : "", "family" : "Primavesi", "given" : "L.", "non-dropping-particle" : "", "parse-names" : false, "suffix" : "" }, { "dropping-particle" : "", "family" : "Delatte", "given" : "T.", "non-dropping-particle" : "", "parse-names" : false, "suffix" : "" }, { "dropping-particle" : "", "family" : "Schluepmann", "given" : "H.", "non-dropping-particle" : "", "parse-names" : false, "suffix" : "" }, { "dropping-particle" : "", "family" : "Somsen", "given" : "G.", "non-dropping-particle" : "", "parse-names" : false, "suffix" : "" }, { "dropping-particle" : "", "family" : "Silva", "given" : "a.", "non-dropping-particle" : "", "parse-names" : false, "suffix" : "" }, { "dropping-particle" : "", "family" : "Fevereiro", "given" : "P.", "non-dropping-particle" : "", "parse-names" : false, "suffix" : "" }, { "dropping-particle" : "", "family" : "Wingler", "given" : "a.", "non-dropping-particle" : "", "parse-names" : false, "suffix" : "" }, { "dropping-particle" : "", "family" : "Paul", "given" : "M. J.", "non-dropping-particle" : "", "parse-names" : false, "suffix" : "" } ], "container-title" : "Plant Physiology", "id" : "ITEM-1", "issue" : "July", "issued" : { "date-parts" : [ [ "2013", "6", "4" ] ] }, "page" : "1720-1732", "title" : "The trehalose 6-phosphate/ SnRK1 signalling pathway primes growth recovery following relief of sink limitation", "type" : "article-journal", "volume" : "162" }, "uris" : [ "http://www.mendeley.com/documents/?uuid=1036c620-f2a6-40da-aaac-160498700065" ] } ], "mendeley" : { "formattedCitation" : "(Nunes &lt;i&gt;et al.&lt;/i&gt;, 2013)", "manualFormatting" : "Nunes et al., 2013", "plainTextFormattedCitation" : "(Nunes et al., 2013)", "previouslyFormattedCitation" : "(Nunes &lt;i&gt;et al.&lt;/i&gt;, 2013)" }, "properties" : { "noteIndex" : 0 }, "schema" : "https://github.com/citation-style-language/schema/raw/master/csl-citation.json" }</w:instrText>
            </w:r>
            <w:r w:rsidRPr="002974F8">
              <w:rPr>
                <w:rFonts w:ascii="Cambria" w:hAnsi="Cambria"/>
                <w:sz w:val="20"/>
                <w:szCs w:val="20"/>
              </w:rPr>
              <w:fldChar w:fldCharType="separate"/>
            </w:r>
            <w:r w:rsidRPr="002C5907">
              <w:rPr>
                <w:rFonts w:ascii="Cambria" w:hAnsi="Cambria"/>
                <w:noProof/>
                <w:sz w:val="20"/>
                <w:szCs w:val="20"/>
              </w:rPr>
              <w:t xml:space="preserve">Nunes </w:t>
            </w:r>
            <w:r w:rsidRPr="002C5907">
              <w:rPr>
                <w:rFonts w:ascii="Cambria" w:hAnsi="Cambria"/>
                <w:i/>
                <w:noProof/>
                <w:sz w:val="20"/>
                <w:szCs w:val="20"/>
              </w:rPr>
              <w:t>et al.</w:t>
            </w:r>
            <w:r w:rsidRPr="002C5907">
              <w:rPr>
                <w:rFonts w:ascii="Cambria" w:hAnsi="Cambria"/>
                <w:noProof/>
                <w:sz w:val="20"/>
                <w:szCs w:val="20"/>
              </w:rPr>
              <w:t>, 2013</w:t>
            </w:r>
            <w:r w:rsidRPr="002974F8">
              <w:rPr>
                <w:rFonts w:ascii="Cambria" w:hAnsi="Cambria"/>
                <w:sz w:val="20"/>
                <w:szCs w:val="20"/>
              </w:rPr>
              <w:fldChar w:fldCharType="end"/>
            </w:r>
          </w:p>
        </w:tc>
      </w:tr>
      <w:tr w:rsidR="00DF4522" w:rsidRPr="002974F8" w14:paraId="5CDC9AF0" w14:textId="77777777" w:rsidTr="00FB53C0">
        <w:trPr>
          <w:cnfStyle w:val="000000100000" w:firstRow="0" w:lastRow="0" w:firstColumn="0" w:lastColumn="0" w:oddVBand="0" w:evenVBand="0" w:oddHBand="1" w:evenHBand="0" w:firstRowFirstColumn="0" w:firstRowLastColumn="0" w:lastRowFirstColumn="0" w:lastRowLastColumn="0"/>
          <w:trHeight w:val="994"/>
        </w:trPr>
        <w:tc>
          <w:tcPr>
            <w:cnfStyle w:val="001000000000" w:firstRow="0" w:lastRow="0" w:firstColumn="1" w:lastColumn="0" w:oddVBand="0" w:evenVBand="0" w:oddHBand="0" w:evenHBand="0" w:firstRowFirstColumn="0" w:firstRowLastColumn="0" w:lastRowFirstColumn="0" w:lastRowLastColumn="0"/>
            <w:tcW w:w="1238" w:type="dxa"/>
          </w:tcPr>
          <w:p w14:paraId="2AA542B9" w14:textId="77777777" w:rsidR="00DF4522" w:rsidRPr="002974F8" w:rsidRDefault="00DF4522" w:rsidP="00FB53C0">
            <w:pPr>
              <w:pBdr>
                <w:bar w:val="single" w:sz="4" w:color="auto"/>
              </w:pBdr>
              <w:rPr>
                <w:rFonts w:ascii="Cambria" w:hAnsi="Cambria"/>
                <w:b w:val="0"/>
                <w:i/>
                <w:sz w:val="20"/>
                <w:szCs w:val="20"/>
              </w:rPr>
            </w:pPr>
            <w:r w:rsidRPr="002974F8">
              <w:rPr>
                <w:rFonts w:ascii="Cambria" w:hAnsi="Cambria"/>
                <w:b w:val="0"/>
                <w:sz w:val="20"/>
                <w:szCs w:val="20"/>
              </w:rPr>
              <w:t>Various species</w:t>
            </w:r>
          </w:p>
        </w:tc>
        <w:tc>
          <w:tcPr>
            <w:tcW w:w="1705" w:type="dxa"/>
          </w:tcPr>
          <w:p w14:paraId="20FD852F"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 xml:space="preserve">Inhibition of sucrose export from source leaves </w:t>
            </w:r>
          </w:p>
        </w:tc>
        <w:tc>
          <w:tcPr>
            <w:tcW w:w="1843" w:type="dxa"/>
          </w:tcPr>
          <w:p w14:paraId="38EB101D"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Reduces apparent sink demand</w:t>
            </w:r>
          </w:p>
        </w:tc>
        <w:tc>
          <w:tcPr>
            <w:tcW w:w="2552" w:type="dxa"/>
          </w:tcPr>
          <w:p w14:paraId="2CD5F4ED"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Inhibition of photosynthesis</w:t>
            </w:r>
          </w:p>
        </w:tc>
        <w:tc>
          <w:tcPr>
            <w:tcW w:w="1417" w:type="dxa"/>
          </w:tcPr>
          <w:p w14:paraId="2721F5BA" w14:textId="071201DB" w:rsidR="00DF4522" w:rsidRPr="002974F8" w:rsidRDefault="00DF4522" w:rsidP="00CD06F5">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fldChar w:fldCharType="begin" w:fldLock="1"/>
            </w:r>
            <w:r w:rsidR="00906E41">
              <w:rPr>
                <w:rFonts w:ascii="Cambria" w:hAnsi="Cambria"/>
                <w:sz w:val="20"/>
                <w:szCs w:val="20"/>
              </w:rPr>
              <w:instrText>ADDIN CSL_CITATION { "citationItems" : [ { "id" : "ITEM-1", "itemData" : { "DOI" : "10.1104/pp.110.167684", "ISSN" : "1532-2548", "PMID" : "20971857", "author" : [ { "dropping-particle" : "", "family" : "Ainsworth", "given" : "Elizabeth A", "non-dropping-particle" : "", "parse-names" : false, "suffix" : "" }, { "dropping-particle" : "", "family" : "Bush", "given" : "Daniel R", "non-dropping-particle" : "", "parse-names" : false, "suffix" : "" } ], "container-title" : "Plant Physiology", "id" : "ITEM-1", "issue" : "1", "issued" : { "date-parts" : [ [ "2011", "1" ] ] }, "page" : "64-9", "title" : "Carbohydrate export from the leaf: a highly regulated process and target to enhance photosynthesis and productivity.", "type" : "article-journal", "volume" : "155" }, "uris" : [ "http://www.mendeley.com/documents/?uuid=1e757ecd-3097-4ea6-9928-73835421a18c" ] } ], "mendeley" : { "formattedCitation" : "(Ainsworth and Bush, 2011)", "manualFormatting" : "Ainsworth and Bush, 2011", "plainTextFormattedCitation" : "(Ainsworth and Bush, 2011)", "previouslyFormattedCitation" : "(Ainsworth and Bush, 2011)" }, "properties" : { "noteIndex" : 0 }, "schema" : "https://github.com/citation-style-language/schema/raw/master/csl-citation.json" }</w:instrText>
            </w:r>
            <w:r w:rsidRPr="002974F8">
              <w:rPr>
                <w:rFonts w:ascii="Cambria" w:hAnsi="Cambria"/>
                <w:sz w:val="20"/>
                <w:szCs w:val="20"/>
              </w:rPr>
              <w:fldChar w:fldCharType="separate"/>
            </w:r>
            <w:r w:rsidRPr="002974F8">
              <w:rPr>
                <w:rFonts w:ascii="Cambria" w:hAnsi="Cambria"/>
                <w:noProof/>
                <w:sz w:val="20"/>
                <w:szCs w:val="20"/>
              </w:rPr>
              <w:t>Ainsworth and Bush, 2011</w:t>
            </w:r>
            <w:r w:rsidRPr="002974F8">
              <w:rPr>
                <w:rFonts w:ascii="Cambria" w:hAnsi="Cambria"/>
                <w:sz w:val="20"/>
                <w:szCs w:val="20"/>
              </w:rPr>
              <w:fldChar w:fldCharType="end"/>
            </w:r>
          </w:p>
        </w:tc>
      </w:tr>
      <w:tr w:rsidR="00DF4522" w:rsidRPr="002974F8" w14:paraId="23AE2080" w14:textId="77777777" w:rsidTr="00FB53C0">
        <w:trPr>
          <w:trHeight w:val="994"/>
        </w:trPr>
        <w:tc>
          <w:tcPr>
            <w:cnfStyle w:val="001000000000" w:firstRow="0" w:lastRow="0" w:firstColumn="1" w:lastColumn="0" w:oddVBand="0" w:evenVBand="0" w:oddHBand="0" w:evenHBand="0" w:firstRowFirstColumn="0" w:firstRowLastColumn="0" w:lastRowFirstColumn="0" w:lastRowLastColumn="0"/>
            <w:tcW w:w="1238" w:type="dxa"/>
            <w:tcBorders>
              <w:right w:val="nil"/>
            </w:tcBorders>
          </w:tcPr>
          <w:p w14:paraId="1630D623" w14:textId="77777777" w:rsidR="00DF4522" w:rsidRPr="002974F8" w:rsidRDefault="00DF4522" w:rsidP="00FB53C0">
            <w:pPr>
              <w:pBdr>
                <w:bar w:val="single" w:sz="4" w:color="auto"/>
              </w:pBdr>
              <w:rPr>
                <w:rFonts w:ascii="Cambria" w:hAnsi="Cambria"/>
                <w:b w:val="0"/>
                <w:i/>
                <w:sz w:val="20"/>
                <w:szCs w:val="20"/>
              </w:rPr>
            </w:pPr>
            <w:r w:rsidRPr="002974F8">
              <w:rPr>
                <w:rFonts w:ascii="Cambria" w:hAnsi="Cambria"/>
                <w:b w:val="0"/>
                <w:i/>
                <w:sz w:val="20"/>
                <w:szCs w:val="20"/>
              </w:rPr>
              <w:t>Glycine max</w:t>
            </w:r>
          </w:p>
        </w:tc>
        <w:tc>
          <w:tcPr>
            <w:tcW w:w="1705" w:type="dxa"/>
            <w:tcBorders>
              <w:left w:val="nil"/>
              <w:right w:val="nil"/>
            </w:tcBorders>
          </w:tcPr>
          <w:p w14:paraId="6A93B43C"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Elevated CO</w:t>
            </w:r>
            <w:r w:rsidRPr="002974F8">
              <w:rPr>
                <w:rFonts w:ascii="Cambria" w:hAnsi="Cambria"/>
                <w:sz w:val="20"/>
                <w:szCs w:val="20"/>
                <w:vertAlign w:val="subscript"/>
              </w:rPr>
              <w:t>2</w:t>
            </w:r>
            <w:r w:rsidRPr="002974F8">
              <w:rPr>
                <w:rFonts w:ascii="Cambria" w:hAnsi="Cambria"/>
                <w:sz w:val="20"/>
                <w:szCs w:val="20"/>
              </w:rPr>
              <w:t xml:space="preserve">  </w:t>
            </w:r>
          </w:p>
          <w:p w14:paraId="3F76527D"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w:t>
            </w:r>
          </w:p>
          <w:p w14:paraId="39476671"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 xml:space="preserve">Genetic modification to make a determinate line of a cultivar normally showing indeterminate growth </w:t>
            </w:r>
          </w:p>
        </w:tc>
        <w:tc>
          <w:tcPr>
            <w:tcW w:w="1843" w:type="dxa"/>
            <w:tcBorders>
              <w:left w:val="nil"/>
              <w:right w:val="nil"/>
            </w:tcBorders>
          </w:tcPr>
          <w:p w14:paraId="0331DF83"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Increases source</w:t>
            </w:r>
          </w:p>
          <w:p w14:paraId="2B584BA1"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p w14:paraId="755A2B51"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Reduces sink</w:t>
            </w:r>
          </w:p>
        </w:tc>
        <w:tc>
          <w:tcPr>
            <w:tcW w:w="2552" w:type="dxa"/>
            <w:tcBorders>
              <w:left w:val="nil"/>
              <w:right w:val="nil"/>
            </w:tcBorders>
          </w:tcPr>
          <w:p w14:paraId="1F3CAC60"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 xml:space="preserve">Reduced sink capacity and decreased photosynthesis, due to increase in </w:t>
            </w:r>
            <w:proofErr w:type="spellStart"/>
            <w:r w:rsidRPr="002974F8">
              <w:rPr>
                <w:rFonts w:ascii="Cambria" w:hAnsi="Cambria"/>
                <w:sz w:val="20"/>
                <w:szCs w:val="20"/>
              </w:rPr>
              <w:t>source:sink</w:t>
            </w:r>
            <w:proofErr w:type="spellEnd"/>
            <w:r w:rsidRPr="002974F8">
              <w:rPr>
                <w:rFonts w:ascii="Cambria" w:hAnsi="Cambria"/>
                <w:sz w:val="20"/>
                <w:szCs w:val="20"/>
              </w:rPr>
              <w:t xml:space="preserve"> balance</w:t>
            </w:r>
          </w:p>
        </w:tc>
        <w:tc>
          <w:tcPr>
            <w:tcW w:w="1417" w:type="dxa"/>
            <w:tcBorders>
              <w:left w:val="nil"/>
            </w:tcBorders>
          </w:tcPr>
          <w:p w14:paraId="75ADB2B8" w14:textId="6573C723" w:rsidR="00DF4522" w:rsidRPr="002974F8" w:rsidRDefault="00DF4522" w:rsidP="00CD06F5">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fldChar w:fldCharType="begin" w:fldLock="1"/>
            </w:r>
            <w:r w:rsidR="00906E41">
              <w:rPr>
                <w:rFonts w:ascii="Cambria" w:hAnsi="Cambria"/>
                <w:sz w:val="20"/>
                <w:szCs w:val="20"/>
              </w:rPr>
              <w:instrText>ADDIN CSL_CITATION { "citationItems" : [ { "id" : "ITEM-1", "itemData" : { "DOI" : "10.1016/j.agrformet.2003.09.002", "ISSN" : "01681923", "author" : [ { "dropping-particle" : "", "family" : "Ainsworth", "given" : "Elizabeth A", "non-dropping-particle" : "", "parse-names" : false, "suffix" : "" }, { "dropping-particle" : "", "family" : "Rogers", "given" : "Alistair", "non-dropping-particle" : "", "parse-names" : false, "suffix" : "" }, { "dropping-particle" : "", "family" : "Nelson", "given" : "Randall", "non-dropping-particle" : "", "parse-names" : false, "suffix" : "" }, { "dropping-particle" : "", "family" : "Long", "given" : "Stephen P", "non-dropping-particle" : "", "parse-names" : false, "suffix" : "" } ], "container-title" : "Agricultural and Forest Meteorology", "id" : "ITEM-1", "issue" : "1-2", "issued" : { "date-parts" : [ [ "2004", "3" ] ] }, "page" : "85-94", "title" : "Testing the \u201csource\u2013sink\u201d hypothesis of down-regulation of photosynthesis in elevated [CO2] in the field with single gene substitutions in Glycine max", "type" : "article-journal", "volume" : "122" }, "uris" : [ "http://www.mendeley.com/documents/?uuid=212ed654-d1ec-47e4-9a05-b5a118151413" ] } ], "mendeley" : { "formattedCitation" : "(Ainsworth &lt;i&gt;et al.&lt;/i&gt;, 2004)", "manualFormatting" : "Ainsworth et al., 2004", "plainTextFormattedCitation" : "(Ainsworth et al., 2004)", "previouslyFormattedCitation" : "(Ainsworth &lt;i&gt;et al.&lt;/i&gt;, 2004)" }, "properties" : { "noteIndex" : 0 }, "schema" : "https://github.com/citation-style-language/schema/raw/master/csl-citation.json" }</w:instrText>
            </w:r>
            <w:r w:rsidRPr="002974F8">
              <w:rPr>
                <w:rFonts w:ascii="Cambria" w:hAnsi="Cambria"/>
                <w:sz w:val="20"/>
                <w:szCs w:val="20"/>
              </w:rPr>
              <w:fldChar w:fldCharType="separate"/>
            </w:r>
            <w:r w:rsidRPr="002C5907">
              <w:rPr>
                <w:rFonts w:ascii="Cambria" w:hAnsi="Cambria"/>
                <w:noProof/>
                <w:sz w:val="20"/>
                <w:szCs w:val="20"/>
              </w:rPr>
              <w:t xml:space="preserve">Ainsworth </w:t>
            </w:r>
            <w:r w:rsidRPr="002C5907">
              <w:rPr>
                <w:rFonts w:ascii="Cambria" w:hAnsi="Cambria"/>
                <w:i/>
                <w:noProof/>
                <w:sz w:val="20"/>
                <w:szCs w:val="20"/>
              </w:rPr>
              <w:t>et al.</w:t>
            </w:r>
            <w:r w:rsidRPr="002C5907">
              <w:rPr>
                <w:rFonts w:ascii="Cambria" w:hAnsi="Cambria"/>
                <w:noProof/>
                <w:sz w:val="20"/>
                <w:szCs w:val="20"/>
              </w:rPr>
              <w:t>, 2004</w:t>
            </w:r>
            <w:r w:rsidRPr="002974F8">
              <w:rPr>
                <w:rFonts w:ascii="Cambria" w:hAnsi="Cambria"/>
                <w:sz w:val="20"/>
                <w:szCs w:val="20"/>
              </w:rPr>
              <w:fldChar w:fldCharType="end"/>
            </w:r>
          </w:p>
        </w:tc>
      </w:tr>
      <w:tr w:rsidR="00DF4522" w:rsidRPr="002974F8" w14:paraId="63974961" w14:textId="77777777" w:rsidTr="00FB53C0">
        <w:trPr>
          <w:cnfStyle w:val="000000100000" w:firstRow="0" w:lastRow="0" w:firstColumn="0" w:lastColumn="0" w:oddVBand="0" w:evenVBand="0" w:oddHBand="1" w:evenHBand="0" w:firstRowFirstColumn="0" w:firstRowLastColumn="0" w:lastRowFirstColumn="0" w:lastRowLastColumn="0"/>
          <w:trHeight w:val="994"/>
        </w:trPr>
        <w:tc>
          <w:tcPr>
            <w:cnfStyle w:val="001000000000" w:firstRow="0" w:lastRow="0" w:firstColumn="1" w:lastColumn="0" w:oddVBand="0" w:evenVBand="0" w:oddHBand="0" w:evenHBand="0" w:firstRowFirstColumn="0" w:firstRowLastColumn="0" w:lastRowFirstColumn="0" w:lastRowLastColumn="0"/>
            <w:tcW w:w="1238" w:type="dxa"/>
          </w:tcPr>
          <w:p w14:paraId="6A219874" w14:textId="77777777" w:rsidR="00DF4522" w:rsidRPr="002974F8" w:rsidRDefault="00DF4522" w:rsidP="00FB53C0">
            <w:pPr>
              <w:pBdr>
                <w:bar w:val="single" w:sz="4" w:color="auto"/>
              </w:pBdr>
              <w:rPr>
                <w:rFonts w:ascii="Cambria" w:hAnsi="Cambria"/>
                <w:b w:val="0"/>
                <w:i/>
                <w:sz w:val="20"/>
                <w:szCs w:val="20"/>
              </w:rPr>
            </w:pPr>
            <w:proofErr w:type="spellStart"/>
            <w:r w:rsidRPr="002974F8">
              <w:rPr>
                <w:rFonts w:ascii="Cambria" w:hAnsi="Cambria"/>
                <w:b w:val="0"/>
                <w:i/>
                <w:sz w:val="20"/>
                <w:szCs w:val="20"/>
              </w:rPr>
              <w:t>Solanum</w:t>
            </w:r>
            <w:proofErr w:type="spellEnd"/>
            <w:r w:rsidRPr="002974F8">
              <w:rPr>
                <w:rFonts w:ascii="Cambria" w:hAnsi="Cambria"/>
                <w:b w:val="0"/>
                <w:i/>
                <w:sz w:val="20"/>
                <w:szCs w:val="20"/>
              </w:rPr>
              <w:t xml:space="preserve"> </w:t>
            </w:r>
            <w:proofErr w:type="spellStart"/>
            <w:r w:rsidRPr="002974F8">
              <w:rPr>
                <w:rFonts w:ascii="Cambria" w:hAnsi="Cambria"/>
                <w:b w:val="0"/>
                <w:i/>
                <w:sz w:val="20"/>
                <w:szCs w:val="20"/>
              </w:rPr>
              <w:t>tuberosum</w:t>
            </w:r>
            <w:proofErr w:type="spellEnd"/>
          </w:p>
        </w:tc>
        <w:tc>
          <w:tcPr>
            <w:tcW w:w="1705" w:type="dxa"/>
          </w:tcPr>
          <w:p w14:paraId="25E27EB2"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 xml:space="preserve">Transgenic reduction of ADP-glucose </w:t>
            </w:r>
            <w:proofErr w:type="spellStart"/>
            <w:r w:rsidRPr="002974F8">
              <w:rPr>
                <w:rFonts w:ascii="Cambria" w:hAnsi="Cambria"/>
                <w:sz w:val="20"/>
                <w:szCs w:val="20"/>
              </w:rPr>
              <w:t>pyrophos</w:t>
            </w:r>
            <w:r>
              <w:rPr>
                <w:rFonts w:ascii="Cambria" w:hAnsi="Cambria"/>
                <w:sz w:val="20"/>
                <w:szCs w:val="20"/>
              </w:rPr>
              <w:t>-</w:t>
            </w:r>
            <w:r w:rsidRPr="002974F8">
              <w:rPr>
                <w:rFonts w:ascii="Cambria" w:hAnsi="Cambria"/>
                <w:sz w:val="20"/>
                <w:szCs w:val="20"/>
              </w:rPr>
              <w:t>phorylase</w:t>
            </w:r>
            <w:proofErr w:type="spellEnd"/>
            <w:r w:rsidRPr="002974F8">
              <w:rPr>
                <w:rFonts w:ascii="Cambria" w:hAnsi="Cambria"/>
                <w:sz w:val="20"/>
                <w:szCs w:val="20"/>
              </w:rPr>
              <w:t xml:space="preserve"> </w:t>
            </w:r>
          </w:p>
        </w:tc>
        <w:tc>
          <w:tcPr>
            <w:tcW w:w="1843" w:type="dxa"/>
          </w:tcPr>
          <w:p w14:paraId="7D23435C"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Reduces sink capacity by reducing starch synthesis</w:t>
            </w:r>
          </w:p>
        </w:tc>
        <w:tc>
          <w:tcPr>
            <w:tcW w:w="2552" w:type="dxa"/>
          </w:tcPr>
          <w:p w14:paraId="4CDC1250"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Tuber sinks adapted by increasing sucrose content</w:t>
            </w:r>
          </w:p>
        </w:tc>
        <w:tc>
          <w:tcPr>
            <w:tcW w:w="1417" w:type="dxa"/>
          </w:tcPr>
          <w:p w14:paraId="31B76480" w14:textId="7D91F2FE" w:rsidR="00DF4522" w:rsidRPr="002974F8" w:rsidRDefault="00DF4522" w:rsidP="00CD06F5">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fldChar w:fldCharType="begin" w:fldLock="1"/>
            </w:r>
            <w:r w:rsidR="00906E41">
              <w:rPr>
                <w:rFonts w:ascii="Cambria" w:hAnsi="Cambria"/>
                <w:sz w:val="20"/>
                <w:szCs w:val="20"/>
              </w:rPr>
              <w:instrText>ADDIN CSL_CITATION { "citationItems" : [ { "id" : "ITEM-1", "itemData" : { "ISSN" : "0261-4189", "PMID" : "1373373", "abstract" : "Transgenic potato plants were created in which the expression of ADP-glucose pyrophosphorylase (AGPase) was inhibited by introducing a chimeric gene containing the coding region of one of the subunits of the AGPase linked in an antisense orientation to the CaMV 35S promoter. Partial inhibition of the AGPase enzyme was achieved in leaves and almost complete inhibition in tubers. This resulted in the abolition of starch formation in tubers, thus proving that AGPase has a unique role in starch biosynthesis in plants. Instead up to 30% of the dry weight of the transgenic potato tubers was represented by sucrose and up to 8% by glucose. The process of tuber formation also changed, resulting in significantly more tubers both per plant and per stolon. The accumulation of soluble sugars in tubers of antisense plants resulted in a significant increase of the total tuber fresh weight, but a decrease in dry weight of tubers. There was no significant change in the RNA levels of several other starch biosynthetic enzymes, but there was a great increase in the RNA level of the major sucrose synthesizing enzyme sucrose phosphate synthase. In addition, the inhibition of starch biosynthesis was accompanied by a massive reduction in the expression of the major storage protein species of potato tubers, supporting the idea that the expression of storage protein genes is in some way connected to carbohydrate formation in sink storage tissues.", "author" : [ { "dropping-particle" : "", "family" : "M\u00fcller-R\u00f6ber", "given" : "B", "non-dropping-particle" : "", "parse-names" : false, "suffix" : "" }, { "dropping-particle" : "", "family" : "Sonnewald", "given" : "U", "non-dropping-particle" : "", "parse-names" : false, "suffix" : "" }, { "dropping-particle" : "", "family" : "Willmitzer", "given" : "L", "non-dropping-particle" : "", "parse-names" : false, "suffix" : "" } ], "container-title" : "The EMBO Journal", "id" : "ITEM-1", "issue" : "4", "issued" : { "date-parts" : [ [ "1992", "4" ] ] }, "page" : "1229-38", "title" : "Inhibition of the ADP-glucose pyrophosphorylase in transgenic potatoes leads to sugar-storing tubers and influences tuber formation and expression of tuber storage protein genes.", "type" : "article-journal", "volume" : "11" }, "uris" : [ "http://www.mendeley.com/documents/?uuid=a2380847-18e9-4ec8-8f56-0c8f0a48bd18" ] } ], "mendeley" : { "formattedCitation" : "(M\u00fcller-R\u00f6ber &lt;i&gt;et al.&lt;/i&gt;, 1992)", "manualFormatting" : "M\u00fcller-R\u00f6ber et al., 1992", "plainTextFormattedCitation" : "(M\u00fcller-R\u00f6ber et al., 1992)", "previouslyFormattedCitation" : "(M\u00fcller-R\u00f6ber &lt;i&gt;et al.&lt;/i&gt;, 1992)" }, "properties" : { "noteIndex" : 0 }, "schema" : "https://github.com/citation-style-language/schema/raw/master/csl-citation.json" }</w:instrText>
            </w:r>
            <w:r w:rsidRPr="002974F8">
              <w:rPr>
                <w:rFonts w:ascii="Cambria" w:hAnsi="Cambria"/>
                <w:sz w:val="20"/>
                <w:szCs w:val="20"/>
              </w:rPr>
              <w:fldChar w:fldCharType="separate"/>
            </w:r>
            <w:r w:rsidRPr="002C5907">
              <w:rPr>
                <w:rFonts w:ascii="Cambria" w:hAnsi="Cambria"/>
                <w:noProof/>
                <w:sz w:val="20"/>
                <w:szCs w:val="20"/>
              </w:rPr>
              <w:t xml:space="preserve">Müller-Röber </w:t>
            </w:r>
            <w:r w:rsidRPr="002C5907">
              <w:rPr>
                <w:rFonts w:ascii="Cambria" w:hAnsi="Cambria"/>
                <w:i/>
                <w:noProof/>
                <w:sz w:val="20"/>
                <w:szCs w:val="20"/>
              </w:rPr>
              <w:t>et al.</w:t>
            </w:r>
            <w:r w:rsidRPr="002C5907">
              <w:rPr>
                <w:rFonts w:ascii="Cambria" w:hAnsi="Cambria"/>
                <w:noProof/>
                <w:sz w:val="20"/>
                <w:szCs w:val="20"/>
              </w:rPr>
              <w:t>, 1992</w:t>
            </w:r>
            <w:r w:rsidRPr="002974F8">
              <w:rPr>
                <w:rFonts w:ascii="Cambria" w:hAnsi="Cambria"/>
                <w:sz w:val="20"/>
                <w:szCs w:val="20"/>
              </w:rPr>
              <w:fldChar w:fldCharType="end"/>
            </w:r>
          </w:p>
        </w:tc>
      </w:tr>
      <w:tr w:rsidR="00DF4522" w:rsidRPr="002974F8" w14:paraId="3A144EC8" w14:textId="77777777" w:rsidTr="00FB53C0">
        <w:trPr>
          <w:trHeight w:val="994"/>
        </w:trPr>
        <w:tc>
          <w:tcPr>
            <w:cnfStyle w:val="001000000000" w:firstRow="0" w:lastRow="0" w:firstColumn="1" w:lastColumn="0" w:oddVBand="0" w:evenVBand="0" w:oddHBand="0" w:evenHBand="0" w:firstRowFirstColumn="0" w:firstRowLastColumn="0" w:lastRowFirstColumn="0" w:lastRowLastColumn="0"/>
            <w:tcW w:w="1238" w:type="dxa"/>
            <w:tcBorders>
              <w:right w:val="nil"/>
            </w:tcBorders>
          </w:tcPr>
          <w:p w14:paraId="3DE707FF" w14:textId="77777777" w:rsidR="00DF4522" w:rsidRPr="002974F8" w:rsidRDefault="00DF4522" w:rsidP="00FB53C0">
            <w:pPr>
              <w:pBdr>
                <w:bar w:val="single" w:sz="4" w:color="auto"/>
              </w:pBdr>
              <w:rPr>
                <w:rFonts w:ascii="Cambria" w:hAnsi="Cambria"/>
                <w:b w:val="0"/>
                <w:i/>
                <w:sz w:val="20"/>
                <w:szCs w:val="20"/>
              </w:rPr>
            </w:pPr>
            <w:proofErr w:type="spellStart"/>
            <w:r w:rsidRPr="002974F8">
              <w:rPr>
                <w:rFonts w:ascii="Cambria" w:hAnsi="Cambria"/>
                <w:b w:val="0"/>
                <w:i/>
                <w:sz w:val="20"/>
                <w:szCs w:val="20"/>
              </w:rPr>
              <w:t>Solanum</w:t>
            </w:r>
            <w:proofErr w:type="spellEnd"/>
            <w:r w:rsidRPr="002974F8">
              <w:rPr>
                <w:rFonts w:ascii="Cambria" w:hAnsi="Cambria"/>
                <w:b w:val="0"/>
                <w:i/>
                <w:sz w:val="20"/>
                <w:szCs w:val="20"/>
              </w:rPr>
              <w:t xml:space="preserve"> </w:t>
            </w:r>
            <w:proofErr w:type="spellStart"/>
            <w:r w:rsidRPr="002974F8">
              <w:rPr>
                <w:rFonts w:ascii="Cambria" w:hAnsi="Cambria"/>
                <w:b w:val="0"/>
                <w:i/>
                <w:sz w:val="20"/>
                <w:szCs w:val="20"/>
              </w:rPr>
              <w:t>tuberosum</w:t>
            </w:r>
            <w:proofErr w:type="spellEnd"/>
          </w:p>
        </w:tc>
        <w:tc>
          <w:tcPr>
            <w:tcW w:w="1705" w:type="dxa"/>
            <w:tcBorders>
              <w:left w:val="nil"/>
              <w:right w:val="nil"/>
            </w:tcBorders>
          </w:tcPr>
          <w:p w14:paraId="632AA1D8"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 xml:space="preserve">Transgenic reduction of ADP-glucose </w:t>
            </w:r>
            <w:proofErr w:type="spellStart"/>
            <w:r w:rsidRPr="002974F8">
              <w:rPr>
                <w:rFonts w:ascii="Cambria" w:hAnsi="Cambria"/>
                <w:sz w:val="20"/>
                <w:szCs w:val="20"/>
              </w:rPr>
              <w:t>pyrophos</w:t>
            </w:r>
            <w:r>
              <w:rPr>
                <w:rFonts w:ascii="Cambria" w:hAnsi="Cambria"/>
                <w:sz w:val="20"/>
                <w:szCs w:val="20"/>
              </w:rPr>
              <w:t>-</w:t>
            </w:r>
            <w:r w:rsidRPr="002974F8">
              <w:rPr>
                <w:rFonts w:ascii="Cambria" w:hAnsi="Cambria"/>
                <w:sz w:val="20"/>
                <w:szCs w:val="20"/>
              </w:rPr>
              <w:t>phorylase</w:t>
            </w:r>
            <w:proofErr w:type="spellEnd"/>
            <w:r w:rsidRPr="002974F8">
              <w:rPr>
                <w:rFonts w:ascii="Cambria" w:hAnsi="Cambria"/>
                <w:sz w:val="20"/>
                <w:szCs w:val="20"/>
              </w:rPr>
              <w:t xml:space="preserve"> </w:t>
            </w:r>
          </w:p>
          <w:p w14:paraId="758FBDFF"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w:t>
            </w:r>
          </w:p>
          <w:p w14:paraId="2678DA5F"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 xml:space="preserve">Transgenic expression of </w:t>
            </w:r>
            <w:proofErr w:type="spellStart"/>
            <w:r w:rsidRPr="002974F8">
              <w:rPr>
                <w:rFonts w:ascii="Cambria" w:hAnsi="Cambria"/>
                <w:sz w:val="20"/>
                <w:szCs w:val="20"/>
              </w:rPr>
              <w:t>fructan</w:t>
            </w:r>
            <w:proofErr w:type="spellEnd"/>
            <w:r w:rsidRPr="002974F8">
              <w:rPr>
                <w:rFonts w:ascii="Cambria" w:hAnsi="Cambria"/>
                <w:sz w:val="20"/>
                <w:szCs w:val="20"/>
              </w:rPr>
              <w:t xml:space="preserve"> biosynthesis enzymes </w:t>
            </w:r>
          </w:p>
        </w:tc>
        <w:tc>
          <w:tcPr>
            <w:tcW w:w="1843" w:type="dxa"/>
            <w:tcBorders>
              <w:left w:val="nil"/>
              <w:right w:val="nil"/>
            </w:tcBorders>
          </w:tcPr>
          <w:p w14:paraId="055E365F"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Reduces sink capacity by reducing starch synthesis</w:t>
            </w:r>
          </w:p>
          <w:p w14:paraId="0A589569"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p w14:paraId="036887C8"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Increases sink</w:t>
            </w:r>
          </w:p>
        </w:tc>
        <w:tc>
          <w:tcPr>
            <w:tcW w:w="2552" w:type="dxa"/>
            <w:tcBorders>
              <w:left w:val="nil"/>
              <w:right w:val="nil"/>
            </w:tcBorders>
          </w:tcPr>
          <w:p w14:paraId="5C2DC4B1"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 xml:space="preserve">Plants avoided yield reductions by synthesising </w:t>
            </w:r>
            <w:proofErr w:type="spellStart"/>
            <w:r w:rsidRPr="002974F8">
              <w:rPr>
                <w:rFonts w:ascii="Cambria" w:hAnsi="Cambria"/>
                <w:sz w:val="20"/>
                <w:szCs w:val="20"/>
              </w:rPr>
              <w:t>fructan</w:t>
            </w:r>
            <w:proofErr w:type="spellEnd"/>
            <w:r w:rsidRPr="002974F8">
              <w:rPr>
                <w:rFonts w:ascii="Cambria" w:hAnsi="Cambria"/>
                <w:sz w:val="20"/>
                <w:szCs w:val="20"/>
              </w:rPr>
              <w:t xml:space="preserve"> instead</w:t>
            </w:r>
          </w:p>
        </w:tc>
        <w:tc>
          <w:tcPr>
            <w:tcW w:w="1417" w:type="dxa"/>
            <w:tcBorders>
              <w:left w:val="nil"/>
            </w:tcBorders>
          </w:tcPr>
          <w:p w14:paraId="62DFAD9D" w14:textId="07D3B5B6" w:rsidR="00DF4522" w:rsidRPr="002974F8" w:rsidRDefault="00DF4522" w:rsidP="00CD06F5">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fldChar w:fldCharType="begin" w:fldLock="1"/>
            </w:r>
            <w:r w:rsidR="00906E41">
              <w:rPr>
                <w:rFonts w:ascii="Cambria" w:hAnsi="Cambria"/>
                <w:sz w:val="20"/>
                <w:szCs w:val="20"/>
              </w:rPr>
              <w:instrText>ADDIN CSL_CITATION { "citationItems" : [ { "id" : "ITEM-1", "itemData" : { "DOI" : "10.1111/j.1399-3054.2011.01495.x", "ISSN" : "1399-3054", "PMID" : "21679192", "abstract" : "To investigate whether the route from sucrose to starch limits sink strength of potato tubers, we established an additional storage carbohydrate pool and analyzed allocation of imported assimilates to the different pools. Tuber specific expression of the fructan biosynthetic enzymes of globe artichoke resulted in accumulation of fructans to about 5% of the starch level, but did not increase tuber dry weight per plant. While partial repression of starch synthesis caused yield reduction in wild-type plants, it stimulated fructan accumulation, and yield losses were ameliorated in tubers expressing fructosyltransferases. However, a nearly complete block of the starch pathway by inhibition of sucrose synthase could not be compensated by the fructan pathway. Although fructan concentrations rose, yield reduction was even enhanced, probably because of a futile cycle of fructan synthesis and degradation by invertase, which is induced when sucrose synthase is knocked out. The data do not support a limitation of sink strength by enzyme activities of the starch pathway but point to an energy limitation of storage carbohydrate formation in potato tubers.", "author" : [ { "dropping-particle" : "", "family" : "Zuther", "given" : "Ellen", "non-dropping-particle" : "", "parse-names" : false, "suffix" : "" }, { "dropping-particle" : "", "family" : "Hoermiller", "given" : "Imke I", "non-dropping-particle" : "", "parse-names" : false, "suffix" : "" }, { "dropping-particle" : "", "family" : "Heyer", "given" : "Arnd G", "non-dropping-particle" : "", "parse-names" : false, "suffix" : "" } ], "container-title" : "Physiologia Plantarum", "id" : "ITEM-1", "issue" : "2", "issued" : { "date-parts" : [ [ "2011", "10" ] ] }, "page" : "115-25", "title" : "Evidence against sink limitation by the sucrose-to-starch route in potato plants expressing fructosyltransferases.", "type" : "article-journal", "volume" : "143" }, "uris" : [ "http://www.mendeley.com/documents/?uuid=409c5986-2364-4e1e-8830-5458196a73a3" ] } ], "mendeley" : { "formattedCitation" : "(Zuther &lt;i&gt;et al.&lt;/i&gt;, 2011)", "manualFormatting" : "Zuther et al., 2011", "plainTextFormattedCitation" : "(Zuther et al., 2011)", "previouslyFormattedCitation" : "(Zuther &lt;i&gt;et al.&lt;/i&gt;, 2011)" }, "properties" : { "noteIndex" : 0 }, "schema" : "https://github.com/citation-style-language/schema/raw/master/csl-citation.json" }</w:instrText>
            </w:r>
            <w:r w:rsidRPr="002974F8">
              <w:rPr>
                <w:rFonts w:ascii="Cambria" w:hAnsi="Cambria"/>
                <w:sz w:val="20"/>
                <w:szCs w:val="20"/>
              </w:rPr>
              <w:fldChar w:fldCharType="separate"/>
            </w:r>
            <w:r w:rsidRPr="002C5907">
              <w:rPr>
                <w:rFonts w:ascii="Cambria" w:hAnsi="Cambria"/>
                <w:noProof/>
                <w:sz w:val="20"/>
                <w:szCs w:val="20"/>
              </w:rPr>
              <w:t xml:space="preserve">Zuther </w:t>
            </w:r>
            <w:r w:rsidRPr="002C5907">
              <w:rPr>
                <w:rFonts w:ascii="Cambria" w:hAnsi="Cambria"/>
                <w:i/>
                <w:noProof/>
                <w:sz w:val="20"/>
                <w:szCs w:val="20"/>
              </w:rPr>
              <w:t>et al.</w:t>
            </w:r>
            <w:r w:rsidRPr="002C5907">
              <w:rPr>
                <w:rFonts w:ascii="Cambria" w:hAnsi="Cambria"/>
                <w:noProof/>
                <w:sz w:val="20"/>
                <w:szCs w:val="20"/>
              </w:rPr>
              <w:t>, 2011</w:t>
            </w:r>
            <w:r w:rsidRPr="002974F8">
              <w:rPr>
                <w:rFonts w:ascii="Cambria" w:hAnsi="Cambria"/>
                <w:sz w:val="20"/>
                <w:szCs w:val="20"/>
              </w:rPr>
              <w:fldChar w:fldCharType="end"/>
            </w:r>
          </w:p>
        </w:tc>
      </w:tr>
      <w:tr w:rsidR="00DF4522" w:rsidRPr="002974F8" w14:paraId="7BD01A36" w14:textId="77777777" w:rsidTr="00FB53C0">
        <w:trPr>
          <w:cnfStyle w:val="000000100000" w:firstRow="0" w:lastRow="0" w:firstColumn="0" w:lastColumn="0" w:oddVBand="0" w:evenVBand="0" w:oddHBand="1" w:evenHBand="0" w:firstRowFirstColumn="0" w:firstRowLastColumn="0" w:lastRowFirstColumn="0" w:lastRowLastColumn="0"/>
          <w:trHeight w:val="994"/>
        </w:trPr>
        <w:tc>
          <w:tcPr>
            <w:cnfStyle w:val="001000000000" w:firstRow="0" w:lastRow="0" w:firstColumn="1" w:lastColumn="0" w:oddVBand="0" w:evenVBand="0" w:oddHBand="0" w:evenHBand="0" w:firstRowFirstColumn="0" w:firstRowLastColumn="0" w:lastRowFirstColumn="0" w:lastRowLastColumn="0"/>
            <w:tcW w:w="1238" w:type="dxa"/>
          </w:tcPr>
          <w:p w14:paraId="381F13F7" w14:textId="77777777" w:rsidR="00DF4522" w:rsidRPr="002974F8" w:rsidRDefault="00DF4522" w:rsidP="00FB53C0">
            <w:pPr>
              <w:pBdr>
                <w:bar w:val="single" w:sz="4" w:color="auto"/>
              </w:pBdr>
              <w:rPr>
                <w:rFonts w:ascii="Cambria" w:hAnsi="Cambria"/>
                <w:b w:val="0"/>
                <w:i/>
                <w:sz w:val="20"/>
                <w:szCs w:val="20"/>
              </w:rPr>
            </w:pPr>
            <w:proofErr w:type="spellStart"/>
            <w:r w:rsidRPr="002974F8">
              <w:rPr>
                <w:rFonts w:ascii="Cambria" w:hAnsi="Cambria"/>
                <w:b w:val="0"/>
                <w:i/>
                <w:sz w:val="20"/>
                <w:szCs w:val="20"/>
              </w:rPr>
              <w:t>Tricitum</w:t>
            </w:r>
            <w:proofErr w:type="spellEnd"/>
            <w:r w:rsidRPr="002974F8">
              <w:rPr>
                <w:rFonts w:ascii="Cambria" w:hAnsi="Cambria"/>
                <w:b w:val="0"/>
                <w:i/>
                <w:sz w:val="20"/>
                <w:szCs w:val="20"/>
              </w:rPr>
              <w:t xml:space="preserve"> </w:t>
            </w:r>
            <w:proofErr w:type="spellStart"/>
            <w:r w:rsidRPr="002974F8">
              <w:rPr>
                <w:rFonts w:ascii="Cambria" w:hAnsi="Cambria"/>
                <w:b w:val="0"/>
                <w:i/>
                <w:sz w:val="20"/>
                <w:szCs w:val="20"/>
              </w:rPr>
              <w:t>aestivum</w:t>
            </w:r>
            <w:proofErr w:type="spellEnd"/>
          </w:p>
        </w:tc>
        <w:tc>
          <w:tcPr>
            <w:tcW w:w="1705" w:type="dxa"/>
          </w:tcPr>
          <w:p w14:paraId="1B4DC53F"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 xml:space="preserve">Transgenic modification to increase sucrose uptake in developing grains </w:t>
            </w:r>
          </w:p>
        </w:tc>
        <w:tc>
          <w:tcPr>
            <w:tcW w:w="1843" w:type="dxa"/>
          </w:tcPr>
          <w:p w14:paraId="1194C58D"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Increases sink</w:t>
            </w:r>
          </w:p>
        </w:tc>
        <w:tc>
          <w:tcPr>
            <w:tcW w:w="2552" w:type="dxa"/>
          </w:tcPr>
          <w:p w14:paraId="136B6687"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Storage protein synthesis increased</w:t>
            </w:r>
          </w:p>
        </w:tc>
        <w:tc>
          <w:tcPr>
            <w:tcW w:w="1417" w:type="dxa"/>
          </w:tcPr>
          <w:p w14:paraId="1A48F447" w14:textId="7C27B7EC" w:rsidR="00DF4522" w:rsidRPr="002974F8" w:rsidRDefault="00DF4522" w:rsidP="00CD06F5">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fldChar w:fldCharType="begin" w:fldLock="1"/>
            </w:r>
            <w:r w:rsidR="00906E41">
              <w:rPr>
                <w:rFonts w:ascii="Cambria" w:hAnsi="Cambria"/>
                <w:sz w:val="20"/>
                <w:szCs w:val="20"/>
              </w:rPr>
              <w:instrText>ADDIN CSL_CITATION { "citationItems" : [ { "id" : "ITEM-1", "itemData" : { "DOI" : "10.1104/pp.109.150854", "ISSN" : "1532-2548", "PMID" : "20018590", "abstract" : "Increasing grain sink strength by improving assimilate uptake capacity could be a promising approach toward getting higher yield. The barley (Hordeum vulgare) sucrose transporter HvSUT1 (SUT) was expressed under control of the endosperm-specific Hordein B1 promoter (HO). Compared with the wild type, transgenic HOSUT grains take up more sucrose (Suc) in vitro, showing that the transgene is functional. Grain Suc levels are not altered, indicating that Suc fluxes are influenced rather than steady-state levels. HOSUT grains have increased percentages of total nitrogen and prolamins, which is reflected in increased levels of phenylalanine, tyrosine, tryptophan, isoleucine, and leucine at late grain development. Transcript profiling indicates specific stimulation of prolamin gene expression at the onset of storage phase. Changes in gene expression and metabolite levels related to carbon metabolism and amino acid biosynthesis suggest deregulated carbon-nitrogen balance, which together indicate carbon sufficiency and relative depletion of nitrogen. Genes, deregulated together with prolamin genes, might represent candidates, which respond positively to assimilate supply and are related to sugar-starch metabolism, cytokinin and brassinosteroid functions, cell proliferation, and sugar/abscisic acid signaling. Genes showing inverse expression patterns represent potential negative regulators. It is concluded that HvSUT1 overexpression increases grain protein content but also deregulates the metabolic status of wheat (Triticum aestivum) grains, accompanied by up-regulated gene expression of positive and negative regulators related to sugar signaling and assimilate supply. In HOSUT grains, alternating stimulation of positive and negative regulators causes oscillatory patterns of gene expression and highlights the capacity and great flexibility to adjust wheat grain storage metabolism in response to metabolic alterations.", "author" : [ { "dropping-particle" : "", "family" : "Weichert", "given" : "Nicola", "non-dropping-particle" : "", "parse-names" : false, "suffix" : "" }, { "dropping-particle" : "", "family" : "Saalbach", "given" : "Isolde", "non-dropping-particle" : "", "parse-names" : false, "suffix" : "" }, { "dropping-particle" : "", "family" : "Weichert", "given" : "Heiko", "non-dropping-particle" : "", "parse-names" : false, "suffix" : "" }, { "dropping-particle" : "", "family" : "Kohl", "given" : "Stefan", "non-dropping-particle" : "", "parse-names" : false, "suffix" : "" }, { "dropping-particle" : "", "family" : "Erban", "given" : "Alexander", "non-dropping-particle" : "", "parse-names" : false, "suffix" : "" }, { "dropping-particle" : "", "family" : "Kopka", "given" : "Joachim", "non-dropping-particle" : "", "parse-names" : false, "suffix" : "" }, { "dropping-particle" : "", "family" : "Hause", "given" : "Bettina", "non-dropping-particle" : "", "parse-names" : false, "suffix" : "" }, { "dropping-particle" : "", "family" : "Varshney", "given" : "Alok", "non-dropping-particle" : "", "parse-names" : false, "suffix" : "" }, { "dropping-particle" : "", "family" : "Sreenivasulu", "given" : "Nese", "non-dropping-particle" : "", "parse-names" : false, "suffix" : "" }, { "dropping-particle" : "", "family" : "Strickert", "given" : "Marc", "non-dropping-particle" : "", "parse-names" : false, "suffix" : "" }, { "dropping-particle" : "", "family" : "Kumlehn", "given" : "Jochen", "non-dropping-particle" : "", "parse-names" : false, "suffix" : "" }, { "dropping-particle" : "", "family" : "Weschke", "given" : "Winfriede", "non-dropping-particle" : "", "parse-names" : false, "suffix" : "" }, { "dropping-particle" : "", "family" : "Weber", "given" : "Hans", "non-dropping-particle" : "", "parse-names" : false, "suffix" : "" } ], "container-title" : "Plant Physiology", "id" : "ITEM-1", "issue" : "2", "issued" : { "date-parts" : [ [ "2010", "2" ] ] }, "page" : "698-710", "title" : "Increasing sucrose uptake capacity of wheat grains stimulates storage protein synthesis.", "type" : "article-journal", "volume" : "152" }, "uris" : [ "http://www.mendeley.com/documents/?uuid=262e0da9-5b42-4bd6-a5ff-3139d8f974ea" ] } ], "mendeley" : { "formattedCitation" : "(Weichert &lt;i&gt;et al.&lt;/i&gt;, 2010)", "manualFormatting" : "Weichert et al., 2010", "plainTextFormattedCitation" : "(Weichert et al., 2010)", "previouslyFormattedCitation" : "(Weichert &lt;i&gt;et al.&lt;/i&gt;, 2010)" }, "properties" : { "noteIndex" : 0 }, "schema" : "https://github.com/citation-style-language/schema/raw/master/csl-citation.json" }</w:instrText>
            </w:r>
            <w:r w:rsidRPr="002974F8">
              <w:rPr>
                <w:rFonts w:ascii="Cambria" w:hAnsi="Cambria"/>
                <w:sz w:val="20"/>
                <w:szCs w:val="20"/>
              </w:rPr>
              <w:fldChar w:fldCharType="separate"/>
            </w:r>
            <w:r w:rsidRPr="002C5907">
              <w:rPr>
                <w:rFonts w:ascii="Cambria" w:hAnsi="Cambria"/>
                <w:noProof/>
                <w:sz w:val="20"/>
                <w:szCs w:val="20"/>
              </w:rPr>
              <w:t xml:space="preserve">Weichert </w:t>
            </w:r>
            <w:r w:rsidRPr="002C5907">
              <w:rPr>
                <w:rFonts w:ascii="Cambria" w:hAnsi="Cambria"/>
                <w:i/>
                <w:noProof/>
                <w:sz w:val="20"/>
                <w:szCs w:val="20"/>
              </w:rPr>
              <w:t>et al.</w:t>
            </w:r>
            <w:r w:rsidRPr="002C5907">
              <w:rPr>
                <w:rFonts w:ascii="Cambria" w:hAnsi="Cambria"/>
                <w:noProof/>
                <w:sz w:val="20"/>
                <w:szCs w:val="20"/>
              </w:rPr>
              <w:t>, 2010</w:t>
            </w:r>
            <w:r w:rsidRPr="002974F8">
              <w:rPr>
                <w:rFonts w:ascii="Cambria" w:hAnsi="Cambria"/>
                <w:sz w:val="20"/>
                <w:szCs w:val="20"/>
              </w:rPr>
              <w:fldChar w:fldCharType="end"/>
            </w:r>
          </w:p>
        </w:tc>
      </w:tr>
      <w:tr w:rsidR="00DF4522" w:rsidRPr="0077311E" w14:paraId="608AC958" w14:textId="77777777" w:rsidTr="00FB53C0">
        <w:trPr>
          <w:trHeight w:val="416"/>
        </w:trPr>
        <w:tc>
          <w:tcPr>
            <w:cnfStyle w:val="001000000000" w:firstRow="0" w:lastRow="0" w:firstColumn="1" w:lastColumn="0" w:oddVBand="0" w:evenVBand="0" w:oddHBand="0" w:evenHBand="0" w:firstRowFirstColumn="0" w:firstRowLastColumn="0" w:lastRowFirstColumn="0" w:lastRowLastColumn="0"/>
            <w:tcW w:w="1238" w:type="dxa"/>
            <w:tcBorders>
              <w:bottom w:val="single" w:sz="4" w:space="0" w:color="1F497D" w:themeColor="text2"/>
              <w:right w:val="nil"/>
            </w:tcBorders>
          </w:tcPr>
          <w:p w14:paraId="798A8253" w14:textId="77777777" w:rsidR="00DF4522" w:rsidRPr="0077311E" w:rsidRDefault="00DF4522" w:rsidP="00FB53C0">
            <w:pPr>
              <w:pBdr>
                <w:bar w:val="single" w:sz="4" w:color="auto"/>
              </w:pBdr>
              <w:rPr>
                <w:rFonts w:ascii="Cambria" w:hAnsi="Cambria"/>
                <w:sz w:val="20"/>
                <w:szCs w:val="20"/>
              </w:rPr>
            </w:pPr>
            <w:r w:rsidRPr="0077311E">
              <w:rPr>
                <w:rFonts w:ascii="Cambria" w:hAnsi="Cambria"/>
                <w:sz w:val="20"/>
                <w:szCs w:val="20"/>
              </w:rPr>
              <w:t>Species</w:t>
            </w:r>
          </w:p>
        </w:tc>
        <w:tc>
          <w:tcPr>
            <w:tcW w:w="1705" w:type="dxa"/>
            <w:tcBorders>
              <w:left w:val="nil"/>
              <w:bottom w:val="single" w:sz="4" w:space="0" w:color="1F497D" w:themeColor="text2"/>
              <w:right w:val="nil"/>
            </w:tcBorders>
          </w:tcPr>
          <w:p w14:paraId="51B69BF8" w14:textId="77777777" w:rsidR="00DF4522" w:rsidRPr="0077311E" w:rsidRDefault="00DF4522" w:rsidP="00FB53C0">
            <w:pPr>
              <w:pBdr>
                <w:bar w:val="single" w:sz="4" w:color="auto"/>
              </w:pBdr>
              <w:tabs>
                <w:tab w:val="center" w:pos="1639"/>
              </w:tabs>
              <w:cnfStyle w:val="000000000000" w:firstRow="0" w:lastRow="0" w:firstColumn="0" w:lastColumn="0" w:oddVBand="0" w:evenVBand="0" w:oddHBand="0" w:evenHBand="0" w:firstRowFirstColumn="0" w:firstRowLastColumn="0" w:lastRowFirstColumn="0" w:lastRowLastColumn="0"/>
              <w:rPr>
                <w:rFonts w:ascii="Cambria" w:hAnsi="Cambria"/>
                <w:b/>
                <w:sz w:val="20"/>
                <w:szCs w:val="20"/>
              </w:rPr>
            </w:pPr>
            <w:r w:rsidRPr="0077311E">
              <w:rPr>
                <w:rFonts w:ascii="Cambria" w:hAnsi="Cambria"/>
                <w:b/>
                <w:sz w:val="20"/>
                <w:szCs w:val="20"/>
              </w:rPr>
              <w:t>Manipulation</w:t>
            </w:r>
          </w:p>
        </w:tc>
        <w:tc>
          <w:tcPr>
            <w:tcW w:w="1843" w:type="dxa"/>
            <w:tcBorders>
              <w:left w:val="nil"/>
              <w:bottom w:val="single" w:sz="4" w:space="0" w:color="1F497D" w:themeColor="text2"/>
              <w:right w:val="nil"/>
            </w:tcBorders>
          </w:tcPr>
          <w:p w14:paraId="658A4FA2" w14:textId="77777777" w:rsidR="00DF4522" w:rsidRPr="0077311E"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b/>
                <w:sz w:val="20"/>
                <w:szCs w:val="20"/>
              </w:rPr>
            </w:pPr>
            <w:r w:rsidRPr="0077311E">
              <w:rPr>
                <w:rFonts w:ascii="Cambria" w:hAnsi="Cambria"/>
                <w:b/>
                <w:sz w:val="20"/>
                <w:szCs w:val="20"/>
              </w:rPr>
              <w:t>Effect</w:t>
            </w:r>
          </w:p>
        </w:tc>
        <w:tc>
          <w:tcPr>
            <w:tcW w:w="2552" w:type="dxa"/>
            <w:tcBorders>
              <w:left w:val="nil"/>
              <w:bottom w:val="single" w:sz="4" w:space="0" w:color="1F497D" w:themeColor="text2"/>
              <w:right w:val="nil"/>
            </w:tcBorders>
          </w:tcPr>
          <w:p w14:paraId="061DF231" w14:textId="77777777" w:rsidR="00DF4522" w:rsidRPr="0077311E"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b/>
                <w:sz w:val="20"/>
                <w:szCs w:val="20"/>
              </w:rPr>
            </w:pPr>
            <w:r>
              <w:rPr>
                <w:rFonts w:ascii="Cambria" w:hAnsi="Cambria"/>
                <w:b/>
                <w:sz w:val="20"/>
                <w:szCs w:val="20"/>
              </w:rPr>
              <w:t>Key r</w:t>
            </w:r>
            <w:r w:rsidRPr="0077311E">
              <w:rPr>
                <w:rFonts w:ascii="Cambria" w:hAnsi="Cambria"/>
                <w:b/>
                <w:sz w:val="20"/>
                <w:szCs w:val="20"/>
              </w:rPr>
              <w:t>esult</w:t>
            </w:r>
          </w:p>
        </w:tc>
        <w:tc>
          <w:tcPr>
            <w:tcW w:w="1417" w:type="dxa"/>
            <w:tcBorders>
              <w:left w:val="nil"/>
              <w:bottom w:val="single" w:sz="4" w:space="0" w:color="1F497D" w:themeColor="text2"/>
            </w:tcBorders>
          </w:tcPr>
          <w:p w14:paraId="45E0EA56" w14:textId="77777777" w:rsidR="00DF4522" w:rsidRPr="0077311E"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b/>
                <w:sz w:val="20"/>
                <w:szCs w:val="20"/>
              </w:rPr>
            </w:pPr>
            <w:r w:rsidRPr="0077311E">
              <w:rPr>
                <w:rFonts w:ascii="Cambria" w:hAnsi="Cambria"/>
                <w:b/>
                <w:sz w:val="20"/>
                <w:szCs w:val="20"/>
              </w:rPr>
              <w:t>Reference</w:t>
            </w:r>
          </w:p>
        </w:tc>
      </w:tr>
      <w:tr w:rsidR="00DF4522" w:rsidRPr="002974F8" w14:paraId="1ADF3B4B" w14:textId="77777777" w:rsidTr="00FB53C0">
        <w:trPr>
          <w:cnfStyle w:val="000000100000" w:firstRow="0" w:lastRow="0" w:firstColumn="0" w:lastColumn="0" w:oddVBand="0" w:evenVBand="0" w:oddHBand="1" w:evenHBand="0" w:firstRowFirstColumn="0" w:firstRowLastColumn="0" w:lastRowFirstColumn="0" w:lastRowLastColumn="0"/>
          <w:trHeight w:val="994"/>
        </w:trPr>
        <w:tc>
          <w:tcPr>
            <w:cnfStyle w:val="001000000000" w:firstRow="0" w:lastRow="0" w:firstColumn="1" w:lastColumn="0" w:oddVBand="0" w:evenVBand="0" w:oddHBand="0" w:evenHBand="0" w:firstRowFirstColumn="0" w:firstRowLastColumn="0" w:lastRowFirstColumn="0" w:lastRowLastColumn="0"/>
            <w:tcW w:w="1238" w:type="dxa"/>
            <w:tcBorders>
              <w:top w:val="single" w:sz="4" w:space="0" w:color="1F497D" w:themeColor="text2"/>
            </w:tcBorders>
          </w:tcPr>
          <w:p w14:paraId="475B2895" w14:textId="77777777" w:rsidR="00DF4522" w:rsidRPr="002974F8" w:rsidRDefault="00DF4522" w:rsidP="00FB53C0">
            <w:pPr>
              <w:pBdr>
                <w:bar w:val="single" w:sz="4" w:color="auto"/>
              </w:pBdr>
              <w:rPr>
                <w:rFonts w:ascii="Cambria" w:hAnsi="Cambria"/>
                <w:b w:val="0"/>
                <w:i/>
                <w:sz w:val="20"/>
                <w:szCs w:val="20"/>
              </w:rPr>
            </w:pPr>
            <w:proofErr w:type="spellStart"/>
            <w:r w:rsidRPr="002974F8">
              <w:rPr>
                <w:rFonts w:ascii="Cambria" w:hAnsi="Cambria"/>
                <w:b w:val="0"/>
                <w:i/>
                <w:sz w:val="20"/>
                <w:szCs w:val="20"/>
              </w:rPr>
              <w:t>Triticum</w:t>
            </w:r>
            <w:proofErr w:type="spellEnd"/>
            <w:r w:rsidRPr="002974F8">
              <w:rPr>
                <w:rFonts w:ascii="Cambria" w:hAnsi="Cambria"/>
                <w:b w:val="0"/>
                <w:i/>
                <w:sz w:val="20"/>
                <w:szCs w:val="20"/>
              </w:rPr>
              <w:t xml:space="preserve"> </w:t>
            </w:r>
            <w:proofErr w:type="spellStart"/>
            <w:r w:rsidRPr="002974F8">
              <w:rPr>
                <w:rFonts w:ascii="Cambria" w:hAnsi="Cambria"/>
                <w:b w:val="0"/>
                <w:i/>
                <w:sz w:val="20"/>
                <w:szCs w:val="20"/>
              </w:rPr>
              <w:t>aestivum</w:t>
            </w:r>
            <w:proofErr w:type="spellEnd"/>
          </w:p>
        </w:tc>
        <w:tc>
          <w:tcPr>
            <w:tcW w:w="1705" w:type="dxa"/>
            <w:tcBorders>
              <w:top w:val="single" w:sz="4" w:space="0" w:color="1F497D" w:themeColor="text2"/>
            </w:tcBorders>
          </w:tcPr>
          <w:p w14:paraId="0F30C063"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Elevated CO</w:t>
            </w:r>
            <w:r w:rsidRPr="002974F8">
              <w:rPr>
                <w:rFonts w:ascii="Cambria" w:hAnsi="Cambria"/>
                <w:sz w:val="20"/>
                <w:szCs w:val="20"/>
                <w:vertAlign w:val="subscript"/>
              </w:rPr>
              <w:t>2</w:t>
            </w:r>
            <w:r w:rsidRPr="002974F8">
              <w:rPr>
                <w:rFonts w:ascii="Cambria" w:hAnsi="Cambria"/>
                <w:sz w:val="20"/>
                <w:szCs w:val="20"/>
              </w:rPr>
              <w:t xml:space="preserve"> </w:t>
            </w:r>
          </w:p>
          <w:p w14:paraId="5C514ACA"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w:t>
            </w:r>
          </w:p>
          <w:p w14:paraId="35AF0365"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Addition of nitrogen in proportion to growth</w:t>
            </w:r>
          </w:p>
        </w:tc>
        <w:tc>
          <w:tcPr>
            <w:tcW w:w="1843" w:type="dxa"/>
            <w:tcBorders>
              <w:top w:val="single" w:sz="4" w:space="0" w:color="1F497D" w:themeColor="text2"/>
            </w:tcBorders>
          </w:tcPr>
          <w:p w14:paraId="162215A2"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Increases source</w:t>
            </w:r>
          </w:p>
          <w:p w14:paraId="34A49675"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p>
          <w:p w14:paraId="292CDF98"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Increases sink</w:t>
            </w:r>
          </w:p>
        </w:tc>
        <w:tc>
          <w:tcPr>
            <w:tcW w:w="2552" w:type="dxa"/>
            <w:tcBorders>
              <w:top w:val="single" w:sz="4" w:space="0" w:color="1F497D" w:themeColor="text2"/>
            </w:tcBorders>
          </w:tcPr>
          <w:p w14:paraId="398AA2EF"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Acclimation of photosynthesis did not occur when nitrogen was added in this way</w:t>
            </w:r>
          </w:p>
        </w:tc>
        <w:tc>
          <w:tcPr>
            <w:tcW w:w="1417" w:type="dxa"/>
            <w:tcBorders>
              <w:top w:val="single" w:sz="4" w:space="0" w:color="1F497D" w:themeColor="text2"/>
            </w:tcBorders>
          </w:tcPr>
          <w:p w14:paraId="16998710" w14:textId="5F603646" w:rsidR="00DF4522" w:rsidRPr="002974F8" w:rsidRDefault="00DF4522" w:rsidP="00CD06F5">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fldChar w:fldCharType="begin" w:fldLock="1"/>
            </w:r>
            <w:r w:rsidR="00906E41">
              <w:rPr>
                <w:rFonts w:ascii="Cambria" w:hAnsi="Cambria"/>
                <w:sz w:val="20"/>
                <w:szCs w:val="20"/>
              </w:rPr>
              <w:instrText>ADDIN CSL_CITATION { "citationItems" : [ { "id" : "ITEM-1", "itemData" : { "ISSN" : "1532-2548", "PMID" : "9765543", "abstract" : "Long-term exposure of plants to elevated partial pressures of CO2 (pCO2) often depresses photosynthetic capacity. The mechanistic basis for this photosynthetic acclimation may involve accumulation of carbohydrate and may be promoted by nutrient limitation. However, our current knowledge is inadequate for making reliable predictions concerning the onset and extent of acclimation. Many studies have sought to investigate the effects of N supply but the methodologies used generally do not allow separation of the direct effects of limited N availability from those caused by a N dilution effect due to accelerated growth at elevated pCO2. To dissociate these interactions, wheat (Triticum aestivum L.) was grown hydroponically and N was added in direct proportion to plant growth. Photosynthesis did not acclimate to elevated pCO2 even when growth was restricted by a low-N relative addition rate. Ribulose-1, 5-bisphosphate carboxylase/oxygenase activity and quantity were maintained, there was no evidence for triose phosphate limitation of photosynthesis, and tissue N content remained within the range recorded for healthy wheat plants. In contrast, wheat grown in sand culture with N supplied at a fixed concentration suffered photosynthetic acclimation at elevated pCO2 in a low-N treatment. This was accompanied by a significant reduction in the quantity of active ribulose-1, 5-bisphosphate carboxylase/oxygenase and leaf N content.", "author" : [ { "dropping-particle" : "", "family" : "Farage", "given" : "PK", "non-dropping-particle" : "", "parse-names" : false, "suffix" : "" }, { "dropping-particle" : "", "family" : "McKee", "given" : "IF", "non-dropping-particle" : "", "parse-names" : false, "suffix" : "" }, { "dropping-particle" : "", "family" : "Long", "given" : "SP", "non-dropping-particle" : "", "parse-names" : false, "suffix" : "" } ], "container-title" : "Plant Physiology", "id" : "ITEM-1", "issue" : "2", "issued" : { "date-parts" : [ [ "1998", "10" ] ] }, "page" : "573-80", "title" : "Does a low nitrogen supply necessarily lead to acclimation of photosynthesis to elevated CO2?", "type" : "article-journal", "volume" : "118" }, "uris" : [ "http://www.mendeley.com/documents/?uuid=e71bdee4-0f0f-485a-ac61-5673528705bd" ] } ], "mendeley" : { "formattedCitation" : "(Farage &lt;i&gt;et al.&lt;/i&gt;, 1998)", "manualFormatting" : "Farage et al., 1998", "plainTextFormattedCitation" : "(Farage et al., 1998)", "previouslyFormattedCitation" : "(Farage &lt;i&gt;et al.&lt;/i&gt;, 1998)" }, "properties" : { "noteIndex" : 0 }, "schema" : "https://github.com/citation-style-language/schema/raw/master/csl-citation.json" }</w:instrText>
            </w:r>
            <w:r w:rsidRPr="002974F8">
              <w:rPr>
                <w:rFonts w:ascii="Cambria" w:hAnsi="Cambria"/>
                <w:sz w:val="20"/>
                <w:szCs w:val="20"/>
              </w:rPr>
              <w:fldChar w:fldCharType="separate"/>
            </w:r>
            <w:r w:rsidRPr="002C5907">
              <w:rPr>
                <w:rFonts w:ascii="Cambria" w:hAnsi="Cambria"/>
                <w:noProof/>
                <w:sz w:val="20"/>
                <w:szCs w:val="20"/>
              </w:rPr>
              <w:t xml:space="preserve">Farage </w:t>
            </w:r>
            <w:r w:rsidRPr="002C5907">
              <w:rPr>
                <w:rFonts w:ascii="Cambria" w:hAnsi="Cambria"/>
                <w:i/>
                <w:noProof/>
                <w:sz w:val="20"/>
                <w:szCs w:val="20"/>
              </w:rPr>
              <w:t>et al.</w:t>
            </w:r>
            <w:r w:rsidRPr="002C5907">
              <w:rPr>
                <w:rFonts w:ascii="Cambria" w:hAnsi="Cambria"/>
                <w:noProof/>
                <w:sz w:val="20"/>
                <w:szCs w:val="20"/>
              </w:rPr>
              <w:t>, 1998</w:t>
            </w:r>
            <w:r w:rsidRPr="002974F8">
              <w:rPr>
                <w:rFonts w:ascii="Cambria" w:hAnsi="Cambria"/>
                <w:sz w:val="20"/>
                <w:szCs w:val="20"/>
              </w:rPr>
              <w:fldChar w:fldCharType="end"/>
            </w:r>
          </w:p>
        </w:tc>
      </w:tr>
      <w:tr w:rsidR="00DF4522" w:rsidRPr="002974F8" w14:paraId="4DE15A6D" w14:textId="77777777" w:rsidTr="00FB53C0">
        <w:trPr>
          <w:trHeight w:val="994"/>
        </w:trPr>
        <w:tc>
          <w:tcPr>
            <w:cnfStyle w:val="001000000000" w:firstRow="0" w:lastRow="0" w:firstColumn="1" w:lastColumn="0" w:oddVBand="0" w:evenVBand="0" w:oddHBand="0" w:evenHBand="0" w:firstRowFirstColumn="0" w:firstRowLastColumn="0" w:lastRowFirstColumn="0" w:lastRowLastColumn="0"/>
            <w:tcW w:w="1238" w:type="dxa"/>
            <w:tcBorders>
              <w:right w:val="nil"/>
            </w:tcBorders>
          </w:tcPr>
          <w:p w14:paraId="00F274DB" w14:textId="77777777" w:rsidR="00DF4522" w:rsidRPr="002974F8" w:rsidRDefault="00DF4522" w:rsidP="00FB53C0">
            <w:pPr>
              <w:pBdr>
                <w:bar w:val="single" w:sz="4" w:color="auto"/>
              </w:pBdr>
              <w:rPr>
                <w:rFonts w:ascii="Cambria" w:hAnsi="Cambria"/>
                <w:b w:val="0"/>
                <w:sz w:val="20"/>
                <w:szCs w:val="20"/>
              </w:rPr>
            </w:pPr>
            <w:r w:rsidRPr="002974F8">
              <w:rPr>
                <w:rFonts w:ascii="Cambria" w:hAnsi="Cambria"/>
                <w:b w:val="0"/>
                <w:i/>
                <w:sz w:val="20"/>
                <w:szCs w:val="20"/>
              </w:rPr>
              <w:t xml:space="preserve">Abutilon </w:t>
            </w:r>
            <w:proofErr w:type="spellStart"/>
            <w:r w:rsidRPr="002974F8">
              <w:rPr>
                <w:rFonts w:ascii="Cambria" w:hAnsi="Cambria"/>
                <w:b w:val="0"/>
                <w:i/>
                <w:sz w:val="20"/>
                <w:szCs w:val="20"/>
              </w:rPr>
              <w:t>theophrasti</w:t>
            </w:r>
            <w:proofErr w:type="spellEnd"/>
            <w:r w:rsidRPr="002974F8">
              <w:rPr>
                <w:rFonts w:ascii="Cambria" w:hAnsi="Cambria"/>
                <w:b w:val="0"/>
                <w:i/>
                <w:sz w:val="20"/>
                <w:szCs w:val="20"/>
              </w:rPr>
              <w:t xml:space="preserve"> </w:t>
            </w:r>
            <w:r w:rsidRPr="002974F8">
              <w:rPr>
                <w:rFonts w:ascii="Cambria" w:hAnsi="Cambria"/>
                <w:b w:val="0"/>
                <w:sz w:val="20"/>
                <w:szCs w:val="20"/>
              </w:rPr>
              <w:t xml:space="preserve">and </w:t>
            </w:r>
          </w:p>
          <w:p w14:paraId="7079A968" w14:textId="77777777" w:rsidR="00DF4522" w:rsidRPr="002974F8" w:rsidRDefault="00DF4522" w:rsidP="00FB53C0">
            <w:pPr>
              <w:pBdr>
                <w:bar w:val="single" w:sz="4" w:color="auto"/>
              </w:pBdr>
              <w:rPr>
                <w:rFonts w:ascii="Cambria" w:hAnsi="Cambria"/>
                <w:b w:val="0"/>
                <w:i/>
                <w:sz w:val="20"/>
                <w:szCs w:val="20"/>
              </w:rPr>
            </w:pPr>
            <w:proofErr w:type="spellStart"/>
            <w:r w:rsidRPr="002974F8">
              <w:rPr>
                <w:rFonts w:ascii="Cambria" w:hAnsi="Cambria"/>
                <w:b w:val="0"/>
                <w:i/>
                <w:sz w:val="20"/>
                <w:szCs w:val="20"/>
              </w:rPr>
              <w:t>Setaria</w:t>
            </w:r>
            <w:proofErr w:type="spellEnd"/>
            <w:r w:rsidRPr="002974F8">
              <w:rPr>
                <w:rFonts w:ascii="Cambria" w:hAnsi="Cambria"/>
                <w:b w:val="0"/>
                <w:i/>
                <w:sz w:val="20"/>
                <w:szCs w:val="20"/>
              </w:rPr>
              <w:t xml:space="preserve"> </w:t>
            </w:r>
            <w:proofErr w:type="spellStart"/>
            <w:r w:rsidRPr="002974F8">
              <w:rPr>
                <w:rFonts w:ascii="Cambria" w:hAnsi="Cambria"/>
                <w:b w:val="0"/>
                <w:i/>
                <w:sz w:val="20"/>
                <w:szCs w:val="20"/>
              </w:rPr>
              <w:t>faberii</w:t>
            </w:r>
            <w:proofErr w:type="spellEnd"/>
          </w:p>
        </w:tc>
        <w:tc>
          <w:tcPr>
            <w:tcW w:w="1705" w:type="dxa"/>
            <w:tcBorders>
              <w:left w:val="nil"/>
              <w:right w:val="nil"/>
            </w:tcBorders>
          </w:tcPr>
          <w:p w14:paraId="0664EF4D"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Elevated CO</w:t>
            </w:r>
            <w:r w:rsidRPr="002974F8">
              <w:rPr>
                <w:rFonts w:ascii="Cambria" w:hAnsi="Cambria"/>
                <w:sz w:val="20"/>
                <w:szCs w:val="20"/>
                <w:vertAlign w:val="subscript"/>
              </w:rPr>
              <w:t>2</w:t>
            </w:r>
            <w:r w:rsidRPr="002974F8">
              <w:rPr>
                <w:rFonts w:ascii="Cambria" w:hAnsi="Cambria"/>
                <w:sz w:val="20"/>
                <w:szCs w:val="20"/>
              </w:rPr>
              <w:t xml:space="preserve"> </w:t>
            </w:r>
          </w:p>
          <w:p w14:paraId="693D0701"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w:t>
            </w:r>
          </w:p>
          <w:p w14:paraId="6542ADBE"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 xml:space="preserve">Large size / </w:t>
            </w:r>
          </w:p>
          <w:p w14:paraId="4A103FF1"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High nutrients</w:t>
            </w:r>
          </w:p>
        </w:tc>
        <w:tc>
          <w:tcPr>
            <w:tcW w:w="1843" w:type="dxa"/>
            <w:tcBorders>
              <w:left w:val="nil"/>
              <w:right w:val="nil"/>
            </w:tcBorders>
          </w:tcPr>
          <w:p w14:paraId="6C71EC4C"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Increases source</w:t>
            </w:r>
          </w:p>
          <w:p w14:paraId="69830117"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p w14:paraId="61CDB555"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Both increase sink</w:t>
            </w:r>
          </w:p>
        </w:tc>
        <w:tc>
          <w:tcPr>
            <w:tcW w:w="2552" w:type="dxa"/>
            <w:tcBorders>
              <w:left w:val="nil"/>
              <w:right w:val="nil"/>
            </w:tcBorders>
          </w:tcPr>
          <w:p w14:paraId="2BB25FE3"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Increase in growth and yield in response to elevated CO</w:t>
            </w:r>
            <w:r w:rsidRPr="002974F8">
              <w:rPr>
                <w:rFonts w:ascii="Cambria" w:hAnsi="Cambria"/>
                <w:sz w:val="20"/>
                <w:szCs w:val="20"/>
                <w:vertAlign w:val="subscript"/>
              </w:rPr>
              <w:t>2</w:t>
            </w:r>
            <w:r w:rsidRPr="002974F8">
              <w:rPr>
                <w:rFonts w:ascii="Cambria" w:hAnsi="Cambria"/>
                <w:sz w:val="20"/>
                <w:szCs w:val="20"/>
              </w:rPr>
              <w:t xml:space="preserve"> was higher when sink capacity was also increased</w:t>
            </w:r>
          </w:p>
        </w:tc>
        <w:tc>
          <w:tcPr>
            <w:tcW w:w="1417" w:type="dxa"/>
            <w:tcBorders>
              <w:left w:val="nil"/>
            </w:tcBorders>
          </w:tcPr>
          <w:p w14:paraId="7515516B" w14:textId="01F9B513" w:rsidR="00DF4522" w:rsidRPr="002974F8" w:rsidRDefault="00DF4522" w:rsidP="00CD06F5">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fldChar w:fldCharType="begin" w:fldLock="1"/>
            </w:r>
            <w:r w:rsidR="00906E41">
              <w:rPr>
                <w:rFonts w:ascii="Cambria" w:hAnsi="Cambria"/>
                <w:sz w:val="20"/>
                <w:szCs w:val="20"/>
              </w:rPr>
              <w:instrText>ADDIN CSL_CITATION { "citationItems" : [ { "id" : "ITEM-1", "itemData" : { "DOI" : "10.1007/BF00566971", "ISSN" : "0029-8549", "author" : [ { "dropping-particle" : "", "family" : "McConnaughay", "given" : "K. D. M.", "non-dropping-particle" : "", "parse-names" : false, "suffix" : "" }, { "dropping-particle" : "", "family" : "Berntson", "given" : "G. M.", "non-dropping-particle" : "", "parse-names" : false, "suffix" : "" }, { "dropping-particle" : "", "family" : "Bazzaz", "given" : "F. A.", "non-dropping-particle" : "", "parse-names" : false, "suffix" : "" } ], "container-title" : "Oecologia", "id" : "ITEM-1", "issue" : "4", "issued" : { "date-parts" : [ [ "1993", "7" ] ] }, "note" : "Need to read properly!", "page" : "550-557", "title" : "Limitations to CO2-induced growth enhancement in pot studies", "type" : "article-journal", "volume" : "94" }, "uris" : [ "http://www.mendeley.com/documents/?uuid=e2836029-3e9b-4005-a8d1-9243d5886f96" ] } ], "mendeley" : { "formattedCitation" : "(McConnaughay &lt;i&gt;et al.&lt;/i&gt;, 1993)", "manualFormatting" : "McConnaughay et al., 1993", "plainTextFormattedCitation" : "(McConnaughay et al., 1993)", "previouslyFormattedCitation" : "(McConnaughay &lt;i&gt;et al.&lt;/i&gt;, 1993)" }, "properties" : { "noteIndex" : 0 }, "schema" : "https://github.com/citation-style-language/schema/raw/master/csl-citation.json" }</w:instrText>
            </w:r>
            <w:r w:rsidRPr="002974F8">
              <w:rPr>
                <w:rFonts w:ascii="Cambria" w:hAnsi="Cambria"/>
                <w:sz w:val="20"/>
                <w:szCs w:val="20"/>
              </w:rPr>
              <w:fldChar w:fldCharType="separate"/>
            </w:r>
            <w:r w:rsidRPr="002C5907">
              <w:rPr>
                <w:rFonts w:ascii="Cambria" w:hAnsi="Cambria"/>
                <w:noProof/>
                <w:sz w:val="20"/>
                <w:szCs w:val="20"/>
              </w:rPr>
              <w:t xml:space="preserve">McConnaughay </w:t>
            </w:r>
            <w:r w:rsidRPr="002C5907">
              <w:rPr>
                <w:rFonts w:ascii="Cambria" w:hAnsi="Cambria"/>
                <w:i/>
                <w:noProof/>
                <w:sz w:val="20"/>
                <w:szCs w:val="20"/>
              </w:rPr>
              <w:t>et al.</w:t>
            </w:r>
            <w:r w:rsidRPr="002C5907">
              <w:rPr>
                <w:rFonts w:ascii="Cambria" w:hAnsi="Cambria"/>
                <w:noProof/>
                <w:sz w:val="20"/>
                <w:szCs w:val="20"/>
              </w:rPr>
              <w:t>, 1993</w:t>
            </w:r>
            <w:r w:rsidRPr="002974F8">
              <w:rPr>
                <w:rFonts w:ascii="Cambria" w:hAnsi="Cambria"/>
                <w:sz w:val="20"/>
                <w:szCs w:val="20"/>
              </w:rPr>
              <w:fldChar w:fldCharType="end"/>
            </w:r>
          </w:p>
        </w:tc>
      </w:tr>
      <w:tr w:rsidR="00DF4522" w:rsidRPr="002974F8" w14:paraId="4EC105F6" w14:textId="77777777" w:rsidTr="00FB53C0">
        <w:trPr>
          <w:cnfStyle w:val="000000100000" w:firstRow="0" w:lastRow="0" w:firstColumn="0" w:lastColumn="0" w:oddVBand="0" w:evenVBand="0" w:oddHBand="1" w:evenHBand="0" w:firstRowFirstColumn="0" w:firstRowLastColumn="0" w:lastRowFirstColumn="0" w:lastRowLastColumn="0"/>
          <w:trHeight w:val="994"/>
        </w:trPr>
        <w:tc>
          <w:tcPr>
            <w:cnfStyle w:val="001000000000" w:firstRow="0" w:lastRow="0" w:firstColumn="1" w:lastColumn="0" w:oddVBand="0" w:evenVBand="0" w:oddHBand="0" w:evenHBand="0" w:firstRowFirstColumn="0" w:firstRowLastColumn="0" w:lastRowFirstColumn="0" w:lastRowLastColumn="0"/>
            <w:tcW w:w="1238" w:type="dxa"/>
          </w:tcPr>
          <w:p w14:paraId="5956D872" w14:textId="77777777" w:rsidR="00DF4522" w:rsidRPr="002974F8" w:rsidRDefault="00DF4522" w:rsidP="00FB53C0">
            <w:pPr>
              <w:pBdr>
                <w:bar w:val="single" w:sz="4" w:color="auto"/>
              </w:pBdr>
              <w:rPr>
                <w:rFonts w:ascii="Cambria" w:hAnsi="Cambria"/>
                <w:b w:val="0"/>
                <w:i/>
                <w:sz w:val="20"/>
                <w:szCs w:val="20"/>
              </w:rPr>
            </w:pPr>
            <w:proofErr w:type="spellStart"/>
            <w:r w:rsidRPr="002974F8">
              <w:rPr>
                <w:rFonts w:ascii="Cambria" w:hAnsi="Cambria"/>
                <w:b w:val="0"/>
                <w:i/>
                <w:sz w:val="20"/>
                <w:szCs w:val="20"/>
              </w:rPr>
              <w:t>Triticum</w:t>
            </w:r>
            <w:proofErr w:type="spellEnd"/>
            <w:r w:rsidRPr="002974F8">
              <w:rPr>
                <w:rFonts w:ascii="Cambria" w:hAnsi="Cambria"/>
                <w:b w:val="0"/>
                <w:i/>
                <w:sz w:val="20"/>
                <w:szCs w:val="20"/>
              </w:rPr>
              <w:t xml:space="preserve"> </w:t>
            </w:r>
            <w:proofErr w:type="spellStart"/>
            <w:r w:rsidRPr="002974F8">
              <w:rPr>
                <w:rFonts w:ascii="Cambria" w:hAnsi="Cambria"/>
                <w:b w:val="0"/>
                <w:i/>
                <w:sz w:val="20"/>
                <w:szCs w:val="20"/>
              </w:rPr>
              <w:t>aestivum</w:t>
            </w:r>
            <w:proofErr w:type="spellEnd"/>
            <w:r w:rsidRPr="002974F8">
              <w:rPr>
                <w:rFonts w:ascii="Cambria" w:hAnsi="Cambria"/>
                <w:b w:val="0"/>
                <w:sz w:val="20"/>
                <w:szCs w:val="20"/>
              </w:rPr>
              <w:t xml:space="preserve"> </w:t>
            </w:r>
          </w:p>
        </w:tc>
        <w:tc>
          <w:tcPr>
            <w:tcW w:w="1705" w:type="dxa"/>
          </w:tcPr>
          <w:p w14:paraId="73BA66E0"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Elevated CO</w:t>
            </w:r>
            <w:r w:rsidRPr="002974F8">
              <w:rPr>
                <w:rFonts w:ascii="Cambria" w:hAnsi="Cambria"/>
                <w:sz w:val="20"/>
                <w:szCs w:val="20"/>
                <w:vertAlign w:val="subscript"/>
              </w:rPr>
              <w:t>2</w:t>
            </w:r>
            <w:r w:rsidRPr="002974F8">
              <w:rPr>
                <w:rFonts w:ascii="Cambria" w:hAnsi="Cambria"/>
                <w:sz w:val="20"/>
                <w:szCs w:val="20"/>
              </w:rPr>
              <w:t xml:space="preserve"> </w:t>
            </w:r>
          </w:p>
          <w:p w14:paraId="51099AEE"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w:t>
            </w:r>
          </w:p>
          <w:p w14:paraId="78898A87"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Cultivars with high and low harvest index</w:t>
            </w:r>
          </w:p>
        </w:tc>
        <w:tc>
          <w:tcPr>
            <w:tcW w:w="1843" w:type="dxa"/>
          </w:tcPr>
          <w:p w14:paraId="4F9456BA"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Increases source</w:t>
            </w:r>
          </w:p>
          <w:p w14:paraId="08CFF6D0"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p>
          <w:p w14:paraId="2D3C49DA"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Different sink sizes</w:t>
            </w:r>
          </w:p>
          <w:p w14:paraId="7CEA0430"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p>
        </w:tc>
        <w:tc>
          <w:tcPr>
            <w:tcW w:w="2552" w:type="dxa"/>
          </w:tcPr>
          <w:p w14:paraId="38AF9708" w14:textId="77777777" w:rsidR="00DF4522" w:rsidRPr="002974F8" w:rsidRDefault="00DF4522" w:rsidP="00FB53C0">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t>Increase in photosynthesis and growth was dependent on high sink strength: only seen in cultivar with high harvest index</w:t>
            </w:r>
          </w:p>
        </w:tc>
        <w:tc>
          <w:tcPr>
            <w:tcW w:w="1417" w:type="dxa"/>
          </w:tcPr>
          <w:p w14:paraId="4341CF78" w14:textId="78160805" w:rsidR="00DF4522" w:rsidRPr="002974F8" w:rsidRDefault="00DF4522" w:rsidP="00CD06F5">
            <w:pPr>
              <w:pBdr>
                <w:bar w:val="single" w:sz="4" w:color="auto"/>
              </w:pBd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2974F8">
              <w:rPr>
                <w:rFonts w:ascii="Cambria" w:hAnsi="Cambria"/>
                <w:sz w:val="20"/>
                <w:szCs w:val="20"/>
              </w:rPr>
              <w:fldChar w:fldCharType="begin" w:fldLock="1"/>
            </w:r>
            <w:r w:rsidR="00906E41">
              <w:rPr>
                <w:rFonts w:ascii="Cambria" w:hAnsi="Cambria"/>
                <w:sz w:val="20"/>
                <w:szCs w:val="20"/>
              </w:rPr>
              <w:instrText>ADDIN CSL_CITATION { "citationItems" : [ { "id" : "ITEM-1", "itemData" : { "DOI" : "10.1093/jxb/ert081", "ISSN" : "1460-2431", "PMID" : "23564953", "abstract" : "The expansion of the world's population requires the development of high production agriculture. For this purpose, it is essential to identify target points conditioning crop responsiveness to predicted [CO2]. The aim of this study was to determine the relevance of ear sink strength in leaf protein and metabolomic profiles and its implications in photosynthetic activity and yield of durum wheat plants exposed to elevated [CO2]. For this purpose, a genotype with high harvest index (HI) (Triticum durum var. Sula) and another with low HI (Triticum durum var. Blanqueta) were exposed to elevated [CO2] (700 \u00b5mol mol(-1) versus 400 \u00b5mol mol(-1) CO2) in CO2 greenhouses. The obtained data highlighted that elevated [CO2] only increased plant growth in the genotype with the largest HI; Sula. Gas exchange analyses revealed that although exposure to 700 \u00b5mol mol(-1) depleted Rubisco content, Sula was capable of increasing the light-saturated rate of CO2 assimilation (Asat) whereas, in Blanqueta, the carbohydrate imbalance induced the down-regulation of Asat. The specific depletion of Rubisco in both genotypes under elevated [CO2], together with the enhancement of other proteins in the Calvin cycle, revealed that there was a redistribution of N from Rubisco towards RuBP regeneration. Moreover, the down-regulation of N, NO3 (-), amino acid, and organic acid content, together with the depletion of proteins involved in amino acid synthesis that was detected in Blanqueta grown at 700 \u00b5mol mol(-1) CO2, revealed that inhibition of N assimilation was involved in the carbohydrate imbalance and consequently with the down-regulation of photosynthesis and growth in these plants.", "author" : [ { "dropping-particle" : "", "family" : "Aranjuelo", "given" : "Iker", "non-dropping-particle" : "", "parse-names" : false, "suffix" : "" }, { "dropping-particle" : "", "family" : "Sanz-S\u00e1ez", "given" : "Alvaro", "non-dropping-particle" : "", "parse-names" : false, "suffix" : "" }, { "dropping-particle" : "", "family" : "Jauregui", "given" : "Iv\u00e1n", "non-dropping-particle" : "", "parse-names" : false, "suffix" : "" }, { "dropping-particle" : "", "family" : "Irigoyen", "given" : "Juan J", "non-dropping-particle" : "", "parse-names" : false, "suffix" : "" }, { "dropping-particle" : "", "family" : "Araus", "given" : "Jos\u00e9 L", "non-dropping-particle" : "", "parse-names" : false, "suffix" : "" }, { "dropping-particle" : "", "family" : "S\u00e1nchez-D\u00edaz", "given" : "Manuel", "non-dropping-particle" : "", "parse-names" : false, "suffix" : "" }, { "dropping-particle" : "", "family" : "Erice", "given" : "Gorka", "non-dropping-particle" : "", "parse-names" : false, "suffix" : "" } ], "container-title" : "Journal of Experimental Botany", "id" : "ITEM-1", "issue" : "7", "issued" : { "date-parts" : [ [ "2013", "4", "5" ] ] }, "page" : "1879-1892", "title" : "Harvest index, a parameter conditioning responsiveness of wheat plants to elevated CO2.", "type" : "article-journal", "volume" : "64" }, "uris" : [ "http://www.mendeley.com/documents/?uuid=39990fbf-5a7c-4a03-9ab2-bb31aa67c806" ] } ], "mendeley" : { "formattedCitation" : "(Aranjuelo &lt;i&gt;et al.&lt;/i&gt;, 2013)", "manualFormatting" : "Aranjuelo et al., 2013", "plainTextFormattedCitation" : "(Aranjuelo et al., 2013)", "previouslyFormattedCitation" : "(Aranjuelo &lt;i&gt;et al.&lt;/i&gt;, 2013)" }, "properties" : { "noteIndex" : 0 }, "schema" : "https://github.com/citation-style-language/schema/raw/master/csl-citation.json" }</w:instrText>
            </w:r>
            <w:r w:rsidRPr="002974F8">
              <w:rPr>
                <w:rFonts w:ascii="Cambria" w:hAnsi="Cambria"/>
                <w:sz w:val="20"/>
                <w:szCs w:val="20"/>
              </w:rPr>
              <w:fldChar w:fldCharType="separate"/>
            </w:r>
            <w:r w:rsidRPr="002C5907">
              <w:rPr>
                <w:rFonts w:ascii="Cambria" w:hAnsi="Cambria"/>
                <w:noProof/>
                <w:sz w:val="20"/>
                <w:szCs w:val="20"/>
              </w:rPr>
              <w:t xml:space="preserve">Aranjuelo </w:t>
            </w:r>
            <w:r w:rsidRPr="002C5907">
              <w:rPr>
                <w:rFonts w:ascii="Cambria" w:hAnsi="Cambria"/>
                <w:i/>
                <w:noProof/>
                <w:sz w:val="20"/>
                <w:szCs w:val="20"/>
              </w:rPr>
              <w:t>et al.</w:t>
            </w:r>
            <w:r w:rsidRPr="002C5907">
              <w:rPr>
                <w:rFonts w:ascii="Cambria" w:hAnsi="Cambria"/>
                <w:noProof/>
                <w:sz w:val="20"/>
                <w:szCs w:val="20"/>
              </w:rPr>
              <w:t>, 2013</w:t>
            </w:r>
            <w:r w:rsidRPr="002974F8">
              <w:rPr>
                <w:rFonts w:ascii="Cambria" w:hAnsi="Cambria"/>
                <w:sz w:val="20"/>
                <w:szCs w:val="20"/>
              </w:rPr>
              <w:fldChar w:fldCharType="end"/>
            </w:r>
          </w:p>
        </w:tc>
      </w:tr>
      <w:tr w:rsidR="00DF4522" w:rsidRPr="002974F8" w14:paraId="2D2F6451" w14:textId="77777777" w:rsidTr="00FB53C0">
        <w:trPr>
          <w:trHeight w:val="994"/>
        </w:trPr>
        <w:tc>
          <w:tcPr>
            <w:cnfStyle w:val="001000000000" w:firstRow="0" w:lastRow="0" w:firstColumn="1" w:lastColumn="0" w:oddVBand="0" w:evenVBand="0" w:oddHBand="0" w:evenHBand="0" w:firstRowFirstColumn="0" w:firstRowLastColumn="0" w:lastRowFirstColumn="0" w:lastRowLastColumn="0"/>
            <w:tcW w:w="1238" w:type="dxa"/>
            <w:tcBorders>
              <w:bottom w:val="single" w:sz="8" w:space="0" w:color="4F81BD" w:themeColor="accent1"/>
              <w:right w:val="nil"/>
            </w:tcBorders>
          </w:tcPr>
          <w:p w14:paraId="5E0E8043" w14:textId="77777777" w:rsidR="00DF4522" w:rsidRPr="002974F8" w:rsidRDefault="00DF4522" w:rsidP="00FB53C0">
            <w:pPr>
              <w:pBdr>
                <w:bar w:val="single" w:sz="4" w:color="auto"/>
              </w:pBdr>
              <w:rPr>
                <w:rFonts w:ascii="Cambria" w:hAnsi="Cambria"/>
                <w:b w:val="0"/>
                <w:sz w:val="20"/>
                <w:szCs w:val="20"/>
              </w:rPr>
            </w:pPr>
            <w:r w:rsidRPr="002974F8">
              <w:rPr>
                <w:rFonts w:ascii="Cambria" w:hAnsi="Cambria"/>
                <w:b w:val="0"/>
                <w:i/>
                <w:sz w:val="20"/>
                <w:szCs w:val="20"/>
              </w:rPr>
              <w:t xml:space="preserve">Brassica </w:t>
            </w:r>
            <w:r w:rsidRPr="002974F8">
              <w:rPr>
                <w:rFonts w:ascii="Cambria" w:hAnsi="Cambria"/>
                <w:b w:val="0"/>
                <w:sz w:val="20"/>
                <w:szCs w:val="20"/>
              </w:rPr>
              <w:t>spp.</w:t>
            </w:r>
          </w:p>
        </w:tc>
        <w:tc>
          <w:tcPr>
            <w:tcW w:w="1705" w:type="dxa"/>
            <w:tcBorders>
              <w:left w:val="nil"/>
              <w:bottom w:val="single" w:sz="8" w:space="0" w:color="4F81BD" w:themeColor="accent1"/>
              <w:right w:val="nil"/>
            </w:tcBorders>
          </w:tcPr>
          <w:p w14:paraId="6D5B78A2"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Elevated CO</w:t>
            </w:r>
            <w:r w:rsidRPr="002974F8">
              <w:rPr>
                <w:rFonts w:ascii="Cambria" w:hAnsi="Cambria"/>
                <w:sz w:val="20"/>
                <w:szCs w:val="20"/>
                <w:vertAlign w:val="subscript"/>
              </w:rPr>
              <w:t>2</w:t>
            </w:r>
            <w:r w:rsidRPr="002974F8">
              <w:rPr>
                <w:rFonts w:ascii="Cambria" w:hAnsi="Cambria"/>
                <w:sz w:val="20"/>
                <w:szCs w:val="20"/>
              </w:rPr>
              <w:t xml:space="preserve"> </w:t>
            </w:r>
          </w:p>
          <w:p w14:paraId="692FC713"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 xml:space="preserve">+ </w:t>
            </w:r>
          </w:p>
          <w:p w14:paraId="68F51737"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Species had different sink sizes</w:t>
            </w:r>
          </w:p>
        </w:tc>
        <w:tc>
          <w:tcPr>
            <w:tcW w:w="1843" w:type="dxa"/>
            <w:tcBorders>
              <w:left w:val="nil"/>
              <w:bottom w:val="single" w:sz="8" w:space="0" w:color="4F81BD" w:themeColor="accent1"/>
              <w:right w:val="nil"/>
            </w:tcBorders>
          </w:tcPr>
          <w:p w14:paraId="1D8887BA"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Increases source</w:t>
            </w:r>
          </w:p>
          <w:p w14:paraId="19CBAFE2"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p w14:paraId="36272541"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Different sink sizes</w:t>
            </w:r>
          </w:p>
        </w:tc>
        <w:tc>
          <w:tcPr>
            <w:tcW w:w="2552" w:type="dxa"/>
            <w:tcBorders>
              <w:left w:val="nil"/>
              <w:bottom w:val="single" w:sz="8" w:space="0" w:color="4F81BD" w:themeColor="accent1"/>
              <w:right w:val="nil"/>
            </w:tcBorders>
          </w:tcPr>
          <w:p w14:paraId="16CCF247" w14:textId="77777777" w:rsidR="00DF4522" w:rsidRPr="002974F8" w:rsidRDefault="00DF4522" w:rsidP="00FB53C0">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t xml:space="preserve">Long-term growth increases were dependent (to an extent) on species-specific sink size </w:t>
            </w:r>
          </w:p>
        </w:tc>
        <w:tc>
          <w:tcPr>
            <w:tcW w:w="1417" w:type="dxa"/>
            <w:tcBorders>
              <w:left w:val="nil"/>
              <w:bottom w:val="single" w:sz="8" w:space="0" w:color="4F81BD" w:themeColor="accent1"/>
            </w:tcBorders>
          </w:tcPr>
          <w:p w14:paraId="4F774218" w14:textId="211767C4" w:rsidR="00DF4522" w:rsidRPr="002974F8" w:rsidRDefault="00DF4522" w:rsidP="00CD06F5">
            <w:pPr>
              <w:pBdr>
                <w:bar w:val="single" w:sz="4" w:color="auto"/>
              </w:pBd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2974F8">
              <w:rPr>
                <w:rFonts w:ascii="Cambria" w:hAnsi="Cambria"/>
                <w:sz w:val="20"/>
                <w:szCs w:val="20"/>
              </w:rPr>
              <w:fldChar w:fldCharType="begin" w:fldLock="1"/>
            </w:r>
            <w:r w:rsidR="00906E41">
              <w:rPr>
                <w:rFonts w:ascii="Cambria" w:hAnsi="Cambria"/>
                <w:sz w:val="20"/>
                <w:szCs w:val="20"/>
              </w:rPr>
              <w:instrText>ADDIN CSL_CITATION { "citationItems" : [ { "id" : "ITEM-1", "itemData" : { "DOI" : "10.1139/cjb-76-5-829", "ISSN" : "14803305", "author" : [ { "dropping-particle" : "", "family" : "Reekie", "given" : "Edward G.", "non-dropping-particle" : "", "parse-names" : false, "suffix" : "" }, { "dropping-particle" : "", "family" : "MacDougall", "given" : "Glenn", "non-dropping-particle" : "", "parse-names" : false, "suffix" : "" }, { "dropping-particle" : "", "family" : "Wong", "given" : "Ivan", "non-dropping-particle" : "", "parse-names" : false, "suffix" : "" }, { "dropping-particle" : "", "family" : "Hicklenton", "given" : "Peter R.", "non-dropping-particle" : "", "parse-names" : false, "suffix" : "" } ], "container-title" : "Canadian Journal of Botany", "id" : "ITEM-1", "issue" : "5", "issued" : { "date-parts" : [ [ "1998" ] ] }, "page" : "829-835", "title" : "Effect of sink size on growth response to elevated atmospheric CO&lt;sub&gt;2&lt;/sub&gt; within the genus &lt;i&gt;Brassica&lt;/i&gt;", "type" : "article-journal", "volume" : "76" }, "uris" : [ "http://www.mendeley.com/documents/?uuid=50b9e472-b8ed-4053-a6f8-f7d712f6c1b9" ] } ], "mendeley" : { "formattedCitation" : "(Reekie &lt;i&gt;et al.&lt;/i&gt;, 1998)", "manualFormatting" : "Reekie et al., 1998", "plainTextFormattedCitation" : "(Reekie et al., 1998)", "previouslyFormattedCitation" : "(Reekie &lt;i&gt;et al.&lt;/i&gt;, 1998)" }, "properties" : { "noteIndex" : 0 }, "schema" : "https://github.com/citation-style-language/schema/raw/master/csl-citation.json" }</w:instrText>
            </w:r>
            <w:r w:rsidRPr="002974F8">
              <w:rPr>
                <w:rFonts w:ascii="Cambria" w:hAnsi="Cambria"/>
                <w:sz w:val="20"/>
                <w:szCs w:val="20"/>
              </w:rPr>
              <w:fldChar w:fldCharType="separate"/>
            </w:r>
            <w:r w:rsidRPr="002C5907">
              <w:rPr>
                <w:rFonts w:ascii="Cambria" w:hAnsi="Cambria"/>
                <w:noProof/>
                <w:sz w:val="20"/>
                <w:szCs w:val="20"/>
              </w:rPr>
              <w:t xml:space="preserve">Reekie </w:t>
            </w:r>
            <w:r w:rsidRPr="002C5907">
              <w:rPr>
                <w:rFonts w:ascii="Cambria" w:hAnsi="Cambria"/>
                <w:i/>
                <w:noProof/>
                <w:sz w:val="20"/>
                <w:szCs w:val="20"/>
              </w:rPr>
              <w:t>et al.</w:t>
            </w:r>
            <w:r w:rsidRPr="002C5907">
              <w:rPr>
                <w:rFonts w:ascii="Cambria" w:hAnsi="Cambria"/>
                <w:noProof/>
                <w:sz w:val="20"/>
                <w:szCs w:val="20"/>
              </w:rPr>
              <w:t>, 1998</w:t>
            </w:r>
            <w:r w:rsidRPr="002974F8">
              <w:rPr>
                <w:rFonts w:ascii="Cambria" w:hAnsi="Cambria"/>
                <w:sz w:val="20"/>
                <w:szCs w:val="20"/>
              </w:rPr>
              <w:fldChar w:fldCharType="end"/>
            </w:r>
          </w:p>
        </w:tc>
      </w:tr>
    </w:tbl>
    <w:p w14:paraId="0E2849DA" w14:textId="77777777" w:rsidR="00DF4522" w:rsidRPr="002974F8" w:rsidRDefault="00DF4522" w:rsidP="00DF4522">
      <w:pPr>
        <w:pBdr>
          <w:bar w:val="single" w:sz="4" w:color="auto"/>
        </w:pBdr>
        <w:spacing w:line="360" w:lineRule="auto"/>
        <w:jc w:val="both"/>
        <w:rPr>
          <w:rFonts w:ascii="Cambria" w:hAnsi="Cambria"/>
          <w:sz w:val="20"/>
          <w:szCs w:val="20"/>
        </w:rPr>
      </w:pPr>
    </w:p>
    <w:p w14:paraId="3AA5DC2E" w14:textId="77777777" w:rsidR="00DF4522" w:rsidRPr="00531789" w:rsidRDefault="00DF4522" w:rsidP="00DF4522">
      <w:pPr>
        <w:pBdr>
          <w:bar w:val="single" w:sz="4" w:color="auto"/>
        </w:pBdr>
        <w:spacing w:line="360" w:lineRule="auto"/>
        <w:jc w:val="both"/>
        <w:rPr>
          <w:rFonts w:ascii="Cambria" w:hAnsi="Cambria"/>
        </w:rPr>
      </w:pPr>
    </w:p>
    <w:p w14:paraId="07FC9C18" w14:textId="77777777" w:rsidR="00DF4522" w:rsidRPr="00531789" w:rsidRDefault="00DF4522" w:rsidP="00DF4522">
      <w:pPr>
        <w:spacing w:line="360" w:lineRule="auto"/>
        <w:jc w:val="both"/>
        <w:rPr>
          <w:rFonts w:ascii="Cambria" w:hAnsi="Cambria" w:cs="Arial"/>
        </w:rPr>
      </w:pPr>
      <w:r w:rsidRPr="00531789">
        <w:rPr>
          <w:rFonts w:ascii="Cambria" w:hAnsi="Cambria"/>
        </w:rPr>
        <w:t>Elevated CO</w:t>
      </w:r>
      <w:r w:rsidRPr="00531789">
        <w:rPr>
          <w:rFonts w:ascii="Cambria" w:hAnsi="Cambria"/>
          <w:vertAlign w:val="subscript"/>
        </w:rPr>
        <w:t>2</w:t>
      </w:r>
      <w:r w:rsidRPr="00531789">
        <w:rPr>
          <w:rFonts w:ascii="Cambria" w:hAnsi="Cambria"/>
        </w:rPr>
        <w:t xml:space="preserve"> increases the potential carbon source activity of the plant by stimulating photosynthesis, and this typically translates into faster growth </w:t>
      </w:r>
      <w:r w:rsidRPr="00531789">
        <w:rPr>
          <w:rFonts w:ascii="Cambria" w:hAnsi="Cambria"/>
        </w:rPr>
        <w:fldChar w:fldCharType="begin" w:fldLock="1"/>
      </w:r>
      <w:r>
        <w:rPr>
          <w:rFonts w:ascii="Cambria" w:hAnsi="Cambria"/>
        </w:rPr>
        <w:instrText>ADDIN CSL_CITATION { "citationItems" : [ { "id" : "ITEM-1", "itemData" : { "author" : [ { "dropping-particle" : "", "family" : "Christ", "given" : "Rudolf A", "non-dropping-particle" : "", "parse-names" : false, "suffix" : "" }, { "dropping-particle" : "", "family" : "K\u00f6rner", "given" : "Christian", "non-dropping-particle" : "", "parse-names" : false, "suffix" : "" } ], "container-title" : "Journal of Experimental Botany", "id" : "ITEM-1", "issue" : "292", "issued" : { "date-parts" : [ [ "1995" ] ] }, "page" : "1661-1667", "title" : "Responses of shoot and root gas exchange, leaf blade expansion and biomass production to pulses of elevated CO2 in hydroponic wheat", "type" : "article-journal", "volume" : "46" }, "uris" : [ "http://www.mendeley.com/documents/?uuid=b4d3b12e-1058-41d5-9a7a-f3dc8344ab15" ] }, { "id" : "ITEM-2", "itemData" : { "DOI" : "10.1007/BF00566971", "ISSN" : "0029-8549", "author" : [ { "dropping-particle" : "", "family" : "McConnaughay", "given" : "K. D. M.", "non-dropping-particle" : "", "parse-names" : false, "suffix" : "" }, { "dropping-particle" : "", "family" : "Berntson", "given" : "G. M.", "non-dropping-particle" : "", "parse-names" : false, "suffix" : "" }, { "dropping-particle" : "", "family" : "Bazzaz", "given" : "F. A.", "non-dropping-particle" : "", "parse-names" : false, "suffix" : "" } ], "container-title" : "Oecologia", "id" : "ITEM-2", "issue" : "4", "issued" : { "date-parts" : [ [ "1993", "7" ] ] }, "note" : "Need to read properly!", "page" : "550-557", "title" : "Limitations to CO2-induced growth enhancement in pot studies", "type" : "article-journal", "volume" : "94" }, "uris" : [ "http://www.mendeley.com/documents/?uuid=e2836029-3e9b-4005-a8d1-9243d5886f96" ] }, { "id" : "ITEM-3", "itemData" : { "ISSN" : "0032-0889", "PMID" : "10759536", "abstract" : "This study demonstrates that elevated [CO(2)] has profound effects on cell division and expansion in developing wheat (Triticum aestivum L.) leaves and on the quantitative integration of these processes in whole-leaf growth kinetics, anatomy, and carbon content. The expression of these effects, however, is modified by intrinsic factors related to genetic makeup and leaf position, and also by exposure to low vernalizing temperatures at germination. Beyond these interactions, leaf developmental responses to elevated [CO(2)] in wheat share several remarkable features that were conserved across all leaves examined. Most significantly: (a) the contribution of [CO(2)] effects on meristem size and activity in driving differences in whole-blade growth kinetics and final dimensions; (b) an anisotropy in cellular growth responses to elevated [CO(2)], with final cell length and expansion in the paradermal plane being highly conserved, even when the rates and duration of cell elongation were modified, while cell cross-sectional areas were increased; (c) tissue-specific effects of elevated [CO(2)], with significant modifications of mesophyll anatomy, including an increased extension of intercellular air spaces and the formation of, on average, one extra cell layer, while epidermal anatomy was mostly unaltered. Our results indicate complex developmental regulations of sugar effects in expanding leaves that are subjected to genetic variation and influenced by environmental cues important in the promotion of floral initiation. They also provide insights into apparently contradictory and inconsistent conclusions of published CO(2) enrichment studies in wheat.", "author" : [ { "dropping-particle" : "", "family" : "Masle", "given" : "J", "non-dropping-particle" : "", "parse-names" : false, "suffix" : "" } ], "container-title" : "Plant Physiology", "id" : "ITEM-3", "issue" : "4", "issued" : { "date-parts" : [ [ "2000", "4" ] ] }, "page" : "1399-415", "title" : "The effects of elevated CO2 concentrations on cell division rates, growth patterns, and blade anatomy in young wheat plants are modulated by factors related to leaf position, vernalization, and genotype.", "type" : "article-journal", "volume" : "122" }, "uris" : [ "http://www.mendeley.com/documents/?uuid=f4b87b7f-8e83-4245-a692-33081698588e" ] }, { "id" : "ITEM-4", "itemData" : { "DOI" : "10.1046/j.1365-3040.1997.d01-21.x", "ISSN" : "0140-7791", "author" : [ { "dropping-particle" : "", "family" : "Kinsman", "given" : "E. A.", "non-dropping-particle" : "", "parse-names" : false, "suffix" : "" }, { "dropping-particle" : "", "family" : "Lewis", "given" : "C.", "non-dropping-particle" : "", "parse-names" : false, "suffix" : "" }, { "dropping-particle" : "", "family" : "Davies", "given" : "M. S.", "non-dropping-particle" : "", "parse-names" : false, "suffix" : "" }, { "dropping-particle" : "", "family" : "Young", "given" : "J. E.", "non-dropping-particle" : "", "parse-names" : false, "suffix" : "" }, { "dropping-particle" : "", "family" : "Francis", "given" : "D.", "non-dropping-particle" : "", "parse-names" : false, "suffix" : "" }, { "dropping-particle" : "", "family" : "Vilhar", "given" : "B.", "non-dropping-particle" : "", "parse-names" : false, "suffix" : "" }, { "dropping-particle" : "", "family" : "Ougham", "given" : "H.J.", "non-dropping-particle" : "", "parse-names" : false, "suffix" : "" } ], "container-title" : "Plant, Cell &amp; Environment", "id" : "ITEM-4", "issue" : "10", "issued" : { "date-parts" : [ [ "1997", "10" ] ] }, "page" : "1309-1316", "title" : "Elevated CO2 stimulates cells to divide in grass meristems: a differential effect in two natural populations of Dactylis glomerata", "type" : "article-journal", "volume" : "20" }, "uris" : [ "http://www.mendeley.com/documents/?uuid=a6db634d-23db-4625-8ef0-1633c08c4961" ] } ], "mendeley" : { "formattedCitation" : "(McConnaughay &lt;i&gt;et al.&lt;/i&gt;, 1993; Christ and K\u00f6rner, 1995; Kinsman &lt;i&gt;et al.&lt;/i&gt;, 1997; Masle, 2000)", "manualFormatting" : "(Table 1; e.g. McConnaughay et al., 1993; Christ and K\u00f6rner, 1995; Masle, 2000", "plainTextFormattedCitation" : "(McConnaughay et al., 1993; Christ and K\u00f6rner, 1995; Kinsman et al., 1997; Masle, 2000)", "previouslyFormattedCitation" : "(McConnaughay &lt;i&gt;et al.&lt;/i&gt;, 1993; Christ and K\u00f6rner, 1995; Kinsman &lt;i&gt;et al.&lt;/i&gt;, 1997; Masle, 2000)"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 xml:space="preserve">(Table 1; e.g. McConnaughay </w:t>
      </w:r>
      <w:r w:rsidRPr="00531789">
        <w:rPr>
          <w:rFonts w:ascii="Cambria" w:hAnsi="Cambria"/>
          <w:i/>
          <w:noProof/>
        </w:rPr>
        <w:t>et al.</w:t>
      </w:r>
      <w:r w:rsidRPr="00531789">
        <w:rPr>
          <w:rFonts w:ascii="Cambria" w:hAnsi="Cambria"/>
          <w:noProof/>
        </w:rPr>
        <w:t>, 1993; Christ and K</w:t>
      </w:r>
      <w:r w:rsidRPr="00531789">
        <w:rPr>
          <w:rFonts w:ascii="Cambria" w:hAnsi="Cambria"/>
          <w:bCs/>
          <w:noProof/>
        </w:rPr>
        <w:t>ö</w:t>
      </w:r>
      <w:r w:rsidRPr="00531789">
        <w:rPr>
          <w:rFonts w:ascii="Cambria" w:hAnsi="Cambria"/>
          <w:noProof/>
        </w:rPr>
        <w:t>rner, 1995; Masle, 2000</w:t>
      </w:r>
      <w:r w:rsidRPr="00531789">
        <w:rPr>
          <w:rFonts w:ascii="Cambria" w:hAnsi="Cambria"/>
        </w:rPr>
        <w:fldChar w:fldCharType="end"/>
      </w:r>
      <w:r w:rsidRPr="00531789">
        <w:rPr>
          <w:rFonts w:ascii="Cambria" w:hAnsi="Cambria"/>
        </w:rPr>
        <w:t xml:space="preserve">; see also </w:t>
      </w:r>
      <w:r w:rsidRPr="00531789">
        <w:rPr>
          <w:rFonts w:ascii="Cambria" w:hAnsi="Cambria"/>
        </w:rPr>
        <w:fldChar w:fldCharType="begin" w:fldLock="1"/>
      </w:r>
      <w:r>
        <w:rPr>
          <w:rFonts w:ascii="Cambria" w:hAnsi="Cambria"/>
        </w:rPr>
        <w:instrText>ADDIN CSL_CITATION { "citationItems" : [ { "id" : "ITEM-1", "itemData" : { "DOI" : "10.1111/j.1365-3040.2007.01641.x", "ISSN" : "0140-7791", "PMID" : "17263773", "abstract" : "This review summarizes current understanding of the mechanisms that underlie the response of photosynthesis and stomatal conductance to elevated carbon dioxide concentration ([CO2]), and examines how downstream processes and environmental constraints modulate these two fundamental responses. The results from free-air CO2 enrichment (FACE) experiments were summarized via meta-analysis to quantify the mean responses of stomatal and photosynthetic parameters to elevated [CO2]. Elevation of [CO2] in FACE experiments reduced stomatal conductance by 22%, yet, this reduction was not associated with a similar change in stomatal density. Elevated [CO2] stimulated light-saturated photosynthesis (Asat) in C3 plants grown in FACE by an average of 31%. However, the magnitude of the increase in Asat varied with functional group and environment. Functional groups with ribulose-1,5-bisphosphate carboxylase/oxygenase (Rubisco)-limited photosynthesis at elevated [CO2] had greater potential for increases in Asat than those where photosynthesis became ribulose-1,5-bisphosphate (RubP)-limited at elevated [CO2]. Both nitrogen supply and sink capacity modulated the response of photosynthesis to elevated [CO2] through their impact on the acclimation of carboxylation capacity. Increased understanding of the molecular and biochemical mechanisms by which plants respond to elevated [CO2], and the feedback of environmental factors upon them, will improve our ability to predict ecosystem responses to rising [CO2] and increase our potential to adapt crops and managed ecosystems to future atmospheric [CO2].", "author" : [ { "dropping-particle" : "", "family" : "Ainsworth", "given" : "Elizabeth A", "non-dropping-particle" : "", "parse-names" : false, "suffix" : "" }, { "dropping-particle" : "", "family" : "Rogers", "given" : "Alistair", "non-dropping-particle" : "", "parse-names" : false, "suffix" : "" } ], "container-title" : "Plant, Cell &amp; Environment", "id" : "ITEM-1", "issue" : "3", "issued" : { "date-parts" : [ [ "2007", "3" ] ] }, "note" : "This article suggests that functional group differences in response of A to high CO2 can be explained by a consideration of the A/Ci curve (i.e. is Rubisco or RuBP-regeneration the limiting factor).\n\nContrast to Poorter 1993 who says that within C3, different functional groups have different degrees of response of A to high CO2, possibly linked to sink capacity.\n\nHowever, other work by Ainsworth highlights a role of sink capacity (e.g. higher response in nodule-forming vs non-nodule-forming plants).\n\n--&amp;gt; Can the A/Ci-based differences be linked to sink differences? Or is the implication that sink differences have a small effect compared to the effect of A/Ci limiting factors?", "page" : "258-70", "title" : "The response of photosynthesis and stomatal conductance to rising [CO2]: mechanisms and environmental interactions.", "type" : "article-journal", "volume" : "30" }, "uris" : [ "http://www.mendeley.com/documents/?uuid=201e8a49-945d-4fe0-a78e-a54ff01ef975" ] }, { "id" : "ITEM-2", "itemData" : { "author" : [ { "dropping-particle" : "", "family" : "Taylor", "given" : "Gail", "non-dropping-particle" : "", "parse-names" : false, "suffix" : "" }, { "dropping-particle" : "", "family" : "Ranasinghe", "given" : "Sananthanie", "non-dropping-particle" : "", "parse-names" : false, "suffix" : "" }, { "dropping-particle" : "", "family" : "Bosac", "given" : "Creana", "non-dropping-particle" : "", "parse-names" : false, "suffix" : "" }, { "dropping-particle" : "", "family" : "Gardner", "given" : "S D L", "non-dropping-particle" : "", "parse-names" : false, "suffix" : "" }, { "dropping-particle" : "", "family" : "Ferris", "given" : "Rachel", "non-dropping-particle" : "", "parse-names" : false, "suffix" : "" } ], "container-title" : "Journal of Experimental Botany", "id" : "ITEM-2", "issue" : "November", "issued" : { "date-parts" : [ [ "1994" ] ] }, "page" : "1761-1774", "title" : "Elevated CO2 and plant growth : cellular mechanisms and responses of whole plants", "type" : "article-journal", "volume" : "45" }, "uris" : [ "http://www.mendeley.com/documents/?uuid=8698a35f-7ec1-4245-8952-dbca5b5fbde4" ] }, { "id" : "ITEM-3", "itemData" : { "author" : [ { "dropping-particle" : "", "family" : "Ranasinghe", "given" : "Sanathanie", "non-dropping-particle" : "", "parse-names" : false, "suffix" : "" }, { "dropping-particle" : "", "family" : "Taylor", "given" : "Gail", "non-dropping-particle" : "", "parse-names" : false, "suffix" : "" } ], "container-title" : "Journal of Experimental Botany", "id" : "ITEM-3", "issue" : "296", "issued" : { "date-parts" : [ [ "1996" ] ] }, "page" : "349-358", "title" : "Mechanism for increased leaf growth in elevated CO2", "type" : "article-journal", "volume" : "47" }, "uris" : [ "http://www.mendeley.com/documents/?uuid=1f021a14-3d8d-4608-b942-c84f0c5f3606" ] }, { "id" : "ITEM-4", "itemData" : { "DOI" : "10.1093/jxb/erp096", "ISSN" : "1460-2431", "PMID" : "19401412", "abstract" : "Plant responses to the projected future levels of CO(2) were first characterized in short-term experiments lasting days to weeks. However, longer term acclimation responses to elevated CO(2) were subsequently discovered to be very important in determining plant and ecosystem function. Free-Air CO(2) Enrichment (FACE) experiments are the culmination of efforts to assess the impact of elevated CO(2) on plants over multiple seasons and, in the case of crops, over their entire lifetime. FACE has been used to expose vegetation to elevated concentrations of atmospheric CO(2) under completely open-air conditions for nearly two decades. This review describes some of the lessons learned from the long-term investment in these experiments. First, elevated CO(2) stimulates photosynthetic carbon gain and net primary production over the long term despite down-regulation of Rubisco activity. Second, elevated CO(2) improves nitrogen use efficiency and, third, decreases water use at both the leaf and canopy scale. Fourth, elevated CO(2) stimulates dark respiration via a transcriptional reprogramming of metabolism. Fifth, elevated CO(2) does not directly stimulate C(4) photosynthesis, but can indirectly stimulate carbon gain in times and places of drought. Finally, the stimulation of yield by elevated CO(2) in crop species is much smaller than expected. While many of these lessons have been most clearly demonstrated in crop systems, all of the lessons have important implications for natural systems.", "author" : [ { "dropping-particle" : "", "family" : "Leakey", "given" : "Andrew D B", "non-dropping-particle" : "", "parse-names" : false, "suffix" : "" }, { "dropping-particle" : "", "family" : "Ainsworth", "given" : "Elizabeth A", "non-dropping-particle" : "", "parse-names" : false, "suffix" : "" }, { "dropping-particle" : "", "family" : "Bernacchi", "given" : "Carl J", "non-dropping-particle" : "", "parse-names" : false, "suffix" : "" }, { "dropping-particle" : "", "family" : "Rogers", "given" : "Alistair", "non-dropping-particle" : "", "parse-names" : false, "suffix" : "" }, { "dropping-particle" : "", "family" : "Long", "given" : "Stephen P", "non-dropping-particle" : "", "parse-names" : false, "suffix" : "" }, { "dropping-particle" : "", "family" : "Ort", "given" : "Donald R", "non-dropping-particle" : "", "parse-names" : false, "suffix" : "" } ], "container-title" : "Journal of Experimental Botany", "id" : "ITEM-4", "issue" : "10", "issued" : { "date-parts" : [ [ "2009", "1" ] ] }, "page" : "2859-76", "title" : "Elevated CO2 effects on plant carbon, nitrogen, and water relations: six important lessons from FACE.", "type" : "article-journal", "volume" : "60" }, "uris" : [ "http://www.mendeley.com/documents/?uuid=dc3f8de3-43ba-4bf8-9cab-0496484e7348" ] }, { "id" : "ITEM-5", "itemData" : { "DOI" : "10.1111/j.1365-3040.2005.01493.x", "ISSN" : "0140-7791", "author" : [ { "dropping-particle" : "", "family" : "Long", "given" : "Stephen P.", "non-dropping-particle" : "", "parse-names" : false, "suffix" : "" }, { "dropping-particle" : "", "family" : "Zhu", "given" : "Xin-Guang", "non-dropping-particle" : "", "parse-names" : false, "suffix" : "" }, { "dropping-particle" : "", "family" : "Naidu", "given" : "Shawna L.", "non-dropping-particle" : "", "parse-names" : false, "suffix" : "" }, { "dropping-particle" : "", "family" : "Ort", "given" : "Donald R.", "non-dropping-particle" : "", "parse-names" : false, "suffix" : "" } ], "container-title" : "Plant, Cell &amp; Environment", "id" : "ITEM-5", "issue" : "3", "issued" : { "date-parts" : [ [ "2006", "3" ] ] }, "page" : "315-330", "title" : "Can improvement in photosynthesis increase crop yields?", "type" : "article-journal", "volume" : "29" }, "uris" : [ "http://www.mendeley.com/documents/?uuid=2269887f-2ccf-415b-9f28-0c408ca02c53" ] } ], "mendeley" : { "formattedCitation" : "(Taylor &lt;i&gt;et al.&lt;/i&gt;, 1994; Ranasinghe and Taylor, 1996; Long &lt;i&gt;et al.&lt;/i&gt;, 2006&lt;i&gt;b&lt;/i&gt;; Ainsworth and Rogers, 2007; Leakey &lt;i&gt;et al.&lt;/i&gt;, 2009)", "manualFormatting" : "Taylor et al., 1994; Ranasinghe and Taylor, 1996; Long et al., 2006b; Ainsworth and Rogers, 2007", "plainTextFormattedCitation" : "(Taylor et al., 1994; Ranasinghe and Taylor, 1996; Long et al., 2006b; Ainsworth and Rogers, 2007; Leakey et al., 2009)", "previouslyFormattedCitation" : "(Taylor &lt;i&gt;et al.&lt;/i&gt;, 1994; Ranasinghe and Taylor, 1996; Long &lt;i&gt;et al.&lt;/i&gt;, 2006&lt;i&gt;b&lt;/i&gt;; Ainsworth and Rogers, 2007; Leakey &lt;i&gt;et al.&lt;/i&gt;, 2009)"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 xml:space="preserve">Taylor </w:t>
      </w:r>
      <w:r w:rsidRPr="00531789">
        <w:rPr>
          <w:rFonts w:ascii="Cambria" w:hAnsi="Cambria"/>
          <w:i/>
          <w:noProof/>
        </w:rPr>
        <w:t>et al</w:t>
      </w:r>
      <w:r w:rsidRPr="00531789">
        <w:rPr>
          <w:rFonts w:ascii="Cambria" w:hAnsi="Cambria"/>
          <w:noProof/>
        </w:rPr>
        <w:t xml:space="preserve">., 1994; Ranasinghe and Taylor, 1996; Long </w:t>
      </w:r>
      <w:r w:rsidRPr="00531789">
        <w:rPr>
          <w:rFonts w:ascii="Cambria" w:hAnsi="Cambria"/>
          <w:i/>
          <w:noProof/>
        </w:rPr>
        <w:t>et al</w:t>
      </w:r>
      <w:r w:rsidRPr="00531789">
        <w:rPr>
          <w:rFonts w:ascii="Cambria" w:hAnsi="Cambria"/>
          <w:noProof/>
        </w:rPr>
        <w:t>., 2006b; Ainsworth and Rogers, 2007</w:t>
      </w:r>
      <w:r w:rsidRPr="00531789">
        <w:rPr>
          <w:rFonts w:ascii="Cambria" w:hAnsi="Cambria"/>
        </w:rPr>
        <w:fldChar w:fldCharType="end"/>
      </w:r>
      <w:r w:rsidRPr="00531789">
        <w:rPr>
          <w:rFonts w:ascii="Cambria" w:hAnsi="Cambria"/>
        </w:rPr>
        <w:fldChar w:fldCharType="begin" w:fldLock="1"/>
      </w:r>
      <w:r>
        <w:rPr>
          <w:rFonts w:ascii="Cambria" w:hAnsi="Cambria"/>
        </w:rPr>
        <w:instrText>ADDIN CSL_CITATION { "citationItems" : [ { "id" : "ITEM-1", "itemData" : { "DOI" : "10.1111/j.1365-3040.2005.01493.x", "ISSN" : "0140-7791", "author" : [ { "dropping-particle" : "", "family" : "Long", "given" : "Stephen P.", "non-dropping-particle" : "", "parse-names" : false, "suffix" : "" }, { "dropping-particle" : "", "family" : "Zhu", "given" : "Xin-Guang", "non-dropping-particle" : "", "parse-names" : false, "suffix" : "" }, { "dropping-particle" : "", "family" : "Naidu", "given" : "Shawna L.", "non-dropping-particle" : "", "parse-names" : false, "suffix" : "" }, { "dropping-particle" : "", "family" : "Ort", "given" : "Donald R.", "non-dropping-particle" : "", "parse-names" : false, "suffix" : "" } ], "container-title" : "Plant, Cell &amp; Environment", "id" : "ITEM-1", "issue" : "3", "issued" : { "date-parts" : [ [ "2006", "3" ] ] }, "page" : "315-330", "title" : "Can improvement in photosynthesis increase crop yields?", "type" : "article-journal", "volume" : "29" }, "uris" : [ "http://www.mendeley.com/documents/?uuid=2269887f-2ccf-415b-9f28-0c408ca02c53" ] }, { "id" : "ITEM-2", "itemData" : { "DOI" : "10.1093/jxb/erp096", "ISSN" : "1460-2431", "PMID" : "19401412", "abstract" : "Plant responses to the projected future levels of CO(2) were first characterized in short-term experiments lasting days to weeks. However, longer term acclimation responses to elevated CO(2) were subsequently discovered to be very important in determining plant and ecosystem function. Free-Air CO(2) Enrichment (FACE) experiments are the culmination of efforts to assess the impact of elevated CO(2) on plants over multiple seasons and, in the case of crops, over their entire lifetime. FACE has been used to expose vegetation to elevated concentrations of atmospheric CO(2) under completely open-air conditions for nearly two decades. This review describes some of the lessons learned from the long-term investment in these experiments. First, elevated CO(2) stimulates photosynthetic carbon gain and net primary production over the long term despite down-regulation of Rubisco activity. Second, elevated CO(2) improves nitrogen use efficiency and, third, decreases water use at both the leaf and canopy scale. Fourth, elevated CO(2) stimulates dark respiration via a transcriptional reprogramming of metabolism. Fifth, elevated CO(2) does not directly stimulate C(4) photosynthesis, but can indirectly stimulate carbon gain in times and places of drought. Finally, the stimulation of yield by elevated CO(2) in crop species is much smaller than expected. While many of these lessons have been most clearly demonstrated in crop systems, all of the lessons have important implications for natural systems.", "author" : [ { "dropping-particle" : "", "family" : "Leakey", "given" : "Andrew D B", "non-dropping-particle" : "", "parse-names" : false, "suffix" : "" }, { "dropping-particle" : "", "family" : "Ainsworth", "given" : "Elizabeth A", "non-dropping-particle" : "", "parse-names" : false, "suffix" : "" }, { "dropping-particle" : "", "family" : "Bernacchi", "given" : "Carl J", "non-dropping-particle" : "", "parse-names" : false, "suffix" : "" }, { "dropping-particle" : "", "family" : "Rogers", "given" : "Alistair", "non-dropping-particle" : "", "parse-names" : false, "suffix" : "" }, { "dropping-particle" : "", "family" : "Long", "given" : "Stephen P", "non-dropping-particle" : "", "parse-names" : false, "suffix" : "" }, { "dropping-particle" : "", "family" : "Ort", "given" : "Donald R", "non-dropping-particle" : "", "parse-names" : false, "suffix" : "" } ], "container-title" : "Journal of Experimental Botany", "id" : "ITEM-2", "issue" : "10", "issued" : { "date-parts" : [ [ "2009", "1" ] ] }, "page" : "2859-76", "title" : "Elevated CO2 effects on plant carbon, nitrogen, and water relations: six important lessons from FACE.", "type" : "article-journal", "volume" : "60" }, "uris" : [ "http://www.mendeley.com/documents/?uuid=dc3f8de3-43ba-4bf8-9cab-0496484e7348" ] } ], "mendeley" : { "formattedCitation" : "(Long &lt;i&gt;et al.&lt;/i&gt;, 2006&lt;i&gt;b&lt;/i&gt;; Leakey &lt;i&gt;et al.&lt;/i&gt;, 2009)", "manualFormatting" : "; Leakey et al., 2009)", "plainTextFormattedCitation" : "(Long et al., 2006b; Leakey et al., 2009)", "previouslyFormattedCitation" : "(Long &lt;i&gt;et al.&lt;/i&gt;, 2006&lt;i&gt;b&lt;/i&gt;; Leakey &lt;i&gt;et al.&lt;/i&gt;, 2009)"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 xml:space="preserve">; Leakey </w:t>
      </w:r>
      <w:r w:rsidRPr="00531789">
        <w:rPr>
          <w:rFonts w:ascii="Cambria" w:hAnsi="Cambria"/>
          <w:i/>
          <w:noProof/>
        </w:rPr>
        <w:t>et al</w:t>
      </w:r>
      <w:r w:rsidRPr="00531789">
        <w:rPr>
          <w:rFonts w:ascii="Cambria" w:hAnsi="Cambria"/>
          <w:noProof/>
        </w:rPr>
        <w:t>., 2009)</w:t>
      </w:r>
      <w:r w:rsidRPr="00531789">
        <w:rPr>
          <w:rFonts w:ascii="Cambria" w:hAnsi="Cambria"/>
        </w:rPr>
        <w:fldChar w:fldCharType="end"/>
      </w:r>
      <w:r w:rsidRPr="00531789">
        <w:rPr>
          <w:rFonts w:ascii="Cambria" w:hAnsi="Cambria"/>
        </w:rPr>
        <w:t xml:space="preserve">, also </w:t>
      </w:r>
      <w:r w:rsidRPr="00531789">
        <w:rPr>
          <w:rFonts w:ascii="Cambria" w:hAnsi="Cambria" w:cs="Arial"/>
        </w:rPr>
        <w:t xml:space="preserve">affecting cell patterning, cell expansion, and plant architecture </w:t>
      </w:r>
      <w:r w:rsidRPr="00531789">
        <w:rPr>
          <w:rFonts w:ascii="Cambria" w:hAnsi="Cambria" w:cs="Arial"/>
        </w:rPr>
        <w:fldChar w:fldCharType="begin" w:fldLock="1"/>
      </w:r>
      <w:r>
        <w:rPr>
          <w:rFonts w:ascii="Cambria" w:hAnsi="Cambria" w:cs="Arial"/>
        </w:rPr>
        <w:instrText>ADDIN CSL_CITATION { "citationItems" : [ { "id" : "ITEM-1", "itemData" : { "author" : [ { "dropping-particle" : "", "family" : "Pritchard", "given" : "Seth G.", "non-dropping-particle" : "", "parse-names" : false, "suffix" : "" }, { "dropping-particle" : "", "family" : "Rogers", "given" : "Hugo H.", "non-dropping-particle" : "", "parse-names" : false, "suffix" : "" }, { "dropping-particle" : "", "family" : "Prior", "given" : "Stephen A.", "non-dropping-particle" : "", "parse-names" : false, "suffix" : "" }, { "dropping-particle" : "", "family" : "Peterson", "given" : "Curt M.", "non-dropping-particle" : "", "parse-names" : false, "suffix" : "" } ], "container-title" : "Global Change Biology", "id" : "ITEM-1", "issued" : { "date-parts" : [ [ "1999" ] ] }, "page" : "807-837", "title" : "Elevated CO2 and plant structure: a review", "type" : "article-journal", "volume" : "5" }, "uris" : [ "http://www.mendeley.com/documents/?uuid=3fea1754-17f2-45bd-a880-934704242c46" ] }, { "id" : "ITEM-2", "itemData" : { "ISSN" : "0032-0889", "PMID" : "10759536", "abstract" : "This study demonstrates that elevated [CO(2)] has profound effects on cell division and expansion in developing wheat (Triticum aestivum L.) leaves and on the quantitative integration of these processes in whole-leaf growth kinetics, anatomy, and carbon content. The expression of these effects, however, is modified by intrinsic factors related to genetic makeup and leaf position, and also by exposure to low vernalizing temperatures at germination. Beyond these interactions, leaf developmental responses to elevated [CO(2)] in wheat share several remarkable features that were conserved across all leaves examined. Most significantly: (a) the contribution of [CO(2)] effects on meristem size and activity in driving differences in whole-blade growth kinetics and final dimensions; (b) an anisotropy in cellular growth responses to elevated [CO(2)], with final cell length and expansion in the paradermal plane being highly conserved, even when the rates and duration of cell elongation were modified, while cell cross-sectional areas were increased; (c) tissue-specific effects of elevated [CO(2)], with significant modifications of mesophyll anatomy, including an increased extension of intercellular air spaces and the formation of, on average, one extra cell layer, while epidermal anatomy was mostly unaltered. Our results indicate complex developmental regulations of sugar effects in expanding leaves that are subjected to genetic variation and influenced by environmental cues important in the promotion of floral initiation. They also provide insights into apparently contradictory and inconsistent conclusions of published CO(2) enrichment studies in wheat.", "author" : [ { "dropping-particle" : "", "family" : "Masle", "given" : "J", "non-dropping-particle" : "", "parse-names" : false, "suffix" : "" } ], "container-title" : "Plant Physiology", "id" : "ITEM-2", "issue" : "4", "issued" : { "date-parts" : [ [ "2000", "4" ] ] }, "page" : "1399-415", "title" : "The effects of elevated CO2 concentrations on cell division rates, growth patterns, and blade anatomy in young wheat plants are modulated by factors related to leaf position, vernalization, and genotype.", "type" : "article-journal", "volume" : "122" }, "uris" : [ "http://www.mendeley.com/documents/?uuid=f4b87b7f-8e83-4245-a692-33081698588e" ] }, { "id" : "ITEM-3", "itemData" : { "DOI" : "10.1046/j.1365-3040.1997.d01-21.x", "ISSN" : "0140-7791", "author" : [ { "dropping-particle" : "", "family" : "Kinsman", "given" : "E. A.", "non-dropping-particle" : "", "parse-names" : false, "suffix" : "" }, { "dropping-particle" : "", "family" : "Lewis", "given" : "C.", "non-dropping-particle" : "", "parse-names" : false, "suffix" : "" }, { "dropping-particle" : "", "family" : "Davies", "given" : "M. S.", "non-dropping-particle" : "", "parse-names" : false, "suffix" : "" }, { "dropping-particle" : "", "family" : "Young", "given" : "J. E.", "non-dropping-particle" : "", "parse-names" : false, "suffix" : "" }, { "dropping-particle" : "", "family" : "Francis", "given" : "D.", "non-dropping-particle" : "", "parse-names" : false, "suffix" : "" }, { "dropping-particle" : "", "family" : "Vilhar", "given" : "B.", "non-dropping-particle" : "", "parse-names" : false, "suffix" : "" }, { "dropping-particle" : "", "family" : "Ougham", "given" : "H.J.", "non-dropping-particle" : "", "parse-names" : false, "suffix" : "" } ], "container-title" : "Plant, Cell &amp; Environment", "id" : "ITEM-3", "issue" : "10", "issued" : { "date-parts" : [ [ "1997", "10" ] ] }, "page" : "1309-1316", "title" : "Elevated CO2 stimulates cells to divide in grass meristems: a differential effect in two natural populations of Dactylis glomerata", "type" : "article-journal", "volume" : "20" }, "uris" : [ "http://www.mendeley.com/documents/?uuid=a6db634d-23db-4625-8ef0-1633c08c4961" ] } ], "mendeley" : { "formattedCitation" : "(Kinsman &lt;i&gt;et al.&lt;/i&gt;, 1997; Pritchard &lt;i&gt;et al.&lt;/i&gt;, 1999; Masle, 2000)", "plainTextFormattedCitation" : "(Kinsman et al., 1997; Pritchard et al., 1999; Masle, 2000)", "previouslyFormattedCitation" : "(Kinsman &lt;i&gt;et al.&lt;/i&gt;, 1997; Pritchard &lt;i&gt;et al.&lt;/i&gt;, 1999; Masle, 2000)"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(Kinsman </w:t>
      </w:r>
      <w:r w:rsidRPr="002C5907">
        <w:rPr>
          <w:rFonts w:ascii="Cambria" w:hAnsi="Cambria" w:cs="Arial"/>
          <w:i/>
          <w:noProof/>
        </w:rPr>
        <w:t>et al.</w:t>
      </w:r>
      <w:r w:rsidRPr="002C5907">
        <w:rPr>
          <w:rFonts w:ascii="Cambria" w:hAnsi="Cambria" w:cs="Arial"/>
          <w:noProof/>
        </w:rPr>
        <w:t xml:space="preserve">, 1997; Pritchard </w:t>
      </w:r>
      <w:r w:rsidRPr="002C5907">
        <w:rPr>
          <w:rFonts w:ascii="Cambria" w:hAnsi="Cambria" w:cs="Arial"/>
          <w:i/>
          <w:noProof/>
        </w:rPr>
        <w:t>et al.</w:t>
      </w:r>
      <w:r w:rsidRPr="002C5907">
        <w:rPr>
          <w:rFonts w:ascii="Cambria" w:hAnsi="Cambria" w:cs="Arial"/>
          <w:noProof/>
        </w:rPr>
        <w:t>, 1999; Masle, 2000)</w:t>
      </w:r>
      <w:r w:rsidRPr="00531789">
        <w:rPr>
          <w:rFonts w:ascii="Cambria" w:hAnsi="Cambria" w:cs="Arial"/>
        </w:rPr>
        <w:fldChar w:fldCharType="end"/>
      </w:r>
      <w:r w:rsidRPr="00531789">
        <w:rPr>
          <w:rFonts w:ascii="Cambria" w:hAnsi="Cambria" w:cs="Arial"/>
        </w:rPr>
        <w:t xml:space="preserve">.  </w:t>
      </w:r>
      <w:r w:rsidRPr="00531789">
        <w:rPr>
          <w:rFonts w:ascii="Cambria" w:hAnsi="Cambria"/>
        </w:rPr>
        <w:t xml:space="preserve">Growing plants in large pots increases the potential carbon sink activity, due in part to increased nitrogen availability, generally leading to increased growth </w:t>
      </w:r>
      <w:r w:rsidRPr="00531789">
        <w:rPr>
          <w:rFonts w:ascii="Cambria" w:hAnsi="Cambria"/>
        </w:rPr>
        <w:fldChar w:fldCharType="begin" w:fldLock="1"/>
      </w:r>
      <w:r>
        <w:rPr>
          <w:rFonts w:ascii="Cambria" w:hAnsi="Cambria"/>
        </w:rPr>
        <w:instrText>ADDIN CSL_CITATION { "citationItems" : [ { "id" : "ITEM-1", "itemData" : { "DOI" : "10.1007/BF00566971", "ISSN" : "0029-8549", "author" : [ { "dropping-particle" : "", "family" : "McConnaughay", "given" : "K. D. M.", "non-dropping-particle" : "", "parse-names" : false, "suffix" : "" }, { "dropping-particle" : "", "family" : "Berntson", "given" : "G. M.", "non-dropping-particle" : "", "parse-names" : false, "suffix" : "" }, { "dropping-particle" : "", "family" : "Bazzaz", "given" : "F. A.", "non-dropping-particle" : "", "parse-names" : false, "suffix" : "" } ], "container-title" : "Oecologia", "id" : "ITEM-1", "issue" : "4", "issued" : { "date-parts" : [ [ "1993", "7" ] ] }, "note" : "Need to read properly!", "page" : "550-557", "title" : "Limitations to CO2-induced growth enhancement in pot studies", "type" : "article-journal", "volume" : "94" }, "uris" : [ "http://www.mendeley.com/documents/?uuid=e2836029-3e9b-4005-a8d1-9243d5886f96" ] }, { "id" : "ITEM-2", "itemData" : { "DOI" : "10.1071/FP12049", "ISSN" : "1445-4408", "author" : [ { "dropping-particle" : "", "family" : "Poorter", "given" : "Hendrik", "non-dropping-particle" : "", "parse-names" : false, "suffix" : "" }, { "dropping-particle" : "", "family" : "B\u00fchler", "given" : "Jonas", "non-dropping-particle" : "", "parse-names" : false, "suffix" : "" }, { "dropping-particle" : "", "family" : "Dusschoten", "given" : "Dagmar", "non-dropping-particle" : "van", "parse-names" : false, "suffix" : "" }, { "dropping-particle" : "", "family" : "Climent", "given" : "Jos\u00e9", "non-dropping-particle" : "", "parse-names" : false, "suffix" : "" }, { "dropping-particle" : "", "family" : "Postma", "given" : "Johannes A.", "non-dropping-particle" : "", "parse-names" : false, "suffix" : "" } ], "container-title" : "Functional Plant Biology", "id" : "ITEM-2", "issue" : "11", "issued" : { "date-parts" : [ [ "2012" ] ] }, "page" : "839", "title" : "Pot size matters: a meta-analysis of the effects of rooting volume on plant growth", "type" : "article-journal", "volume" : "39" }, "uris" : [ "http://www.mendeley.com/documents/?uuid=d737404c-d9c2-442f-8f3d-5e20a28bef99" ] } ], "mendeley" : { "formattedCitation" : "(McConnaughay &lt;i&gt;et al.&lt;/i&gt;, 1993; Poorter &lt;i&gt;et al.&lt;/i&gt;, 2012)", "manualFormatting" : "(Table 1; McConnaughay et al., 1993; Poorter et al., 2012)", "plainTextFormattedCitation" : "(McConnaughay et al., 1993; Poorter et al., 2012)", "previouslyFormattedCitation" : "(McConnaughay &lt;i&gt;et al.&lt;/i&gt;, 1993; Poorter &lt;i&gt;et al.&lt;/i&gt;, 2012)"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 xml:space="preserve">(Table 1; McConnaughay </w:t>
      </w:r>
      <w:r w:rsidRPr="00531789">
        <w:rPr>
          <w:rFonts w:ascii="Cambria" w:hAnsi="Cambria"/>
          <w:i/>
          <w:noProof/>
        </w:rPr>
        <w:t>et al.</w:t>
      </w:r>
      <w:r w:rsidRPr="00531789">
        <w:rPr>
          <w:rFonts w:ascii="Cambria" w:hAnsi="Cambria"/>
          <w:noProof/>
        </w:rPr>
        <w:t xml:space="preserve">, 1993; Poorter </w:t>
      </w:r>
      <w:r w:rsidRPr="00531789">
        <w:rPr>
          <w:rFonts w:ascii="Cambria" w:hAnsi="Cambria"/>
          <w:i/>
          <w:noProof/>
        </w:rPr>
        <w:t>et al.</w:t>
      </w:r>
      <w:r w:rsidRPr="00531789">
        <w:rPr>
          <w:rFonts w:ascii="Cambria" w:hAnsi="Cambria"/>
          <w:noProof/>
        </w:rPr>
        <w:t>, 2012)</w:t>
      </w:r>
      <w:r w:rsidRPr="00531789">
        <w:rPr>
          <w:rFonts w:ascii="Cambria" w:hAnsi="Cambria"/>
        </w:rPr>
        <w:fldChar w:fldCharType="end"/>
      </w:r>
      <w:r w:rsidRPr="00531789">
        <w:rPr>
          <w:rFonts w:ascii="Cambria" w:hAnsi="Cambria"/>
        </w:rPr>
        <w:t xml:space="preserve">, and experiments comparing species or cultivars with different sink sizes reveal that growth is faster when sinks are larger </w:t>
      </w:r>
      <w:r w:rsidRPr="00531789">
        <w:rPr>
          <w:rFonts w:ascii="Cambria" w:hAnsi="Cambria"/>
        </w:rPr>
        <w:fldChar w:fldCharType="begin" w:fldLock="1"/>
      </w:r>
      <w:r>
        <w:rPr>
          <w:rFonts w:ascii="Cambria" w:hAnsi="Cambria"/>
        </w:rPr>
        <w:instrText>ADDIN CSL_CITATION { "citationItems" : [ { "id" : "ITEM-1", "itemData" : { "DOI" : "10.1093/jxb/ert081", "ISSN" : "1460-2431", "PMID" : "23564953", "abstract" : "The expansion of the world's population requires the development of high production agriculture. For this purpose, it is essential to identify target points conditioning crop responsiveness to predicted [CO2]. The aim of this study was to determine the relevance of ear sink strength in leaf protein and metabolomic profiles and its implications in photosynthetic activity and yield of durum wheat plants exposed to elevated [CO2]. For this purpose, a genotype with high harvest index (HI) (Triticum durum var. Sula) and another with low HI (Triticum durum var. Blanqueta) were exposed to elevated [CO2] (700 \u00b5mol mol(-1) versus 400 \u00b5mol mol(-1) CO2) in CO2 greenhouses. The obtained data highlighted that elevated [CO2] only increased plant growth in the genotype with the largest HI; Sula. Gas exchange analyses revealed that although exposure to 700 \u00b5mol mol(-1) depleted Rubisco content, Sula was capable of increasing the light-saturated rate of CO2 assimilation (Asat) whereas, in Blanqueta, the carbohydrate imbalance induced the down-regulation of Asat. The specific depletion of Rubisco in both genotypes under elevated [CO2], together with the enhancement of other proteins in the Calvin cycle, revealed that there was a redistribution of N from Rubisco towards RuBP regeneration. Moreover, the down-regulation of N, NO3 (-), amino acid, and organic acid content, together with the depletion of proteins involved in amino acid synthesis that was detected in Blanqueta grown at 700 \u00b5mol mol(-1) CO2, revealed that inhibition of N assimilation was involved in the carbohydrate imbalance and consequently with the down-regulation of photosynthesis and growth in these plants.", "author" : [ { "dropping-particle" : "", "family" : "Aranjuelo", "given" : "Iker", "non-dropping-particle" : "", "parse-names" : false, "suffix" : "" }, { "dropping-particle" : "", "family" : "Sanz-S\u00e1ez", "given" : "Alvaro", "non-dropping-particle" : "", "parse-names" : false, "suffix" : "" }, { "dropping-particle" : "", "family" : "Jauregui", "given" : "Iv\u00e1n", "non-dropping-particle" : "", "parse-names" : false, "suffix" : "" }, { "dropping-particle" : "", "family" : "Irigoyen", "given" : "Juan J", "non-dropping-particle" : "", "parse-names" : false, "suffix" : "" }, { "dropping-particle" : "", "family" : "Araus", "given" : "Jos\u00e9 L", "non-dropping-particle" : "", "parse-names" : false, "suffix" : "" }, { "dropping-particle" : "", "family" : "S\u00e1nchez-D\u00edaz", "given" : "Manuel", "non-dropping-particle" : "", "parse-names" : false, "suffix" : "" }, { "dropping-particle" : "", "family" : "Erice", "given" : "Gorka", "non-dropping-particle" : "", "parse-names" : false, "suffix" : "" } ], "container-title" : "Journal of Experimental Botany", "id" : "ITEM-1", "issue" : "7", "issued" : { "date-parts" : [ [ "2013", "4", "5" ] ] }, "page" : "1879-1892", "title" : "Harvest index, a parameter conditioning responsiveness of wheat plants to elevated CO2.", "type" : "article-journal", "volume" : "64" }, "uris" : [ "http://www.mendeley.com/documents/?uuid=39990fbf-5a7c-4a03-9ab2-bb31aa67c806" ] }, { "id" : "ITEM-2", "itemData" : { "DOI" : "10.1139/cjb-76-5-829", "ISSN" : "14803305", "author" : [ { "dropping-particle" : "", "family" : "Reekie", "given" : "Edward G.", "non-dropping-particle" : "", "parse-names" : false, "suffix" : "" }, { "dropping-particle" : "", "family" : "MacDougall", "given" : "Glenn", "non-dropping-particle" : "", "parse-names" : false, "suffix" : "" }, { "dropping-particle" : "", "family" : "Wong", "given" : "Ivan", "non-dropping-particle" : "", "parse-names" : false, "suffix" : "" }, { "dropping-particle" : "", "family" : "Hicklenton", "given" : "Peter R.", "non-dropping-particle" : "", "parse-names" : false, "suffix" : "" } ], "container-title" : "Canadian Journal of Botany", "id" : "ITEM-2", "issue" : "5", "issued" : { "date-parts" : [ [ "1998" ] ] }, "page" : "829-835", "title" : "Effect of sink size on growth response to elevated atmospheric CO&lt;sub&gt;2&lt;/sub&gt; within the genus &lt;i&gt;Brassica&lt;/i&gt;", "type" : "article-journal", "volume" : "76" }, "uris" : [ "http://www.mendeley.com/documents/?uuid=50b9e472-b8ed-4053-a6f8-f7d712f6c1b9" ] } ], "mendeley" : { "formattedCitation" : "(Reekie &lt;i&gt;et al.&lt;/i&gt;, 1998; Aranjuelo &lt;i&gt;et al.&lt;/i&gt;, 2013)", "manualFormatting" : "(Table 1; Reekie et al., 1998; Aranjuelo et al., 2013)", "plainTextFormattedCitation" : "(Reekie et al., 1998; Aranjuelo et al., 2013)", "previouslyFormattedCitation" : "(Reekie &lt;i&gt;et al.&lt;/i&gt;, 1998; Aranjuelo &lt;i&gt;et al.&lt;/i&gt;, 2013)"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 xml:space="preserve">(Table 1; Reekie </w:t>
      </w:r>
      <w:r w:rsidRPr="00531789">
        <w:rPr>
          <w:rFonts w:ascii="Cambria" w:hAnsi="Cambria"/>
          <w:i/>
          <w:noProof/>
        </w:rPr>
        <w:t>et al</w:t>
      </w:r>
      <w:r w:rsidRPr="00531789">
        <w:rPr>
          <w:rFonts w:ascii="Cambria" w:hAnsi="Cambria"/>
          <w:noProof/>
        </w:rPr>
        <w:t xml:space="preserve">., 1998; Aranjuelo </w:t>
      </w:r>
      <w:r w:rsidRPr="00531789">
        <w:rPr>
          <w:rFonts w:ascii="Cambria" w:hAnsi="Cambria"/>
          <w:i/>
          <w:noProof/>
        </w:rPr>
        <w:t>et al</w:t>
      </w:r>
      <w:r w:rsidRPr="00531789">
        <w:rPr>
          <w:rFonts w:ascii="Cambria" w:hAnsi="Cambria"/>
          <w:noProof/>
        </w:rPr>
        <w:t>., 2013)</w:t>
      </w:r>
      <w:r w:rsidRPr="00531789">
        <w:rPr>
          <w:rFonts w:ascii="Cambria" w:hAnsi="Cambria"/>
        </w:rPr>
        <w:fldChar w:fldCharType="end"/>
      </w:r>
      <w:r w:rsidRPr="00531789">
        <w:rPr>
          <w:rFonts w:ascii="Cambria" w:hAnsi="Cambria"/>
        </w:rPr>
        <w:t>.</w:t>
      </w:r>
    </w:p>
    <w:p w14:paraId="00FCEDDC" w14:textId="77777777" w:rsidR="00DF4522" w:rsidRPr="00531789" w:rsidRDefault="00DF4522" w:rsidP="00DF4522">
      <w:pPr>
        <w:spacing w:line="360" w:lineRule="auto"/>
        <w:jc w:val="both"/>
        <w:rPr>
          <w:rFonts w:ascii="Cambria" w:hAnsi="Cambria"/>
        </w:rPr>
      </w:pPr>
    </w:p>
    <w:p w14:paraId="023DB9B0" w14:textId="2FBB6214" w:rsidR="00DF4522" w:rsidRPr="00531789" w:rsidRDefault="00DF4522" w:rsidP="00DF4522">
      <w:pPr>
        <w:spacing w:line="360" w:lineRule="auto"/>
        <w:jc w:val="both"/>
        <w:rPr>
          <w:rFonts w:ascii="Cambria" w:hAnsi="Cambria"/>
        </w:rPr>
      </w:pPr>
      <w:r w:rsidRPr="00531789">
        <w:rPr>
          <w:rFonts w:ascii="Cambria" w:hAnsi="Cambria"/>
        </w:rPr>
        <w:t xml:space="preserve">Reduction of source leaf area by defoliation usually leads to an increase in photosynthesis in the remaining leaves, to maintain source activity within the plant and support the sinks </w:t>
      </w:r>
      <w:r w:rsidRPr="00531789">
        <w:rPr>
          <w:rFonts w:ascii="Cambria" w:hAnsi="Cambria"/>
        </w:rPr>
        <w:fldChar w:fldCharType="begin" w:fldLock="1"/>
      </w:r>
      <w:r w:rsidR="00FB53C0">
        <w:rPr>
          <w:rFonts w:ascii="Cambria" w:hAnsi="Cambria"/>
        </w:rPr>
        <w:instrText>ADDIN CSL_CITATION { "citationItems" : [ { "id" : "ITEM-1", "itemData" : { "DOI" : "10.1093/jxb/ert017", "ISSN" : "1460-2431", "PMID" : "23382548", "abstract" : "Increases in photosynthetic capacity (A(1500)) after defoliation have been attributed to changes in leaf-level biochemistry, water, and/or nutrient status. The hypothesis that transient photosynthetic responses to partial defoliation are regulated by whole-plant (e.g. source-sink relationships or changes in hydraulic conductance) rather than leaf-level mechanisms is tested here. Temporal variation in leaf-level gas exchange, chemistry, whole-plant soil-to-leaf hydraulic conductance (K(P)), and aboveground biomass partitioning were determined to evaluate mechanisms responsible for increases in A(1500) of Eucalyptus globulus L. potted saplings. A(1500) increased in response to debudding (B), partial defoliation (D), and combined B&amp;D treatments by up to 36% at 5 weeks after treatment. Changes in leaf-level factors partly explained increases in A(1500) of B and B&amp;D treatments but not for D treatment. By week 5, saplings in B, B&amp;D, and D treatments had similar leaf-specific K(P) to control trees by maintaining lower midday water potentials and higher transpiration rate per leaf area. Whole-plant source:sink ratios correlated strongly with A(1500). Further, unlike K(P), temporal changes in source:sink ratios tracked well with those observed for A(1500). The results indicate that increases in A(1500) after partial defoliation treatments were largely driven by an increased demand for assimilate by developing sinks rather than improvements in whole-plant water relations and changes in leaf-level factors. Three carbohydrates, galactional, stachyose, and, to a lesser extent, raffinose, correlated strongly with photosynthetic capacity, indicating that these sugars may function as signalling molecules in the regulation of longer term defoliation-induced gas exchange responses.", "author" : [ { "dropping-particle" : "", "family" : "Eyles", "given" : "Alieta", "non-dropping-particle" : "", "parse-names" : false, "suffix" : "" }, { "dropping-particle" : "", "family" : "Pinkard", "given" : "Elizabeth A", "non-dropping-particle" : "", "parse-names" : false, "suffix" : "" }, { "dropping-particle" : "", "family" : "Davies", "given" : "Noel W", "non-dropping-particle" : "", "parse-names" : false, "suffix" : "" }, { "dropping-particle" : "", "family" : "Corkrey", "given" : "Ross", "non-dropping-particle" : "", "parse-names" : false, "suffix" : "" }, { "dropping-particle" : "", "family" : "Churchill", "given" : "Keith", "non-dropping-particle" : "", "parse-names" : false, "suffix" : "" }, { "dropping-particle" : "", "family" : "O'Grady", "given" : "Anthony P", "non-dropping-particle" : "", "parse-names" : false, "suffix" : "" }, { "dropping-particle" : "", "family" : "Sands", "given" : "Peter", "non-dropping-particle" : "", "parse-names" : false, "suffix" : "" }, { "dropping-particle" : "", "family" : "Mohammed", "given" : "Caroline", "non-dropping-particle" : "", "parse-names" : false, "suffix" : "" } ], "container-title" : "Journal of Experimental Botany", "id" : "ITEM-1", "issued" : { "date-parts" : [ [ "2013", "2", "4" ] ] }, "page" : "1625-1636", "title" : "Whole-plant- versus leaf-level regulation of photosynthetic responses after partial defoliation in Eucalyptus globulus saplings.", "type" : "article-journal", "volume" : "64" }, "uris" : [ "http://www.mendeley.com/documents/?uuid=806913fb-60bb-4055-8f33-a68e82fe25c6" ] }, { "id" : "ITEM-2", "itemData" : { "abstract" : "The response of CO2-assimilation rate to the intercellular partial pressure of CO 2 (p(CO2)) is used to analyse the effects of various growth treatments on the photosynthetic charac- teristics of P. vulgaris. Partial defoliation caused an increase in CO2-assimilation rate at all intercel- lular p(CO2). A change in the light regime for growth from high to low light levels caused a de- crease of CO2-assimilation rate at all intercellular p(CO2). Growth in a CO2-enriched atmosphere re- sulted in lowered assimilation rates compared with controls at comparable intercellular p(CO2). Short-term water stress initially caused only a de- cline in the CO2-assimilation rate at high intercel- lular p(CO2) , but not at low intercellular p(CO2). Except under severe water stress, changes in the initial slope of the response of CO2-assimilation rate to intercellular p(CO2) were in parallel to those of the in-vitro activity of ribulose-l,5-bis- phosphate (RuBP) carboxylase. From the results, we infer that partial defoliation, changes in the light regime for growth, and growth in a CO 2- enriched atmosphere cause parallel changes in RuBP-carboxylase (EC 4.1.1.39) activity and the \"capacity for RuBP regeneration\", whereas short- term water stress initially causes only a decline in the RuBP-regeneration capacity.", "author" : [ { "dropping-particle" : "", "family" : "Caemmerer", "given" : "S", "non-dropping-particle" : "von", "parse-names" : false, "suffix" : "" }, { "dropping-particle" : "", "family" : "Farquhar", "given" : "G D", "non-dropping-particle" : "", "parse-names" : false, "suffix" : "" } ], "container-title" : "Planta", "id" : "ITEM-2", "issued" : { "date-parts" : [ [ "1984" ] ] }, "page" : "320-329", "title" : "Effects of partial defoliation, changes of irradiance during growth, short-term water stress and growth at enhanced p(CO2) on the photosynthetic capacity of leaves of Phaseolus vulgaris L.", "type" : "article-journal", "volume" : "160" }, "uris" : [ "http://www.mendeley.com/documents/?uuid=977f1aec-7e33-4bd4-aa58-97cfe55b97b2" ] } ], "mendeley" : { "formattedCitation" : "(von Caemmerer and Farquhar, 1984; Eyles &lt;i&gt;et al.&lt;/i&gt;, 2013&lt;i&gt;a&lt;/i&gt;)", "manualFormatting" : "(Table 1; von Caemmerer and Farquhar, 1984; Eyles et al., 2013)", "plainTextFormattedCitation" : "(von Caemmerer and Farquhar, 1984; Eyles et al., 2013a)", "previouslyFormattedCitation" : "(von Caemmerer and Farquhar, 1984; Eyles &lt;i&gt;et al.&lt;/i&gt;, 2013&lt;i&gt;a&lt;/i&gt;)"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 xml:space="preserve">(Table 1; von Caemmerer and Farquhar, 1984; Eyles </w:t>
      </w:r>
      <w:r w:rsidRPr="00531789">
        <w:rPr>
          <w:rFonts w:ascii="Cambria" w:hAnsi="Cambria"/>
          <w:i/>
          <w:noProof/>
        </w:rPr>
        <w:t>et al</w:t>
      </w:r>
      <w:r w:rsidRPr="00531789">
        <w:rPr>
          <w:rFonts w:ascii="Cambria" w:hAnsi="Cambria"/>
          <w:noProof/>
        </w:rPr>
        <w:t>., 2013)</w:t>
      </w:r>
      <w:r w:rsidRPr="00531789">
        <w:rPr>
          <w:rFonts w:ascii="Cambria" w:hAnsi="Cambria"/>
        </w:rPr>
        <w:fldChar w:fldCharType="end"/>
      </w:r>
      <w:r w:rsidRPr="00531789">
        <w:rPr>
          <w:rFonts w:ascii="Cambria" w:hAnsi="Cambria"/>
        </w:rPr>
        <w:t xml:space="preserve">.  </w:t>
      </w:r>
      <w:r w:rsidRPr="00531789">
        <w:rPr>
          <w:rFonts w:ascii="Cambria" w:hAnsi="Cambria" w:cs="Arial"/>
        </w:rPr>
        <w:t xml:space="preserve">This could indicate sink limitation of growth because leaves are not carrying out their maximal potential rates of photosynthesis under normal conditions.  </w:t>
      </w:r>
      <w:r w:rsidRPr="00531789">
        <w:rPr>
          <w:rFonts w:ascii="Cambria" w:hAnsi="Cambria"/>
        </w:rPr>
        <w:t xml:space="preserve">In contrast, decreasing sink capacity – for example, by inhibiting sucrose export from leaves to reduce the apparent sink demand – leads to an inhibition of photosynthesis </w:t>
      </w:r>
      <w:r w:rsidRPr="00531789">
        <w:rPr>
          <w:rFonts w:ascii="Cambria" w:hAnsi="Cambria"/>
        </w:rPr>
        <w:fldChar w:fldCharType="begin" w:fldLock="1"/>
      </w:r>
      <w:r w:rsidRPr="00531789">
        <w:rPr>
          <w:rFonts w:ascii="Cambria" w:hAnsi="Cambria"/>
        </w:rPr>
        <w:instrText>ADDIN CSL_CITATION { "citationItems" : [ { "id" : "ITEM-1", "itemData" : { "DOI" : "10.1104/pp.110.167684", "ISSN" : "1532-2548", "PMID" : "20971857", "author" : [ { "dropping-particle" : "", "family" : "Ainsworth", "given" : "Elizabeth A", "non-dropping-particle" : "", "parse-names" : false, "suffix" : "" }, { "dropping-particle" : "", "family" : "Bush", "given" : "Daniel R", "non-dropping-particle" : "", "parse-names" : false, "suffix" : "" } ], "container-title" : "Plant Physiology", "id" : "ITEM-1", "issue" : "1", "issued" : { "date-parts" : [ [ "2011", "1" ] ] }, "page" : "64-9", "title" : "Carbohydrate export from the leaf: a highly regulated process and target to enhance photosynthesis and productivity.", "type" : "article-journal", "volume" : "155" }, "uris" : [ "http://www.mendeley.com/documents/?uuid=1e757ecd-3097-4ea6-9928-73835421a18c" ] } ], "mendeley" : { "formattedCitation" : "(Ainsworth and Bush, 2011)", "manualFormatting" : "(Table 1; Ainsworth and Bush, 2011)", "plainTextFormattedCitation" : "(Ainsworth and Bush, 2011)", "previouslyFormattedCitation" : "(Ainsworth and Bush, 2011)"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(Table 1; Ainsworth and Bush, 2011)</w:t>
      </w:r>
      <w:r w:rsidRPr="00531789">
        <w:rPr>
          <w:rFonts w:ascii="Cambria" w:hAnsi="Cambria"/>
        </w:rPr>
        <w:fldChar w:fldCharType="end"/>
      </w:r>
      <w:r w:rsidRPr="00531789">
        <w:rPr>
          <w:rFonts w:ascii="Cambria" w:hAnsi="Cambria"/>
        </w:rPr>
        <w:t xml:space="preserve"> mediated by an increase in leaf carbohydrates </w:t>
      </w:r>
      <w:r w:rsidRPr="00531789">
        <w:rPr>
          <w:rFonts w:ascii="Cambria" w:hAnsi="Cambria"/>
        </w:rPr>
        <w:fldChar w:fldCharType="begin" w:fldLock="1"/>
      </w:r>
      <w:r w:rsidRPr="00531789">
        <w:rPr>
          <w:rFonts w:ascii="Cambria" w:hAnsi="Cambria"/>
        </w:rPr>
        <w:instrText>ADDIN CSL_CITATION { "citationItems" : [ { "id" : "ITEM-1", "itemData" : { "author" : [ { "dropping-particle" : "", "family" : "Sheen", "given" : "Jen", "non-dropping-particle" : "", "parse-names" : false, "suffix" : "" } ], "container-title" : "The Plant Cell", "id" : "ITEM-1", "issued" : { "date-parts" : [ [ "1990" ] ] }, "page" : "1027-1038", "title" : "Metabolic Repression of Transcription in Higher Plants", "type" : "article-journal", "volume" : "2" }, "uris" : [ "http://www.mendeley.com/documents/?uuid=19d33eb2-d491-4686-acc7-350df0daee6a" ] } ], "mendeley" : { "formattedCitation" : "(Sheen, 1990)", "plainTextFormattedCitation" : "(Sheen, 1990)", "previouslyFormattedCitation" : "(Sheen, 1990)"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(Sheen, 1990)</w:t>
      </w:r>
      <w:r w:rsidRPr="00531789">
        <w:rPr>
          <w:rFonts w:ascii="Cambria" w:hAnsi="Cambria"/>
        </w:rPr>
        <w:fldChar w:fldCharType="end"/>
      </w:r>
      <w:r w:rsidRPr="00531789">
        <w:rPr>
          <w:rFonts w:ascii="Cambria" w:hAnsi="Cambria"/>
        </w:rPr>
        <w:t xml:space="preserve">. </w:t>
      </w:r>
    </w:p>
    <w:p w14:paraId="15094139" w14:textId="77777777" w:rsidR="00DF4522" w:rsidRPr="00531789" w:rsidRDefault="00DF4522" w:rsidP="00DF4522">
      <w:pPr>
        <w:spacing w:line="360" w:lineRule="auto"/>
        <w:rPr>
          <w:rFonts w:ascii="Cambria" w:hAnsi="Cambria"/>
        </w:rPr>
      </w:pPr>
    </w:p>
    <w:p w14:paraId="1F17F419" w14:textId="6340D461" w:rsidR="00DF4522" w:rsidRPr="00531789" w:rsidRDefault="00DF4522" w:rsidP="00DF4522">
      <w:pPr>
        <w:spacing w:line="360" w:lineRule="auto"/>
        <w:jc w:val="both"/>
        <w:rPr>
          <w:rFonts w:ascii="Cambria" w:hAnsi="Cambria"/>
        </w:rPr>
      </w:pPr>
      <w:r w:rsidRPr="00531789">
        <w:rPr>
          <w:rFonts w:ascii="Cambria" w:hAnsi="Cambria"/>
        </w:rPr>
        <w:t>Combining experimental treatments that affect both source and sink provides evidence that sources and sinks work together and feed back on each other.  Photosynthetic acclimation at elevated CO</w:t>
      </w:r>
      <w:r w:rsidRPr="00531789">
        <w:rPr>
          <w:rFonts w:ascii="Cambria" w:hAnsi="Cambria"/>
          <w:vertAlign w:val="subscript"/>
        </w:rPr>
        <w:t>2</w:t>
      </w:r>
      <w:r w:rsidRPr="00531789">
        <w:rPr>
          <w:rFonts w:ascii="Cambria" w:hAnsi="Cambria"/>
        </w:rPr>
        <w:t xml:space="preserve"> concentration is a decrease in photosynthetic capacity that reduces the magnitude of the CO</w:t>
      </w:r>
      <w:r w:rsidRPr="00531789">
        <w:rPr>
          <w:rFonts w:ascii="Cambria" w:hAnsi="Cambria"/>
          <w:vertAlign w:val="subscript"/>
        </w:rPr>
        <w:t>2</w:t>
      </w:r>
      <w:r w:rsidRPr="00531789">
        <w:rPr>
          <w:rFonts w:ascii="Cambria" w:hAnsi="Cambria"/>
        </w:rPr>
        <w:t>-induced stimulation in photosynthetic rate at elevated CO</w:t>
      </w:r>
      <w:r w:rsidRPr="00531789">
        <w:rPr>
          <w:rFonts w:ascii="Cambria" w:hAnsi="Cambria"/>
          <w:vertAlign w:val="subscript"/>
        </w:rPr>
        <w:t>2</w:t>
      </w:r>
      <w:r w:rsidRPr="00531789">
        <w:rPr>
          <w:rFonts w:ascii="Cambria" w:hAnsi="Cambria"/>
        </w:rPr>
        <w:t xml:space="preserve">.  Acclimation acts to reduce the ratio of </w:t>
      </w:r>
      <w:proofErr w:type="spellStart"/>
      <w:r w:rsidRPr="00531789">
        <w:rPr>
          <w:rFonts w:ascii="Cambria" w:hAnsi="Cambria"/>
        </w:rPr>
        <w:t>source:sink</w:t>
      </w:r>
      <w:proofErr w:type="spellEnd"/>
      <w:r w:rsidRPr="00531789">
        <w:rPr>
          <w:rFonts w:ascii="Cambria" w:hAnsi="Cambria"/>
        </w:rPr>
        <w:t xml:space="preserve"> activity and thus adjust </w:t>
      </w:r>
      <w:proofErr w:type="spellStart"/>
      <w:r w:rsidRPr="00531789">
        <w:rPr>
          <w:rFonts w:ascii="Cambria" w:hAnsi="Cambria"/>
        </w:rPr>
        <w:t>source:sink</w:t>
      </w:r>
      <w:proofErr w:type="spellEnd"/>
      <w:r w:rsidRPr="00531789">
        <w:rPr>
          <w:rFonts w:ascii="Cambria" w:hAnsi="Cambria"/>
        </w:rPr>
        <w:t xml:space="preserve"> balance toward equilibrium.  Combining defoliation and elevated CO</w:t>
      </w:r>
      <w:r w:rsidRPr="00531789">
        <w:rPr>
          <w:rFonts w:ascii="Cambria" w:hAnsi="Cambria"/>
          <w:vertAlign w:val="subscript"/>
        </w:rPr>
        <w:t>2</w:t>
      </w:r>
      <w:r w:rsidRPr="00531789">
        <w:rPr>
          <w:rFonts w:ascii="Cambria" w:hAnsi="Cambria"/>
        </w:rPr>
        <w:t xml:space="preserve"> treatments (which decrease and increase the source, respectively) shows that photosynthetic acclimation under elevated CO</w:t>
      </w:r>
      <w:r w:rsidRPr="00531789">
        <w:rPr>
          <w:rFonts w:ascii="Cambria" w:hAnsi="Cambria"/>
          <w:vertAlign w:val="subscript"/>
        </w:rPr>
        <w:t>2</w:t>
      </w:r>
      <w:r w:rsidRPr="00531789">
        <w:rPr>
          <w:rFonts w:ascii="Cambria" w:hAnsi="Cambria"/>
        </w:rPr>
        <w:t xml:space="preserve"> is alleviated by defoliation, supporting the hypothesis that it is sink-mediated </w:t>
      </w:r>
      <w:r w:rsidRPr="00531789">
        <w:rPr>
          <w:rFonts w:ascii="Cambria" w:hAnsi="Cambria"/>
        </w:rPr>
        <w:fldChar w:fldCharType="begin" w:fldLock="1"/>
      </w:r>
      <w:r w:rsidR="00906E41">
        <w:rPr>
          <w:rFonts w:ascii="Cambria" w:hAnsi="Cambria"/>
        </w:rPr>
        <w:instrText>ADDIN CSL_CITATION { "citationItems" : [ { "id" : "ITEM-1", "itemData" : { "DOI" : "10.1046/j.1365-3040.1998.00265.x", "ISSN" : "0140-7791", "abstract" : "Artificial chalk grassland swards were exposed to either ambient air or air enriched to 600 mol mol\u20131 CO2, using free-airCO2 enrichment technology, and subjected to an 8 week simulated grazing regime. After 14 months of treatment, ribulose-1,5-bisphosphate carboxylase (Rubisco) activity (Vc,max) and electron transport mediated ribulose- 1,5-bisphosphate (RuBP) regeneration capacity (Jmax), estimated from leaf gas exchange, were significantly lower in fully expanded leaves of Anthyllis vulneraria L. (a legume) and Sanguisorba minor Scop. grown in elevated CO2. After a change in source:sink balance brought about by defoliation, photosynthetic capacity was fully restored in A. vulneraria and S. minor, but acclimation continued in the grass Bromopsis erecta (Hudson) Fourr. Changes in net photosynthesis (Pn) with growth at elevated CO2 ranged from a 1\u00b76% reduction in precut leaves of A. vulneraria to a 47\u00b71% stimulation in postcut leaves of S. minor. Stomatal acclimation was observed in leaves of A. vulneraria (reduced stomatal density) and B. erecta (reduced stomatal conductance). The results are discussed in terms of whole-plant resource-use optimization and chalk grass- land community competitive interactions at elevated CO2.", "author" : [ { "dropping-particle" : "", "family" : "Bryant", "given" : "J.", "non-dropping-particle" : "", "parse-names" : false, "suffix" : "" }, { "dropping-particle" : "", "family" : "Taylor", "given" : "G.", "non-dropping-particle" : "", "parse-names" : false, "suffix" : "" }, { "dropping-particle" : "", "family" : "Frehner", "given" : "M.", "non-dropping-particle" : "", "parse-names" : false, "suffix" : "" } ], "container-title" : "Plant, Cell &amp; Environment", "id" : "ITEM-1", "issue" : "2", "issued" : { "date-parts" : [ [ "1998", "2" ] ] }, "page" : "159-168", "title" : "Photosynthetic acclimation to elevated CO2 is modified by source:sink balance in three component species of chalk grassland swards grown in a free air carbon dioxide enrichment (FACE) experiment", "type" : "article-journal", "volume" : "21" }, "uris" : [ "http://www.mendeley.com/documents/?uuid=08d06e6f-6558-4bdd-9350-c1b56acb361c" ] }, { "id" : "ITEM-2", "itemData" : { "ISSN" : "1532-2548", "PMID" : "9765554", "abstract" : "Acclimation of photosynthesis to elevated CO2 has previously been shown to be more pronounced when N supply is poor. Is this a direct effect of N or an indirect effect of N by limiting the development of sinks for photoassimilate? This question was tested by growing a perennial ryegrass (Lolium perenne) in the field under elevated (60 Pa) and current (36 Pa) partial pressures of CO2 (pCO2) at low and high levels of N fertilization. Cutting of this herbage crop at 4- to 8-week intervals removed about 80% of the canopy, therefore decreasing the ratio of photosynthetic area to sinks for photoassimilate. Leaf photosynthesis, in vivo carboxylation capacity, carbohydrate, N, ribulose-1,5-bisphosphate carboxylase/oxygenase, sedoheptulose-1,7-bisphosphatase, and chloroplastic fructose-1, 6-bisphosphatase levels were determined for mature lamina during two consecutive summers. Just before the cut, when the canopy was relatively large, growth at elevated pCO2 and low N resulted in significant decreases in carboxylation capacity and the amount of ribulose-1,5-bisphosphate carboxylase/oxygenase protein. In high N there were no significant decreases in carboxylation capacity or proteins, but chloroplastic fructose-1,6-bisphosphatase protein levels increased significantly. Elevated pCO2 resulted in a marked and significant increase in leaf carbohydrate content at low N, but had no effect at high N. This acclimation at low N was absent after the harvest, when the canopy size was small. These results suggest that acclimation under low N is caused by limitation of sink development rather than being a direct effect of N supply on photosynthesis.", "author" : [ { "dropping-particle" : "", "family" : "Rogers", "given" : "A", "non-dropping-particle" : "", "parse-names" : false, "suffix" : "" }, { "dropping-particle" : "", "family" : "Fischer", "given" : "BU", "non-dropping-particle" : "", "parse-names" : false, "suffix" : "" }, { "dropping-particle" : "", "family" : "Bryant", "given" : "J", "non-dropping-particle" : "", "parse-names" : false, "suffix" : "" }, { "dropping-particle" : "", "family" : "Frehner", "given" : "M", "non-dropping-particle" : "", "parse-names" : false, "suffix" : "" }, { "dropping-particle" : "", "family" : "Blum", "given" : "H", "non-dropping-particle" : "", "parse-names" : false, "suffix" : "" }, { "dropping-particle" : "", "family" : "Raines", "given" : "CA", "non-dropping-particle" : "", "parse-names" : false, "suffix" : "" }, { "dropping-particle" : "", "family" : "Long", "given" : "SP", "non-dropping-particle" : "", "parse-names" : false, "suffix" : "" } ], "container-title" : "Plant Physiology", "id" : "ITEM-2", "issue" : "2", "issued" : { "date-parts" : [ [ "1998", "10" ] ] }, "page" : "683-9", "title" : "Acclimation of photosynthesis to elevated CO2 under low-nitrogen nutrition is affected by the capacity for assimilate utilization. Perennial ryegrass under free-air CO2 enrichment", "type" : "article-journal", "volume" : "118" }, "uris" : [ "http://www.mendeley.com/documents/?uuid=cbd02c05-1a1f-4c95-812f-93fcf1df820a" ] }, { "id" : "ITEM-3", "itemData" : { "author" : [ { "dropping-particle" : "", "family" : "Ainsworth", "given" : "E A", "non-dropping-particle" : "", "parse-names" : false, "suffix" : "" }, { "dropping-particle" : "", "family" : "Davey", "given" : "P A", "non-dropping-particle" : "", "parse-names" : false, "suffix" : "" }, { "dropping-particle" : "", "family" : "Hymus", "given" : "G J", "non-dropping-particle" : "", "parse-names" : false, "suffix" : "" }, { "dropping-particle" : "", "family" : "Osborne", "given" : "C P", "non-dropping-particle" : "", "parse-names" : false, "suffix" : "" }, { "dropping-particle" : "", "family" : "Rogers", "given" : "A", "non-dropping-particle" : "", "parse-names" : false, "suffix" : "" }, { "dropping-particle" : "", "family" : "Blum", "given" : "H", "non-dropping-particle" : "", "parse-names" : false, "suffix" : "" }, { "dropping-particle" : "", "family" : "N\u00f6sberger", "given" : "J", "non-dropping-particle" : "", "parse-names" : false, "suffix" : "" } ], "container-title" : "Plant, Cell &amp; Environment", "id" : "ITEM-3", "issued" : { "date-parts" : [ [ "2003" ] ] }, "page" : "705-714", "title" : "Is stimulation of leaf photosynthesis by elevated carbon dioxide concentration maintained in the long term? A test with Lolium perenne grown for 10 years at two nitrogen fertilization levels under Free Air CO2 Enrichment (FACE)", "type" : "article-journal", "volume" : "26" }, "uris" : [ "http://www.mendeley.com/documents/?uuid=c2e64ee4-0701-4038-bbb9-375db47c90d0" ] } ], "mendeley" : { "formattedCitation" : "(Bryant &lt;i&gt;et al.&lt;/i&gt;, 1998; Rogers &lt;i&gt;et al.&lt;/i&gt;, 1998; Ainsworth &lt;i&gt;et al.&lt;/i&gt;, 2003)", "manualFormatting" : "(Table 1; e.g. Bryant et al., 1998; Rogers et al., 1998; Ainsworth et al., 2003)", "plainTextFormattedCitation" : "(Bryant et al., 1998; Rogers et al., 1998; Ainsworth et al., 2003)", "previouslyFormattedCitation" : "(Bryant &lt;i&gt;et al.&lt;/i&gt;, 1998; Rogers &lt;i&gt;et al.&lt;/i&gt;, 1998; Ainsworth &lt;i&gt;et al.&lt;/i&gt;, 2003)"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 xml:space="preserve">(Table 1; e.g. Bryant </w:t>
      </w:r>
      <w:r w:rsidRPr="00531789">
        <w:rPr>
          <w:rFonts w:ascii="Cambria" w:hAnsi="Cambria"/>
          <w:i/>
          <w:noProof/>
        </w:rPr>
        <w:t>et al.</w:t>
      </w:r>
      <w:r w:rsidRPr="00531789">
        <w:rPr>
          <w:rFonts w:ascii="Cambria" w:hAnsi="Cambria"/>
          <w:noProof/>
        </w:rPr>
        <w:t xml:space="preserve">, 1998; Rogers </w:t>
      </w:r>
      <w:r w:rsidRPr="00531789">
        <w:rPr>
          <w:rFonts w:ascii="Cambria" w:hAnsi="Cambria"/>
          <w:i/>
          <w:noProof/>
        </w:rPr>
        <w:t>et al</w:t>
      </w:r>
      <w:r w:rsidRPr="00531789">
        <w:rPr>
          <w:rFonts w:ascii="Cambria" w:hAnsi="Cambria"/>
          <w:noProof/>
        </w:rPr>
        <w:t xml:space="preserve">., 1998; Ainsworth </w:t>
      </w:r>
      <w:r w:rsidRPr="00531789">
        <w:rPr>
          <w:rFonts w:ascii="Cambria" w:hAnsi="Cambria"/>
          <w:i/>
          <w:noProof/>
        </w:rPr>
        <w:t>et al</w:t>
      </w:r>
      <w:r w:rsidRPr="00531789">
        <w:rPr>
          <w:rFonts w:ascii="Cambria" w:hAnsi="Cambria"/>
          <w:noProof/>
        </w:rPr>
        <w:t>., 2003)</w:t>
      </w:r>
      <w:r w:rsidRPr="00531789">
        <w:rPr>
          <w:rFonts w:ascii="Cambria" w:hAnsi="Cambria"/>
        </w:rPr>
        <w:fldChar w:fldCharType="end"/>
      </w:r>
      <w:r w:rsidRPr="00531789">
        <w:rPr>
          <w:rFonts w:ascii="Cambria" w:hAnsi="Cambria"/>
        </w:rPr>
        <w:t>. The alleviation of acclimation occurs because defoliation opposes the effect of elevated CO</w:t>
      </w:r>
      <w:r w:rsidRPr="00531789">
        <w:rPr>
          <w:rFonts w:ascii="Cambria" w:hAnsi="Cambria"/>
          <w:vertAlign w:val="subscript"/>
        </w:rPr>
        <w:t>2</w:t>
      </w:r>
      <w:r w:rsidRPr="00531789">
        <w:rPr>
          <w:rFonts w:ascii="Cambria" w:hAnsi="Cambria"/>
        </w:rPr>
        <w:t xml:space="preserve"> by decreasing the </w:t>
      </w:r>
      <w:proofErr w:type="spellStart"/>
      <w:r w:rsidRPr="00531789">
        <w:rPr>
          <w:rFonts w:ascii="Cambria" w:hAnsi="Cambria"/>
        </w:rPr>
        <w:t>source:sink</w:t>
      </w:r>
      <w:proofErr w:type="spellEnd"/>
      <w:r w:rsidRPr="00531789">
        <w:rPr>
          <w:rFonts w:ascii="Cambria" w:hAnsi="Cambria"/>
        </w:rPr>
        <w:t xml:space="preserve"> ratio, and higher levels of photosynthesis can thus be maintained in the remaining leaves.  The opposite effect is seen when the source is increased but the sink is reduced.  For example, when physical removal / restriction of sinks or genetic manipulation to reduce sink size is combined with elevated CO</w:t>
      </w:r>
      <w:r w:rsidRPr="00531789">
        <w:rPr>
          <w:rFonts w:ascii="Cambria" w:hAnsi="Cambria"/>
          <w:vertAlign w:val="subscript"/>
        </w:rPr>
        <w:t>2</w:t>
      </w:r>
      <w:r w:rsidRPr="00531789">
        <w:rPr>
          <w:rFonts w:ascii="Cambria" w:hAnsi="Cambria"/>
        </w:rPr>
        <w:t xml:space="preserve">, leading to an increase in the </w:t>
      </w:r>
      <w:proofErr w:type="spellStart"/>
      <w:r w:rsidRPr="00531789">
        <w:rPr>
          <w:rFonts w:ascii="Cambria" w:hAnsi="Cambria"/>
        </w:rPr>
        <w:t>source:sink</w:t>
      </w:r>
      <w:proofErr w:type="spellEnd"/>
      <w:r w:rsidRPr="00531789">
        <w:rPr>
          <w:rFonts w:ascii="Cambria" w:hAnsi="Cambria"/>
        </w:rPr>
        <w:t xml:space="preserve"> balance, source activity is decreased in order to return toward equilibrium </w:t>
      </w:r>
      <w:r w:rsidRPr="00531789">
        <w:rPr>
          <w:rFonts w:ascii="Cambria" w:hAnsi="Cambria"/>
        </w:rPr>
        <w:fldChar w:fldCharType="begin" w:fldLock="1"/>
      </w:r>
      <w:r>
        <w:rPr>
          <w:rFonts w:ascii="Cambria" w:hAnsi="Cambria"/>
        </w:rPr>
        <w:instrText>ADDIN CSL_CITATION { "citationItems" : [ { "id" : "ITEM-1", "itemData" : { "author" : [ { "dropping-particle" : "", "family" : "Arp", "given" : "W J", "non-dropping-particle" : "", "parse-names" : false, "suffix" : "" } ], "container-title" : "Plant, Cell &amp; Environment", "id" : "ITEM-1", "issued" : { "date-parts" : [ [ "1991" ] ] }, "page" : "869-875", "title" : "Effects of source-sink relations on photosynthetic acclimation to elevated CO2", "type" : "article-journal", "volume" : "14" }, "uris" : [ "http://www.mendeley.com/documents/?uuid=bb80a4ae-185e-48b5-858d-08efd177107a" ] }, { "id" : "ITEM-2", "itemData" : { "DOI" : "10.1016/j.agrformet.2003.09.002", "ISSN" : "01681923", "author" : [ { "dropping-particle" : "", "family" : "Ainsworth", "given" : "Elizabeth A", "non-dropping-particle" : "", "parse-names" : false, "suffix" : "" }, { "dropping-particle" : "", "family" : "Rogers", "given" : "Alistair", "non-dropping-particle" : "", "parse-names" : false, "suffix" : "" }, { "dropping-particle" : "", "family" : "Nelson", "given" : "Randall", "non-dropping-particle" : "", "parse-names" : false, "suffix" : "" }, { "dropping-particle" : "", "family" : "Long", "given" : "Stephen P", "non-dropping-particle" : "", "parse-names" : false, "suffix" : "" } ], "container-title" : "Agricultural and Forest Meteorology", "id" : "ITEM-2", "issue" : "1-2", "issued" : { "date-parts" : [ [ "2004", "3" ] ] }, "page" : "85-94", "title" : "Testing the \u201csource\u2013sink\u201d hypothesis of down-regulation of photosynthesis in elevated [CO2] in the field with single gene substitutions in Glycine max", "type" : "article-journal", "volume" : "122" }, "uris" : [ "http://www.mendeley.com/documents/?uuid=212ed654-d1ec-47e4-9a05-b5a118151413" ] } ], "mendeley" : { "formattedCitation" : "(Arp, 1991; Ainsworth &lt;i&gt;et al.&lt;/i&gt;, 2004)", "manualFormatting" : "(Table 1; Arp, 1991; Ainsworth et al., 2004)", "plainTextFormattedCitation" : "(Arp, 1991; Ainsworth et al., 2004)", "previouslyFormattedCitation" : "(Arp, 1991; Ainsworth &lt;i&gt;et al.&lt;/i&gt;, 2004)"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 xml:space="preserve">(Table 1; Arp, 1991; Ainsworth </w:t>
      </w:r>
      <w:r w:rsidRPr="00531789">
        <w:rPr>
          <w:rFonts w:ascii="Cambria" w:hAnsi="Cambria"/>
          <w:i/>
          <w:noProof/>
        </w:rPr>
        <w:t>et al.</w:t>
      </w:r>
      <w:r w:rsidRPr="00531789">
        <w:rPr>
          <w:rFonts w:ascii="Cambria" w:hAnsi="Cambria"/>
          <w:noProof/>
        </w:rPr>
        <w:t>, 2004)</w:t>
      </w:r>
      <w:r w:rsidRPr="00531789">
        <w:rPr>
          <w:rFonts w:ascii="Cambria" w:hAnsi="Cambria"/>
        </w:rPr>
        <w:fldChar w:fldCharType="end"/>
      </w:r>
      <w:r w:rsidRPr="00531789">
        <w:rPr>
          <w:rFonts w:ascii="Cambria" w:hAnsi="Cambria"/>
        </w:rPr>
        <w:t>.  Combining low nitrogen or low temperature – which restrict sink development – with elevated CO</w:t>
      </w:r>
      <w:r w:rsidRPr="00531789">
        <w:rPr>
          <w:rFonts w:ascii="Cambria" w:hAnsi="Cambria"/>
          <w:vertAlign w:val="subscript"/>
        </w:rPr>
        <w:t>2</w:t>
      </w:r>
      <w:r w:rsidRPr="00531789">
        <w:rPr>
          <w:rFonts w:ascii="Cambria" w:hAnsi="Cambria"/>
        </w:rPr>
        <w:t xml:space="preserve"> has a similar effect </w:t>
      </w:r>
      <w:r w:rsidRPr="00531789">
        <w:rPr>
          <w:rFonts w:ascii="Cambria" w:hAnsi="Cambria"/>
        </w:rPr>
        <w:fldChar w:fldCharType="begin" w:fldLock="1"/>
      </w:r>
      <w:r w:rsidRPr="00531789">
        <w:rPr>
          <w:rFonts w:ascii="Cambria" w:hAnsi="Cambria"/>
        </w:rPr>
        <w:instrText>ADDIN CSL_CITATION { "citationItems" : [ { "id" : "ITEM-1", "itemData" : { "author" : [ { "dropping-particle" : "", "family" : "Arp", "given" : "W J", "non-dropping-particle" : "", "parse-names" : false, "suffix" : "" } ], "container-title" : "Plant, Cell &amp; Environment", "id" : "ITEM-1", "issued" : { "date-parts" : [ [ "1991" ] ] }, "page" : "869-875", "title" : "Effects of source-sink relations on photosynthetic acclimation to elevated CO2", "type" : "article-journal", "volume" : "14" }, "uris" : [ "http://www.mendeley.com/documents/?uuid=bb80a4ae-185e-48b5-858d-08efd177107a" ] } ], "mendeley" : { "formattedCitation" : "(Arp, 1991)", "manualFormatting" : "(Table 1; Arp, 1991)", "plainTextFormattedCitation" : "(Arp, 1991)", "previouslyFormattedCitation" : "(Arp, 1991)"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(Table 1; Arp, 1991)</w:t>
      </w:r>
      <w:r w:rsidRPr="00531789">
        <w:rPr>
          <w:rFonts w:ascii="Cambria" w:hAnsi="Cambria"/>
        </w:rPr>
        <w:fldChar w:fldCharType="end"/>
      </w:r>
      <w:r w:rsidRPr="00531789">
        <w:rPr>
          <w:rFonts w:ascii="Cambria" w:hAnsi="Cambria"/>
        </w:rPr>
        <w:t>.  In contrast, increasing carbon sink capacity under elevated CO</w:t>
      </w:r>
      <w:r w:rsidRPr="00531789">
        <w:rPr>
          <w:rFonts w:ascii="Cambria" w:hAnsi="Cambria"/>
          <w:vertAlign w:val="subscript"/>
        </w:rPr>
        <w:t>2</w:t>
      </w:r>
      <w:r w:rsidRPr="00531789">
        <w:rPr>
          <w:rFonts w:ascii="Cambria" w:hAnsi="Cambria"/>
        </w:rPr>
        <w:t xml:space="preserve">, by using high-yielding cultivars or adding nitrogen, facilitates increased photosynthesis </w:t>
      </w:r>
      <w:r w:rsidRPr="00531789">
        <w:rPr>
          <w:rFonts w:ascii="Cambria" w:hAnsi="Cambria"/>
        </w:rPr>
        <w:fldChar w:fldCharType="begin" w:fldLock="1"/>
      </w:r>
      <w:r>
        <w:rPr>
          <w:rFonts w:ascii="Cambria" w:hAnsi="Cambria"/>
        </w:rPr>
        <w:instrText>ADDIN CSL_CITATION { "citationItems" : [ { "id" : "ITEM-1", "itemData" : { "ISSN" : "1532-2548", "PMID" : "9765543", "abstract" : "Long-term exposure of plants to elevated partial pressures of CO2 (pCO2) often depresses photosynthetic capacity. The mechanistic basis for this photosynthetic acclimation may involve accumulation of carbohydrate and may be promoted by nutrient limitation. However, our current knowledge is inadequate for making reliable predictions concerning the onset and extent of acclimation. Many studies have sought to investigate the effects of N supply but the methodologies used generally do not allow separation of the direct effects of limited N availability from those caused by a N dilution effect due to accelerated growth at elevated pCO2. To dissociate these interactions, wheat (Triticum aestivum L.) was grown hydroponically and N was added in direct proportion to plant growth. Photosynthesis did not acclimate to elevated pCO2 even when growth was restricted by a low-N relative addition rate. Ribulose-1, 5-bisphosphate carboxylase/oxygenase activity and quantity were maintained, there was no evidence for triose phosphate limitation of photosynthesis, and tissue N content remained within the range recorded for healthy wheat plants. In contrast, wheat grown in sand culture with N supplied at a fixed concentration suffered photosynthetic acclimation at elevated pCO2 in a low-N treatment. This was accompanied by a significant reduction in the quantity of active ribulose-1, 5-bisphosphate carboxylase/oxygenase and leaf N content.", "author" : [ { "dropping-particle" : "", "family" : "Farage", "given" : "PK", "non-dropping-particle" : "", "parse-names" : false, "suffix" : "" }, { "dropping-particle" : "", "family" : "McKee", "given" : "IF", "non-dropping-particle" : "", "parse-names" : false, "suffix" : "" }, { "dropping-particle" : "", "family" : "Long", "given" : "SP", "non-dropping-particle" : "", "parse-names" : false, "suffix" : "" } ], "container-title" : "Plant Physiology", "id" : "ITEM-1", "issue" : "2", "issued" : { "date-parts" : [ [ "1998", "10" ] ] }, "page" : "573-80", "title" : "Does a low nitrogen supply necessarily lead to acclimation of photosynthesis to elevated CO2?", "type" : "article-journal", "volume" : "118" }, "uris" : [ "http://www.mendeley.com/documents/?uuid=e71bdee4-0f0f-485a-ac61-5673528705bd" ] }, { "id" : "ITEM-2", "itemData" : { "DOI" : "10.1093/jxb/ert081", "ISSN" : "1460-2431", "PMID" : "23564953", "abstract" : "The expansion of the world's population requires the development of high production agriculture. For this purpose, it is essential to identify target points conditioning crop responsiveness to predicted [CO2]. The aim of this study was to determine the relevance of ear sink strength in leaf protein and metabolomic profiles and its implications in photosynthetic activity and yield of durum wheat plants exposed to elevated [CO2]. For this purpose, a genotype with high harvest index (HI) (Triticum durum var. Sula) and another with low HI (Triticum durum var. Blanqueta) were exposed to elevated [CO2] (700 \u00b5mol mol(-1) versus 400 \u00b5mol mol(-1) CO2) in CO2 greenhouses. The obtained data highlighted that elevated [CO2] only increased plant growth in the genotype with the largest HI; Sula. Gas exchange analyses revealed that although exposure to 700 \u00b5mol mol(-1) depleted Rubisco content, Sula was capable of increasing the light-saturated rate of CO2 assimilation (Asat) whereas, in Blanqueta, the carbohydrate imbalance induced the down-regulation of Asat. The specific depletion of Rubisco in both genotypes under elevated [CO2], together with the enhancement of other proteins in the Calvin cycle, revealed that there was a redistribution of N from Rubisco towards RuBP regeneration. Moreover, the down-regulation of N, NO3 (-), amino acid, and organic acid content, together with the depletion of proteins involved in amino acid synthesis that was detected in Blanqueta grown at 700 \u00b5mol mol(-1) CO2, revealed that inhibition of N assimilation was involved in the carbohydrate imbalance and consequently with the down-regulation of photosynthesis and growth in these plants.", "author" : [ { "dropping-particle" : "", "family" : "Aranjuelo", "given" : "Iker", "non-dropping-particle" : "", "parse-names" : false, "suffix" : "" }, { "dropping-particle" : "", "family" : "Sanz-S\u00e1ez", "given" : "Alvaro", "non-dropping-particle" : "", "parse-names" : false, "suffix" : "" }, { "dropping-particle" : "", "family" : "Jauregui", "given" : "Iv\u00e1n", "non-dropping-particle" : "", "parse-names" : false, "suffix" : "" }, { "dropping-particle" : "", "family" : "Irigoyen", "given" : "Juan J", "non-dropping-particle" : "", "parse-names" : false, "suffix" : "" }, { "dropping-particle" : "", "family" : "Araus", "given" : "Jos\u00e9 L", "non-dropping-particle" : "", "parse-names" : false, "suffix" : "" }, { "dropping-particle" : "", "family" : "S\u00e1nchez-D\u00edaz", "given" : "Manuel", "non-dropping-particle" : "", "parse-names" : false, "suffix" : "" }, { "dropping-particle" : "", "family" : "Erice", "given" : "Gorka", "non-dropping-particle" : "", "parse-names" : false, "suffix" : "" } ], "container-title" : "Journal of Experimental Botany", "id" : "ITEM-2", "issue" : "7", "issued" : { "date-parts" : [ [ "2013", "4", "5" ] ] }, "page" : "1879-1892", "title" : "Harvest index, a parameter conditioning responsiveness of wheat plants to elevated CO2.", "type" : "article-journal", "volume" : "64" }, "uris" : [ "http://www.mendeley.com/documents/?uuid=39990fbf-5a7c-4a03-9ab2-bb31aa67c806" ] } ], "mendeley" : { "formattedCitation" : "(Farage &lt;i&gt;et al.&lt;/i&gt;, 1998; Aranjuelo &lt;i&gt;et al.&lt;/i&gt;, 2013)", "manualFormatting" : "(Table 1; Farage et al., 1998; Aranjuelo et al., 2013)", "plainTextFormattedCitation" : "(Farage et al., 1998; Aranjuelo et al., 2013)", "previouslyFormattedCitation" : "(Farage &lt;i&gt;et al.&lt;/i&gt;, 1998; Aranjuelo &lt;i&gt;et al.&lt;/i&gt;, 2013)"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 xml:space="preserve">(Table 1; Farage </w:t>
      </w:r>
      <w:r w:rsidRPr="00531789">
        <w:rPr>
          <w:rFonts w:ascii="Cambria" w:hAnsi="Cambria"/>
          <w:i/>
          <w:noProof/>
        </w:rPr>
        <w:t>et al.</w:t>
      </w:r>
      <w:r w:rsidRPr="00531789">
        <w:rPr>
          <w:rFonts w:ascii="Cambria" w:hAnsi="Cambria"/>
          <w:noProof/>
        </w:rPr>
        <w:t xml:space="preserve">, 1998; Aranjuelo </w:t>
      </w:r>
      <w:r w:rsidRPr="00531789">
        <w:rPr>
          <w:rFonts w:ascii="Cambria" w:hAnsi="Cambria"/>
          <w:i/>
          <w:noProof/>
        </w:rPr>
        <w:t>et al</w:t>
      </w:r>
      <w:r w:rsidRPr="00531789">
        <w:rPr>
          <w:rFonts w:ascii="Cambria" w:hAnsi="Cambria"/>
          <w:noProof/>
        </w:rPr>
        <w:t>., 2013)</w:t>
      </w:r>
      <w:r w:rsidRPr="00531789">
        <w:rPr>
          <w:rFonts w:ascii="Cambria" w:hAnsi="Cambria"/>
        </w:rPr>
        <w:fldChar w:fldCharType="end"/>
      </w:r>
      <w:r w:rsidRPr="00531789">
        <w:rPr>
          <w:rFonts w:ascii="Cambria" w:hAnsi="Cambria"/>
        </w:rPr>
        <w:t xml:space="preserve">.  </w:t>
      </w:r>
    </w:p>
    <w:p w14:paraId="74FC19BD" w14:textId="77777777" w:rsidR="00DF4522" w:rsidRPr="00531789" w:rsidRDefault="00DF4522" w:rsidP="00DF4522">
      <w:pPr>
        <w:spacing w:line="360" w:lineRule="auto"/>
        <w:jc w:val="both"/>
        <w:rPr>
          <w:rFonts w:ascii="Cambria" w:hAnsi="Cambria" w:cs="Arial"/>
        </w:rPr>
      </w:pPr>
    </w:p>
    <w:p w14:paraId="06746821" w14:textId="77777777" w:rsidR="00DF4522" w:rsidRPr="00531789" w:rsidRDefault="00DF4522" w:rsidP="00DF4522">
      <w:pPr>
        <w:spacing w:line="360" w:lineRule="auto"/>
        <w:jc w:val="both"/>
        <w:rPr>
          <w:rFonts w:ascii="Cambria" w:hAnsi="Cambria" w:cs="Arial"/>
          <w:b/>
        </w:rPr>
      </w:pPr>
      <w:r w:rsidRPr="00531789">
        <w:rPr>
          <w:rFonts w:ascii="Cambria" w:hAnsi="Cambria" w:cs="Arial"/>
          <w:b/>
        </w:rPr>
        <w:t>Differences among species</w:t>
      </w:r>
    </w:p>
    <w:p w14:paraId="3ACB6A9E" w14:textId="77777777" w:rsidR="00DF4522" w:rsidRPr="00531789" w:rsidRDefault="00DF4522" w:rsidP="00DF4522">
      <w:pPr>
        <w:spacing w:line="360" w:lineRule="auto"/>
        <w:jc w:val="both"/>
        <w:rPr>
          <w:rFonts w:ascii="Cambria" w:hAnsi="Cambria" w:cs="Arial"/>
        </w:rPr>
      </w:pPr>
    </w:p>
    <w:p w14:paraId="28C604D2"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In some species, developmental plasticity allows for greater flexibility when the </w:t>
      </w:r>
      <w:proofErr w:type="spellStart"/>
      <w:r w:rsidRPr="00531789">
        <w:rPr>
          <w:rFonts w:ascii="Cambria" w:hAnsi="Cambria" w:cs="Arial"/>
        </w:rPr>
        <w:t>source:sink</w:t>
      </w:r>
      <w:proofErr w:type="spellEnd"/>
      <w:r w:rsidRPr="00531789">
        <w:rPr>
          <w:rFonts w:ascii="Cambria" w:hAnsi="Cambria" w:cs="Arial"/>
        </w:rPr>
        <w:t xml:space="preserve"> balance is perturbed.  Potato and citrus may easily increase their sink size, so tend to suffer less from feedback inhibition of photosynthesis </w:t>
      </w:r>
      <w:r w:rsidRPr="00531789">
        <w:rPr>
          <w:rFonts w:ascii="Cambria" w:hAnsi="Cambria" w:cs="Arial"/>
        </w:rPr>
        <w:fldChar w:fldCharType="begin" w:fldLock="1"/>
      </w:r>
      <w:r w:rsidRPr="00531789">
        <w:rPr>
          <w:rFonts w:ascii="Cambria" w:hAnsi="Cambria" w:cs="Arial"/>
        </w:rPr>
        <w:instrText>ADDIN CSL_CITATION { "citationItems" : [ { "id" : "ITEM-1", "itemData" : { "ISSN" : "0022-0957", "PMID" : "11457898", "abstract" : "The concept that photosynthetic flux is influenced by the accumulation of photo-assimilate persisted for 100 years before receiving any strong experimental support. Precise analysis of the mechanisms of photosynthetic responses to sink activity required the development of a battery of appropriate molecular techniques and has benefited from contemporary interest in the effects of elevated CO2 on photosynthesis. Photosynthesis is one of the most highly integrated and regulated metabolic processes to maximize the use of available light, to minimize the damaging effects of excess light and to optimize the use of limiting carbon and nitrogen resources. Hypotheses of feedback regulation must take account of this integration. In the short term, departure from homeostasis can lead to redox signals, which cause rapid changes in the transcription of genes encoding photosystems I and II. End-product synthesis can exert short-term metabolic feedback control through Pi recycling. Beyond this, carbohydrate accumulation in leaves when there is an imbalance between source and sink at the whole plant level can lead to decreased expression of photosynthetic genes and accelerated leaf senescence. In a high CO2 world this may become a more prevalent feature of photosynthetic regulation. However, sink regulation of photosynthesis is highly dependent on the physiology of the rest of the plant. This physiological state regulates photosynthesis through signal transduction pathways that co-ordinate the plant carbon : nitrogen balance, which match photosynthetic capacity to growth and storage capacity and underpin and can override the direct short-term controls of photosynthesis by light and CO2. Photosynthate supply and phytohormones, particularly cytokinins, interact with nitrogen supply to control the expression of photosynthesis genes, the development of leaves and the whole plant nitrogen distribution, which provides the dominant basis for sink regulation of photosynthesis.", "author" : [ { "dropping-particle" : "", "family" : "Paul", "given" : "M J", "non-dropping-particle" : "", "parse-names" : false, "suffix" : "" }, { "dropping-particle" : "", "family" : "Foyer", "given" : "C H", "non-dropping-particle" : "", "parse-names" : false, "suffix" : "" } ], "container-title" : "Journal of Experimental Botany", "id" : "ITEM-1", "issue" : "360", "issued" : { "date-parts" : [ [ "2001", "7" ] ] }, "page" : "1383-1400", "title" : "Sink regulation of photosynthesis.", "type" : "article-journal", "volume" : "52" }, "uris" : [ "http://www.mendeley.com/documents/?uuid=c98c867d-46c9-4b79-b44c-91fa0b84c0f8" ] } ], "mendeley" : { "formattedCitation" : "(Paul and Foyer, 2001)", "plainTextFormattedCitation" : "(Paul and Foyer, 2001)", "previouslyFormattedCitation" : "(Paul and Foyer, 2001)"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(Paul and Foyer, 2001)</w:t>
      </w:r>
      <w:r w:rsidRPr="00531789">
        <w:rPr>
          <w:rFonts w:ascii="Cambria" w:hAnsi="Cambria" w:cs="Arial"/>
        </w:rPr>
        <w:fldChar w:fldCharType="end"/>
      </w:r>
      <w:r w:rsidRPr="00531789">
        <w:rPr>
          <w:rFonts w:ascii="Cambria" w:hAnsi="Cambria" w:cs="Arial"/>
        </w:rPr>
        <w:t>, and nitrogen-fixing legumes are easily able to increase their sink size in response to elevated CO</w:t>
      </w:r>
      <w:r w:rsidRPr="00531789">
        <w:rPr>
          <w:rFonts w:ascii="Cambria" w:hAnsi="Cambria" w:cs="Arial"/>
          <w:vertAlign w:val="subscript"/>
        </w:rPr>
        <w:t xml:space="preserve">2 </w:t>
      </w:r>
      <w:r w:rsidRPr="00531789">
        <w:rPr>
          <w:rFonts w:ascii="Cambria" w:hAnsi="Cambria" w:cs="Arial"/>
          <w:vertAlign w:val="subscript"/>
        </w:rPr>
        <w:fldChar w:fldCharType="begin" w:fldLock="1"/>
      </w:r>
      <w:r>
        <w:rPr>
          <w:rFonts w:ascii="Cambria" w:hAnsi="Cambria" w:cs="Arial"/>
          <w:vertAlign w:val="subscript"/>
        </w:rPr>
        <w:instrText>ADDIN CSL_CITATION { "citationItems" : [ { "id" : "ITEM-1", "itemData" : { "DOI" : "10.1104/pp.109.144113", "ISSN" : "1532-2548", "PMID" : "19755541", "author" : [ { "dropping-particle" : "", "family" : "Rogers", "given" : "Alistair", "non-dropping-particle" : "", "parse-names" : false, "suffix" : "" }, { "dropping-particle" : "", "family" : "Ainsworth", "given" : "Elizabeth A", "non-dropping-particle" : "", "parse-names" : false, "suffix" : "" }, { "dropping-particle" : "", "family" : "Leakey", "given" : "Andrew D B", "non-dropping-particle" : "", "parse-names" : false, "suffix" : "" } ], "container-title" : "Plant Physiology", "id" : "ITEM-1", "issue" : "3", "issued" : { "date-parts" : [ [ "2009", "11" ] ] }, "page" : "1009-16", "title" : "Will elevated carbon dioxide concentration amplify the benefits of nitrogen fixation in legumes?", "type" : "article-journal", "volume" : "151" }, "uris" : [ "http://www.mendeley.com/documents/?uuid=fc784c2a-46fa-4f64-93d4-3a5f4480d63c" ] } ], "mendeley" : { "formattedCitation" : "(Rogers &lt;i&gt;et al.&lt;/i&gt;, 2009)", "plainTextFormattedCitation" : "(Rogers et al., 2009)", "previouslyFormattedCitation" : "(Rogers &lt;i&gt;et al.&lt;/i&gt;, 2009)" }, "properties" : { "noteIndex" : 0 }, "schema" : "https://github.com/citation-style-language/schema/raw/master/csl-citation.json" }</w:instrText>
      </w:r>
      <w:r w:rsidRPr="00531789">
        <w:rPr>
          <w:rFonts w:ascii="Cambria" w:hAnsi="Cambria" w:cs="Arial"/>
          <w:vertAlign w:val="subscript"/>
        </w:rPr>
        <w:fldChar w:fldCharType="separate"/>
      </w:r>
      <w:r w:rsidRPr="002C5907">
        <w:rPr>
          <w:rFonts w:ascii="Cambria" w:hAnsi="Cambria" w:cs="Arial"/>
          <w:noProof/>
        </w:rPr>
        <w:t xml:space="preserve">(Rogers </w:t>
      </w:r>
      <w:r w:rsidRPr="002C5907">
        <w:rPr>
          <w:rFonts w:ascii="Cambria" w:hAnsi="Cambria" w:cs="Arial"/>
          <w:i/>
          <w:noProof/>
        </w:rPr>
        <w:t>et al.</w:t>
      </w:r>
      <w:r w:rsidRPr="002C5907">
        <w:rPr>
          <w:rFonts w:ascii="Cambria" w:hAnsi="Cambria" w:cs="Arial"/>
          <w:noProof/>
        </w:rPr>
        <w:t>, 2009)</w:t>
      </w:r>
      <w:r w:rsidRPr="00531789">
        <w:rPr>
          <w:rFonts w:ascii="Cambria" w:hAnsi="Cambria" w:cs="Arial"/>
          <w:vertAlign w:val="subscript"/>
        </w:rPr>
        <w:fldChar w:fldCharType="end"/>
      </w:r>
      <w:r w:rsidRPr="00531789">
        <w:rPr>
          <w:rFonts w:ascii="Cambria" w:hAnsi="Cambria" w:cs="Arial"/>
        </w:rPr>
        <w:t xml:space="preserve">.  </w:t>
      </w:r>
    </w:p>
    <w:p w14:paraId="4FB3A276" w14:textId="77777777" w:rsidR="00DF4522" w:rsidRPr="00531789" w:rsidRDefault="00DF4522" w:rsidP="00DF4522">
      <w:pPr>
        <w:spacing w:line="360" w:lineRule="auto"/>
        <w:jc w:val="both"/>
        <w:rPr>
          <w:rFonts w:ascii="Cambria" w:hAnsi="Cambria" w:cs="Arial"/>
        </w:rPr>
      </w:pPr>
    </w:p>
    <w:p w14:paraId="396C6F38" w14:textId="77777777" w:rsidR="00DF4522" w:rsidRPr="00531789" w:rsidRDefault="00DF4522" w:rsidP="00DF4522">
      <w:pPr>
        <w:spacing w:line="360" w:lineRule="auto"/>
        <w:jc w:val="both"/>
        <w:rPr>
          <w:rFonts w:ascii="Cambria" w:hAnsi="Cambria" w:cs="Arial"/>
        </w:rPr>
      </w:pPr>
      <w:r w:rsidRPr="00531789">
        <w:rPr>
          <w:rFonts w:ascii="Cambria" w:hAnsi="Cambria" w:cs="Arial"/>
        </w:rPr>
        <w:t>The physical mechanism of carbon export is important for the coordination of source and sink.  Growth determinacy in soybean prevents an increase in photosynthesis at high CO</w:t>
      </w:r>
      <w:r w:rsidRPr="00531789">
        <w:rPr>
          <w:rFonts w:ascii="Cambria" w:hAnsi="Cambria" w:cs="Arial"/>
          <w:vertAlign w:val="subscript"/>
        </w:rPr>
        <w:t>2</w:t>
      </w:r>
      <w:r w:rsidRPr="00531789">
        <w:rPr>
          <w:rFonts w:ascii="Cambria" w:hAnsi="Cambria" w:cs="Arial"/>
        </w:rPr>
        <w:t>, whilst poplar trees have high photosynthate export and maintain elevated photosynthesis at high CO</w:t>
      </w:r>
      <w:r w:rsidRPr="00531789">
        <w:rPr>
          <w:rFonts w:ascii="Cambria" w:hAnsi="Cambria" w:cs="Arial"/>
          <w:vertAlign w:val="subscript"/>
        </w:rPr>
        <w:t xml:space="preserve">2 </w:t>
      </w:r>
      <w:r w:rsidRPr="00531789">
        <w:rPr>
          <w:rFonts w:ascii="Cambria" w:hAnsi="Cambria" w:cs="Arial"/>
          <w:vertAlign w:val="subscript"/>
        </w:rPr>
        <w:fldChar w:fldCharType="begin" w:fldLock="1"/>
      </w:r>
      <w:r>
        <w:rPr>
          <w:rFonts w:ascii="Cambria" w:hAnsi="Cambria" w:cs="Arial"/>
          <w:vertAlign w:val="subscript"/>
        </w:rPr>
        <w:instrText>ADDIN CSL_CITATION { "citationItems" : [ { "id" : "ITEM-1", "itemData" : { "DOI" : "10.1016/j.agrformet.2003.09.002", "ISSN" : "01681923", "author" : [ { "dropping-particle" : "", "family" : "Ainsworth", "given" : "Elizabeth A", "non-dropping-particle" : "", "parse-names" : false, "suffix" : "" }, { "dropping-particle" : "", "family" : "Rogers", "given" : "Alistair", "non-dropping-particle" : "", "parse-names" : false, "suffix" : "" }, { "dropping-particle" : "", "family" : "Nelson", "given" : "Randall", "non-dropping-particle" : "", "parse-names" : false, "suffix" : "" }, { "dropping-particle" : "", "family" : "Long", "given" : "Stephen P", "non-dropping-particle" : "", "parse-names" : false, "suffix" : "" } ], "container-title" : "Agricultural and Forest Meteorology", "id" : "ITEM-1", "issue" : "1-2", "issued" : { "date-parts" : [ [ "2004", "3" ] ] }, "page" : "85-94", "title" : "Testing the \u201csource\u2013sink\u201d hypothesis of down-regulation of photosynthesis in elevated [CO2] in the field with single gene substitutions in Glycine max", "type" : "article-journal", "volume" : "122" }, "uris" : [ "http://www.mendeley.com/documents/?uuid=212ed654-d1ec-47e4-9a05-b5a118151413" ] }, { "id" : "ITEM-2", "itemData" : { "DOI" : "10.1104/pp.110.167684", "ISSN" : "1532-2548", "PMID" : "20971857", "author" : [ { "dropping-particle" : "", "family" : "Ainsworth", "given" : "Elizabeth A", "non-dropping-particle" : "", "parse-names" : false, "suffix" : "" }, { "dropping-particle" : "", "family" : "Bush", "given" : "Daniel R", "non-dropping-particle" : "", "parse-names" : false, "suffix" : "" } ], "container-title" : "Plant Physiology", "id" : "ITEM-2", "issue" : "1", "issued" : { "date-parts" : [ [ "2011", "1" ] ] }, "page" : "64-9", "title" : "Carbohydrate export from the leaf: a highly regulated process and target to enhance photosynthesis and productivity.", "type" : "article-journal", "volume" : "155" }, "uris" : [ "http://www.mendeley.com/documents/?uuid=1e757ecd-3097-4ea6-9928-73835421a18c" ] } ], "mendeley" : { "formattedCitation" : "(Ainsworth &lt;i&gt;et al.&lt;/i&gt;, 2004; Ainsworth and Bush, 2011)", "manualFormatting" : "(Table 1; Ainsworth et al., 2004; Ainsworth and Bush, 2011)", "plainTextFormattedCitation" : "(Ainsworth et al., 2004; Ainsworth and Bush, 2011)", "previouslyFormattedCitation" : "(Ainsworth &lt;i&gt;et al.&lt;/i&gt;, 2004; Ainsworth and Bush, 2011)" }, "properties" : { "noteIndex" : 0 }, "schema" : "https://github.com/citation-style-language/schema/raw/master/csl-citation.json" }</w:instrText>
      </w:r>
      <w:r w:rsidRPr="00531789">
        <w:rPr>
          <w:rFonts w:ascii="Cambria" w:hAnsi="Cambria" w:cs="Arial"/>
          <w:vertAlign w:val="subscript"/>
        </w:rPr>
        <w:fldChar w:fldCharType="separate"/>
      </w:r>
      <w:r w:rsidRPr="00531789">
        <w:rPr>
          <w:rFonts w:ascii="Cambria" w:hAnsi="Cambria" w:cs="Arial"/>
          <w:noProof/>
        </w:rPr>
        <w:t xml:space="preserve">(Table 1; Ainsworth </w:t>
      </w:r>
      <w:r w:rsidRPr="00531789">
        <w:rPr>
          <w:rFonts w:ascii="Cambria" w:hAnsi="Cambria" w:cs="Arial"/>
          <w:i/>
          <w:noProof/>
        </w:rPr>
        <w:t>et al</w:t>
      </w:r>
      <w:r w:rsidRPr="00531789">
        <w:rPr>
          <w:rFonts w:ascii="Cambria" w:hAnsi="Cambria" w:cs="Arial"/>
          <w:noProof/>
        </w:rPr>
        <w:t>., 2004; Ainsworth and Bush, 2011)</w:t>
      </w:r>
      <w:r w:rsidRPr="00531789">
        <w:rPr>
          <w:rFonts w:ascii="Cambria" w:hAnsi="Cambria" w:cs="Arial"/>
          <w:vertAlign w:val="subscript"/>
        </w:rPr>
        <w:fldChar w:fldCharType="end"/>
      </w:r>
      <w:r w:rsidRPr="00531789">
        <w:rPr>
          <w:rFonts w:ascii="Cambria" w:hAnsi="Cambria" w:cs="Arial"/>
        </w:rPr>
        <w:t xml:space="preserve">.  Species which are </w:t>
      </w:r>
      <w:proofErr w:type="spellStart"/>
      <w:r w:rsidRPr="00531789">
        <w:rPr>
          <w:rFonts w:ascii="Cambria" w:hAnsi="Cambria" w:cs="Arial"/>
        </w:rPr>
        <w:t>symplastic</w:t>
      </w:r>
      <w:proofErr w:type="spellEnd"/>
      <w:r w:rsidRPr="00531789">
        <w:rPr>
          <w:rFonts w:ascii="Cambria" w:hAnsi="Cambria" w:cs="Arial"/>
        </w:rPr>
        <w:t xml:space="preserve"> loaders (many trees and shrubs) transport sucrose from source tissues into the phloem through developmentally-fixed </w:t>
      </w:r>
      <w:proofErr w:type="spellStart"/>
      <w:r w:rsidRPr="00531789">
        <w:rPr>
          <w:rFonts w:ascii="Cambria" w:hAnsi="Cambria" w:cs="Arial"/>
        </w:rPr>
        <w:t>plasmodesmata</w:t>
      </w:r>
      <w:proofErr w:type="spellEnd"/>
      <w:r w:rsidRPr="00531789">
        <w:rPr>
          <w:rFonts w:ascii="Cambria" w:hAnsi="Cambria" w:cs="Arial"/>
        </w:rPr>
        <w:t xml:space="preserve">, whereas </w:t>
      </w:r>
      <w:proofErr w:type="spellStart"/>
      <w:r w:rsidRPr="00531789">
        <w:rPr>
          <w:rFonts w:ascii="Cambria" w:hAnsi="Cambria" w:cs="Arial"/>
        </w:rPr>
        <w:t>apoplastic</w:t>
      </w:r>
      <w:proofErr w:type="spellEnd"/>
      <w:r w:rsidRPr="00531789">
        <w:rPr>
          <w:rFonts w:ascii="Cambria" w:hAnsi="Cambria" w:cs="Arial"/>
        </w:rPr>
        <w:t xml:space="preserve"> loaders (many herbaceous species) use developmentally-plastic membrane transporters </w:t>
      </w:r>
      <w:r w:rsidRPr="00531789">
        <w:rPr>
          <w:rFonts w:ascii="Cambria" w:hAnsi="Cambria" w:cs="Arial"/>
        </w:rPr>
        <w:fldChar w:fldCharType="begin" w:fldLock="1"/>
      </w:r>
      <w:r w:rsidRPr="00531789">
        <w:rPr>
          <w:rFonts w:ascii="Cambria" w:hAnsi="Cambria" w:cs="Arial"/>
        </w:rPr>
        <w:instrText>ADDIN CSL_CITATION { "citationItems" : [ { "id" : "ITEM-1", "itemData" : { "DOI" : "10.1104/pp.110.167684", "ISSN" : "1532-2548", "PMID" : "20971857", "author" : [ { "dropping-particle" : "", "family" : "Ainsworth", "given" : "Elizabeth A", "non-dropping-particle" : "", "parse-names" : false, "suffix" : "" }, { "dropping-particle" : "", "family" : "Bush", "given" : "Daniel R", "non-dropping-particle" : "", "parse-names" : false, "suffix" : "" } ], "container-title" : "Plant Physiology", "id" : "ITEM-1", "issue" : "1", "issued" : { "date-parts" : [ [ "2011", "1" ] ] }, "page" : "64-9", "title" : "Carbohydrate export from the leaf: a highly regulated process and target to enhance photosynthesis and productivity.", "type" : "article-journal", "volume" : "155" }, "uris" : [ "http://www.mendeley.com/documents/?uuid=1e757ecd-3097-4ea6-9928-73835421a18c" ] } ], "mendeley" : { "formattedCitation" : "(Ainsworth and Bush, 2011)", "plainTextFormattedCitation" : "(Ainsworth and Bush, 2011)", "previouslyFormattedCitation" : "(Ainsworth and Bush, 2011)"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(Ainsworth and Bush, 2011)</w:t>
      </w:r>
      <w:r w:rsidRPr="00531789">
        <w:rPr>
          <w:rFonts w:ascii="Cambria" w:hAnsi="Cambria" w:cs="Arial"/>
        </w:rPr>
        <w:fldChar w:fldCharType="end"/>
      </w:r>
      <w:r w:rsidRPr="00531789">
        <w:rPr>
          <w:rFonts w:ascii="Cambria" w:hAnsi="Cambria" w:cs="Arial"/>
        </w:rPr>
        <w:t>.  Therefore, at high CO</w:t>
      </w:r>
      <w:r w:rsidRPr="00531789">
        <w:rPr>
          <w:rFonts w:ascii="Cambria" w:hAnsi="Cambria" w:cs="Arial"/>
          <w:vertAlign w:val="subscript"/>
        </w:rPr>
        <w:t>2</w:t>
      </w:r>
      <w:r w:rsidRPr="00531789">
        <w:rPr>
          <w:rFonts w:ascii="Cambria" w:hAnsi="Cambria" w:cs="Arial"/>
        </w:rPr>
        <w:t xml:space="preserve">, </w:t>
      </w:r>
      <w:proofErr w:type="spellStart"/>
      <w:r w:rsidRPr="00531789">
        <w:rPr>
          <w:rFonts w:ascii="Cambria" w:hAnsi="Cambria" w:cs="Arial"/>
        </w:rPr>
        <w:t>symplastic</w:t>
      </w:r>
      <w:proofErr w:type="spellEnd"/>
      <w:r w:rsidRPr="00531789">
        <w:rPr>
          <w:rFonts w:ascii="Cambria" w:hAnsi="Cambria" w:cs="Arial"/>
        </w:rPr>
        <w:t xml:space="preserve"> loaders cannot </w:t>
      </w:r>
      <w:proofErr w:type="spellStart"/>
      <w:r w:rsidRPr="00531789">
        <w:rPr>
          <w:rFonts w:ascii="Cambria" w:hAnsi="Cambria" w:cs="Arial"/>
        </w:rPr>
        <w:t>upregulate</w:t>
      </w:r>
      <w:proofErr w:type="spellEnd"/>
      <w:r w:rsidRPr="00531789">
        <w:rPr>
          <w:rFonts w:ascii="Cambria" w:hAnsi="Cambria" w:cs="Arial"/>
        </w:rPr>
        <w:t xml:space="preserve"> photosynthate export to the same extent as </w:t>
      </w:r>
      <w:proofErr w:type="spellStart"/>
      <w:r w:rsidRPr="00531789">
        <w:rPr>
          <w:rFonts w:ascii="Cambria" w:hAnsi="Cambria" w:cs="Arial"/>
        </w:rPr>
        <w:t>apoplastic</w:t>
      </w:r>
      <w:proofErr w:type="spellEnd"/>
      <w:r w:rsidRPr="00531789">
        <w:rPr>
          <w:rFonts w:ascii="Cambria" w:hAnsi="Cambria" w:cs="Arial"/>
        </w:rPr>
        <w:t xml:space="preserve"> loaders.  As a result they tend to accumulate more non-structural carbohydrates in their leaves </w:t>
      </w:r>
      <w:r w:rsidRPr="00531789">
        <w:rPr>
          <w:rFonts w:ascii="Cambria" w:hAnsi="Cambria" w:cs="Arial"/>
        </w:rPr>
        <w:fldChar w:fldCharType="begin" w:fldLock="1"/>
      </w:r>
      <w:r>
        <w:rPr>
          <w:rFonts w:ascii="Cambria" w:hAnsi="Cambria" w:cs="Arial"/>
        </w:rPr>
        <w:instrText>ADDIN CSL_CITATION { "citationItems" : [ { "id" : "ITEM-1", "itemData" : { "DOI" : "10.1111/j.1365-3040.1995.tb00560.x", "ISSN" : "0140-7791", "author" : [ { "dropping-particle" : "", "family" : "K\u00f6rner", "given" : "Christian", "non-dropping-particle" : "", "parse-names" : false, "suffix" : "" }, { "dropping-particle" : "", "family" : "Pelaez-Riedl", "given" : "S.", "non-dropping-particle" : "", "parse-names" : false, "suffix" : "" }, { "dropping-particle" : "", "family" : "Bel", "given" : "A. J. E.", "non-dropping-particle" : "van", "parse-names" : false, "suffix" : "" } ], "container-title" : "Plant, Cell &amp; Environment", "id" : "ITEM-1", "issue" : "5", "issued" : { "date-parts" : [ [ "1995", "5" ] ] }, "page" : "595-600", "title" : "CO2 responsiveness of plants: a possible link to phloem loading", "type" : "article-journal", "volume" : "18" }, "uris" : [ "http://www.mendeley.com/documents/?uuid=78f33bd9-68bc-4005-867c-1fc55f77f884" ] } ], "mendeley" : { "formattedCitation" : "(K\u00f6rner &lt;i&gt;et al.&lt;/i&gt;, 1995)", "manualFormatting" : "(K\u00f6rner et al., 1995)", "plainTextFormattedCitation" : "(K\u00f6rner et al., 1995)", "previouslyFormattedCitation" : "(K\u00f6rner &lt;i&gt;et al.&lt;/i&gt;, 1995)"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 xml:space="preserve">(Körner </w:t>
      </w:r>
      <w:r w:rsidRPr="00531789">
        <w:rPr>
          <w:rFonts w:ascii="Cambria" w:hAnsi="Cambria" w:cs="Arial"/>
          <w:i/>
          <w:noProof/>
        </w:rPr>
        <w:t>et al</w:t>
      </w:r>
      <w:r w:rsidRPr="00531789">
        <w:rPr>
          <w:rFonts w:ascii="Cambria" w:hAnsi="Cambria" w:cs="Arial"/>
          <w:noProof/>
        </w:rPr>
        <w:t>., 1995)</w:t>
      </w:r>
      <w:r w:rsidRPr="00531789">
        <w:rPr>
          <w:rFonts w:ascii="Cambria" w:hAnsi="Cambria" w:cs="Arial"/>
        </w:rPr>
        <w:fldChar w:fldCharType="end"/>
      </w:r>
      <w:r w:rsidRPr="00531789">
        <w:rPr>
          <w:rFonts w:ascii="Cambria" w:hAnsi="Cambria" w:cs="Arial"/>
        </w:rPr>
        <w:t xml:space="preserve"> and can show a smaller increase in photosynthesis under elevated CO</w:t>
      </w:r>
      <w:r w:rsidRPr="00531789">
        <w:rPr>
          <w:rFonts w:ascii="Cambria" w:hAnsi="Cambria" w:cs="Arial"/>
          <w:vertAlign w:val="subscript"/>
        </w:rPr>
        <w:t>2</w:t>
      </w:r>
      <w:r w:rsidRPr="00531789">
        <w:rPr>
          <w:rFonts w:ascii="Cambria" w:hAnsi="Cambria" w:cs="Arial"/>
        </w:rPr>
        <w:t xml:space="preserve">.  However, despite their </w:t>
      </w:r>
      <w:proofErr w:type="spellStart"/>
      <w:r w:rsidRPr="00531789">
        <w:rPr>
          <w:rFonts w:ascii="Cambria" w:hAnsi="Cambria" w:cs="Arial"/>
        </w:rPr>
        <w:t>symplastic</w:t>
      </w:r>
      <w:proofErr w:type="spellEnd"/>
      <w:r w:rsidRPr="00531789">
        <w:rPr>
          <w:rFonts w:ascii="Cambria" w:hAnsi="Cambria" w:cs="Arial"/>
        </w:rPr>
        <w:t xml:space="preserve"> loading strategy, trees are generally well able to maintain photosynthetic stimulation under elevated CO</w:t>
      </w:r>
      <w:r w:rsidRPr="00531789">
        <w:rPr>
          <w:rFonts w:ascii="Cambria" w:hAnsi="Cambria" w:cs="Arial"/>
          <w:vertAlign w:val="subscript"/>
        </w:rPr>
        <w:t>2</w:t>
      </w:r>
      <w:r w:rsidRPr="00531789">
        <w:rPr>
          <w:rFonts w:ascii="Cambria" w:hAnsi="Cambria" w:cs="Arial"/>
        </w:rPr>
        <w:t xml:space="preserve"> </w:t>
      </w:r>
      <w:r w:rsidRPr="00531789">
        <w:rPr>
          <w:rFonts w:ascii="Cambria" w:hAnsi="Cambria" w:cs="Arial"/>
        </w:rPr>
        <w:fldChar w:fldCharType="begin" w:fldLock="1"/>
      </w:r>
      <w:r>
        <w:rPr>
          <w:rFonts w:ascii="Cambria" w:hAnsi="Cambria" w:cs="Arial"/>
        </w:rPr>
        <w:instrText>ADDIN CSL_CITATION { "citationItems" : [ { "id" : "ITEM-1", "itemData" : { "DOI" : "10.1111/j.1365-3040.2007.01641.x", "ISSN" : "0140-7791", "PMID" : "17263773", "abstract" : "This review summarizes current understanding of the mechanisms that underlie the response of photosynthesis and stomatal conductance to elevated carbon dioxide concentration ([CO2]), and examines how downstream processes and environmental constraints modulate these two fundamental responses. The results from free-air CO2 enrichment (FACE) experiments were summarized via meta-analysis to quantify the mean responses of stomatal and photosynthetic parameters to elevated [CO2]. Elevation of [CO2] in FACE experiments reduced stomatal conductance by 22%, yet, this reduction was not associated with a similar change in stomatal density. Elevated [CO2] stimulated light-saturated photosynthesis (Asat) in C3 plants grown in FACE by an average of 31%. However, the magnitude of the increase in Asat varied with functional group and environment. Functional groups with ribulose-1,5-bisphosphate carboxylase/oxygenase (Rubisco)-limited photosynthesis at elevated [CO2] had greater potential for increases in Asat than those where photosynthesis became ribulose-1,5-bisphosphate (RubP)-limited at elevated [CO2]. Both nitrogen supply and sink capacity modulated the response of photosynthesis to elevated [CO2] through their impact on the acclimation of carboxylation capacity. Increased understanding of the molecular and biochemical mechanisms by which plants respond to elevated [CO2], and the feedback of environmental factors upon them, will improve our ability to predict ecosystem responses to rising [CO2] and increase our potential to adapt crops and managed ecosystems to future atmospheric [CO2].", "author" : [ { "dropping-particle" : "", "family" : "Ainsworth", "given" : "Elizabeth A", "non-dropping-particle" : "", "parse-names" : false, "suffix" : "" }, { "dropping-particle" : "", "family" : "Rogers", "given" : "Alistair", "non-dropping-particle" : "", "parse-names" : false, "suffix" : "" } ], "container-title" : "Plant, Cell &amp; Environment", "id" : "ITEM-1", "issue" : "3", "issued" : { "date-parts" : [ [ "2007", "3" ] ] }, "note" : "This article suggests that functional group differences in response of A to high CO2 can be explained by a consideration of the A/Ci curve (i.e. is Rubisco or RuBP-regeneration the limiting factor).\n\nContrast to Poorter 1993 who says that within C3, different functional groups have different degrees of response of A to high CO2, possibly linked to sink capacity.\n\nHowever, other work by Ainsworth highlights a role of sink capacity (e.g. higher response in nodule-forming vs non-nodule-forming plants).\n\n--&amp;gt; Can the A/Ci-based differences be linked to sink differences? Or is the implication that sink differences have a small effect compared to the effect of A/Ci limiting factors?", "page" : "258-70", "title" : "The response of photosynthesis and stomatal conductance to rising [CO2]: mechanisms and environmental interactions.", "type" : "article-journal", "volume" : "30" }, "uris" : [ "http://www.mendeley.com/documents/?uuid=201e8a49-945d-4fe0-a78e-a54ff01ef975" ] } ], "mendeley" : { "formattedCitation" : "(Ainsworth and Rogers, 2007)", "plainTextFormattedCitation" : "(Ainsworth and Rogers, 2007)", "previouslyFormattedCitation" : "(Ainsworth and Rogers, 2007)"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(Ainsworth and Rogers, 2007)</w:t>
      </w:r>
      <w:r w:rsidRPr="00531789">
        <w:rPr>
          <w:rFonts w:ascii="Cambria" w:hAnsi="Cambria" w:cs="Arial"/>
        </w:rPr>
        <w:fldChar w:fldCharType="end"/>
      </w:r>
      <w:r w:rsidRPr="00531789">
        <w:rPr>
          <w:rFonts w:ascii="Cambria" w:hAnsi="Cambria" w:cs="Arial"/>
        </w:rPr>
        <w:t xml:space="preserve"> although some species are capable of both </w:t>
      </w:r>
      <w:proofErr w:type="spellStart"/>
      <w:r w:rsidRPr="00531789">
        <w:rPr>
          <w:rFonts w:ascii="Cambria" w:hAnsi="Cambria" w:cs="Arial"/>
        </w:rPr>
        <w:t>symplastic</w:t>
      </w:r>
      <w:proofErr w:type="spellEnd"/>
      <w:r w:rsidRPr="00531789">
        <w:rPr>
          <w:rFonts w:ascii="Cambria" w:hAnsi="Cambria" w:cs="Arial"/>
        </w:rPr>
        <w:t xml:space="preserve"> and </w:t>
      </w:r>
      <w:proofErr w:type="spellStart"/>
      <w:r w:rsidRPr="00531789">
        <w:rPr>
          <w:rFonts w:ascii="Cambria" w:hAnsi="Cambria" w:cs="Arial"/>
        </w:rPr>
        <w:t>apoplastic</w:t>
      </w:r>
      <w:proofErr w:type="spellEnd"/>
      <w:r w:rsidRPr="00531789">
        <w:rPr>
          <w:rFonts w:ascii="Cambria" w:hAnsi="Cambria" w:cs="Arial"/>
        </w:rPr>
        <w:t xml:space="preserve"> loading and many species have not yet been characterised. </w:t>
      </w:r>
    </w:p>
    <w:p w14:paraId="0FF395D5" w14:textId="77777777" w:rsidR="00DF4522" w:rsidRPr="00531789" w:rsidRDefault="00DF4522" w:rsidP="00DF4522">
      <w:pPr>
        <w:spacing w:line="360" w:lineRule="auto"/>
        <w:jc w:val="both"/>
        <w:rPr>
          <w:rFonts w:ascii="Cambria" w:hAnsi="Cambria" w:cs="Arial"/>
        </w:rPr>
      </w:pPr>
    </w:p>
    <w:p w14:paraId="0EC7C1BB" w14:textId="77777777" w:rsidR="00DF4522" w:rsidRPr="00531789" w:rsidRDefault="00DF4522" w:rsidP="00DF4522">
      <w:pPr>
        <w:spacing w:line="360" w:lineRule="auto"/>
        <w:jc w:val="both"/>
        <w:rPr>
          <w:rFonts w:ascii="Cambria" w:hAnsi="Cambria" w:cs="Arial"/>
        </w:rPr>
      </w:pPr>
      <w:r w:rsidRPr="00531789">
        <w:rPr>
          <w:rFonts w:ascii="Cambria" w:hAnsi="Cambria" w:cs="Arial"/>
        </w:rPr>
        <w:t>Taken together, this evidence clearly demonstrates that source and sink can both limit growth, and that feedbacks enable a degree of compensation.  Species with greater plasticity can be more flexible in their response to manipulations of source and sink.</w:t>
      </w:r>
    </w:p>
    <w:p w14:paraId="205FE300" w14:textId="77777777" w:rsidR="00DF4522" w:rsidRPr="00531789" w:rsidRDefault="00DF4522" w:rsidP="00DF4522">
      <w:pPr>
        <w:spacing w:line="360" w:lineRule="auto"/>
        <w:jc w:val="both"/>
        <w:rPr>
          <w:rFonts w:ascii="Cambria" w:hAnsi="Cambria" w:cs="Arial"/>
        </w:rPr>
      </w:pPr>
    </w:p>
    <w:p w14:paraId="19943618" w14:textId="77777777" w:rsidR="00DF4522" w:rsidRPr="00531789" w:rsidRDefault="00DF4522" w:rsidP="00DF4522">
      <w:pPr>
        <w:pStyle w:val="Heading2"/>
        <w:rPr>
          <w:rFonts w:ascii="Cambria" w:hAnsi="Cambria"/>
          <w:color w:val="auto"/>
        </w:rPr>
      </w:pPr>
      <w:bookmarkStart w:id="43" w:name="_Toc322267581"/>
      <w:bookmarkStart w:id="44" w:name="_Toc322267703"/>
      <w:bookmarkStart w:id="45" w:name="_Toc322267867"/>
      <w:bookmarkStart w:id="46" w:name="_Toc331253010"/>
      <w:r w:rsidRPr="00531789">
        <w:rPr>
          <w:rFonts w:ascii="Cambria" w:hAnsi="Cambria"/>
          <w:color w:val="auto"/>
        </w:rPr>
        <w:t>R</w:t>
      </w:r>
      <w:bookmarkEnd w:id="43"/>
      <w:bookmarkEnd w:id="44"/>
      <w:bookmarkEnd w:id="45"/>
      <w:r>
        <w:rPr>
          <w:rFonts w:ascii="Cambria" w:hAnsi="Cambria"/>
          <w:color w:val="auto"/>
        </w:rPr>
        <w:t>EGULATION OF SINKS AND SOURCES</w:t>
      </w:r>
      <w:bookmarkEnd w:id="46"/>
    </w:p>
    <w:p w14:paraId="65EBE7F2" w14:textId="77777777" w:rsidR="00DF4522" w:rsidRPr="00531789" w:rsidRDefault="00DF4522" w:rsidP="00DF4522">
      <w:pPr>
        <w:spacing w:line="360" w:lineRule="auto"/>
        <w:jc w:val="both"/>
        <w:rPr>
          <w:rFonts w:ascii="Cambria" w:hAnsi="Cambria"/>
          <w:b/>
          <w:bCs/>
          <w:lang w:val="en-US"/>
        </w:rPr>
      </w:pPr>
    </w:p>
    <w:p w14:paraId="262E15B8"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Regulation of </w:t>
      </w:r>
      <w:proofErr w:type="spellStart"/>
      <w:r w:rsidRPr="00531789">
        <w:rPr>
          <w:rFonts w:ascii="Cambria" w:hAnsi="Cambria" w:cs="Arial"/>
        </w:rPr>
        <w:t>source:sink</w:t>
      </w:r>
      <w:proofErr w:type="spellEnd"/>
      <w:r w:rsidRPr="00531789">
        <w:rPr>
          <w:rFonts w:ascii="Cambria" w:hAnsi="Cambria" w:cs="Arial"/>
        </w:rPr>
        <w:t xml:space="preserve"> balance is essential for enabling plants to maintain a growth rate appropriate for a given availability of resources.  Storage allows the assimilation of more resources than are needed in growth, to create a reserve for future development in a fluctuating environment or recovery from disturbances such as grazing.  However, carbon assimilation must be appropriate for the available sink strength, in order to create a sufficiently large store which is still within the limits imposed by sink potential – thus sinks must feed back on sources to regulate their activity.  Similarly, source activity must influence sink strength so that appropriate sinks may develop and plants can fully realise their growth potential for a given resource availability.  Furthermore, the high metabolic costs of carbon and nitrogen assimilation mean that regulation of source and sink is vital to avoid wasting energy.  </w:t>
      </w:r>
    </w:p>
    <w:p w14:paraId="5103EF69" w14:textId="77777777" w:rsidR="00DF4522" w:rsidRPr="00531789" w:rsidRDefault="00DF4522" w:rsidP="00DF4522">
      <w:pPr>
        <w:spacing w:line="360" w:lineRule="auto"/>
        <w:jc w:val="both"/>
        <w:rPr>
          <w:rFonts w:ascii="Cambria" w:hAnsi="Cambria" w:cs="Arial"/>
        </w:rPr>
      </w:pPr>
    </w:p>
    <w:p w14:paraId="1F04787F" w14:textId="77777777" w:rsidR="00DF4522" w:rsidRDefault="00DF4522" w:rsidP="00DF4522">
      <w:pPr>
        <w:spacing w:line="360" w:lineRule="auto"/>
        <w:jc w:val="both"/>
        <w:rPr>
          <w:rFonts w:ascii="Cambria" w:hAnsi="Cambria"/>
        </w:rPr>
      </w:pPr>
      <w:r w:rsidRPr="00531789">
        <w:rPr>
          <w:rFonts w:ascii="Cambria" w:hAnsi="Cambria" w:cs="Arial"/>
        </w:rPr>
        <w:t xml:space="preserve">A complex molecular network including carbon- and nitrogen-derived signals and </w:t>
      </w:r>
      <w:proofErr w:type="spellStart"/>
      <w:r w:rsidRPr="00531789">
        <w:rPr>
          <w:rFonts w:ascii="Cambria" w:hAnsi="Cambria" w:cs="Arial"/>
        </w:rPr>
        <w:t>phytohormones</w:t>
      </w:r>
      <w:proofErr w:type="spellEnd"/>
      <w:r w:rsidRPr="00531789">
        <w:rPr>
          <w:rFonts w:ascii="Cambria" w:hAnsi="Cambria" w:cs="Arial"/>
        </w:rPr>
        <w:t xml:space="preserve"> has evolved to integrate the uptake, assimilation and allocation of resources </w:t>
      </w:r>
      <w:r w:rsidRPr="00531789">
        <w:rPr>
          <w:rFonts w:ascii="Cambria" w:hAnsi="Cambria" w:cs="Arial"/>
        </w:rPr>
        <w:fldChar w:fldCharType="begin" w:fldLock="1"/>
      </w:r>
      <w:r>
        <w:rPr>
          <w:rFonts w:ascii="Cambria" w:hAnsi="Cambria" w:cs="Arial"/>
        </w:rPr>
        <w:instrText>ADDIN CSL_CITATION { "citationItems" : [ { "id" : "ITEM-1", "itemData" : { "DOI" : "10.1093/mp/ssq049", "ISSN" : "1752-9867", "PMID" : "20926550", "abstract" : "In addition to light and water, CO(2) and mineral elements are required for plant growth and development. Among these factors, nitrogen is critical, since it is needed to synthesize amino acids, which are the building elements of protein, nucleotides, chlorophyll, and numerous other metabolites and cellular components. Therefore, nitrogen is required by plants in higher quantities and this investment in nitrogen supports the use of CO(2), water, and inorganic nitrogen to produce sugars, organic acids, and amino acids, the basic building blocks of biomass accumulation. This system is maintained by complex metabolic machinery, which is regulated at different levels according to environmental factors such as light, CO(2), and nutrient availability. Plants integrate these signals via a signaling network, which involves metabolites as well as nutrient-sensing proteins. Due to its importance, much research effort has been expended to understand how carbon and nitrogen metabolism are integrated and regulated according to the rates of photosynthesis, photorespiration, and respiration. Thus, in this article, we both discuss recent advances in carbon/nitrogen metabolisms as well as sensing and signaling systems in illuminated leaves of C3-plants and provide a perspective of the type of experiments that are now required in order to take our understanding to a higher level.", "author" : [ { "dropping-particle" : "", "family" : "Nunes-Nesi", "given" : "Adriano", "non-dropping-particle" : "", "parse-names" : false, "suffix" : "" }, { "dropping-particle" : "", "family" : "Fernie", "given" : "Alisdair R", "non-dropping-particle" : "", "parse-names" : false, "suffix" : "" }, { "dropping-particle" : "", "family" : "Stitt", "given" : "Mark", "non-dropping-particle" : "", "parse-names" : false, "suffix" : "" } ], "container-title" : "Molecular Plant", "id" : "ITEM-1", "issue" : "6", "issued" : { "date-parts" : [ [ "2010", "11" ] ] }, "page" : "973-96", "title" : "Metabolic and signaling aspects underpinning the regulation of plant carbon nitrogen interactions.", "type" : "article-journal", "volume" : "3" }, "uris" : [ "http://www.mendeley.com/documents/?uuid=07fdb197-79ca-418e-b4cd-c6ee24e950d6" ] } ], "mendeley" : { "formattedCitation" : "(Nunes-Nesi &lt;i&gt;et al.&lt;/i&gt;, 2010)", "plainTextFormattedCitation" : "(Nunes-Nesi et al., 2010)", "previouslyFormattedCitation" : "(Nunes-Nesi &lt;i&gt;et al.&lt;/i&gt;, 2010)"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(Nunes-Nesi </w:t>
      </w:r>
      <w:r w:rsidRPr="002C5907">
        <w:rPr>
          <w:rFonts w:ascii="Cambria" w:hAnsi="Cambria" w:cs="Arial"/>
          <w:i/>
          <w:noProof/>
        </w:rPr>
        <w:t>et al.</w:t>
      </w:r>
      <w:r w:rsidRPr="002C5907">
        <w:rPr>
          <w:rFonts w:ascii="Cambria" w:hAnsi="Cambria" w:cs="Arial"/>
          <w:noProof/>
        </w:rPr>
        <w:t>, 2010)</w:t>
      </w:r>
      <w:r w:rsidRPr="00531789">
        <w:rPr>
          <w:rFonts w:ascii="Cambria" w:hAnsi="Cambria" w:cs="Arial"/>
        </w:rPr>
        <w:fldChar w:fldCharType="end"/>
      </w:r>
      <w:r w:rsidRPr="00531789">
        <w:rPr>
          <w:rFonts w:ascii="Cambria" w:hAnsi="Cambria" w:cs="Arial"/>
        </w:rPr>
        <w:t xml:space="preserve">.  Many mechanisms of these molecular interactions are now well established although the puzzle remains incomplete at the whole plant scale.  Figure 1 illustrates key </w:t>
      </w:r>
      <w:proofErr w:type="spellStart"/>
      <w:r w:rsidRPr="00531789">
        <w:rPr>
          <w:rFonts w:ascii="Cambria" w:hAnsi="Cambria" w:cs="Arial"/>
        </w:rPr>
        <w:t>feedforward</w:t>
      </w:r>
      <w:proofErr w:type="spellEnd"/>
      <w:r w:rsidRPr="00531789">
        <w:rPr>
          <w:rFonts w:ascii="Cambria" w:hAnsi="Cambria" w:cs="Arial"/>
        </w:rPr>
        <w:t xml:space="preserve"> and feedback mechanisms regulating the </w:t>
      </w:r>
      <w:proofErr w:type="spellStart"/>
      <w:r w:rsidRPr="00531789">
        <w:rPr>
          <w:rFonts w:ascii="Cambria" w:hAnsi="Cambria" w:cs="Arial"/>
        </w:rPr>
        <w:t>source:sink</w:t>
      </w:r>
      <w:proofErr w:type="spellEnd"/>
      <w:r w:rsidRPr="00531789">
        <w:rPr>
          <w:rFonts w:ascii="Cambria" w:hAnsi="Cambria" w:cs="Arial"/>
        </w:rPr>
        <w:t xml:space="preserve"> relationship.  </w:t>
      </w:r>
      <w:r w:rsidRPr="00531789">
        <w:rPr>
          <w:rFonts w:ascii="Cambria" w:hAnsi="Cambria"/>
        </w:rPr>
        <w:t xml:space="preserve">Carbon- and nitrogen-derived </w:t>
      </w:r>
      <w:proofErr w:type="spellStart"/>
      <w:r w:rsidRPr="00531789">
        <w:rPr>
          <w:rFonts w:ascii="Cambria" w:hAnsi="Cambria"/>
        </w:rPr>
        <w:t>feedforward</w:t>
      </w:r>
      <w:proofErr w:type="spellEnd"/>
      <w:r w:rsidRPr="00531789">
        <w:rPr>
          <w:rFonts w:ascii="Cambria" w:hAnsi="Cambria"/>
        </w:rPr>
        <w:t xml:space="preserve"> and feedback signals act on sources and sinks of both carbon and nitrogen.  This allows sources and sinks to modify their own activity, and also to regulate that of other tissues, creating molecular signalling links between source and sink.</w:t>
      </w:r>
    </w:p>
    <w:p w14:paraId="098F6274" w14:textId="77777777" w:rsidR="00DF4522" w:rsidRDefault="00DF4522" w:rsidP="00DF4522">
      <w:pPr>
        <w:spacing w:line="360" w:lineRule="auto"/>
        <w:jc w:val="both"/>
        <w:rPr>
          <w:rFonts w:ascii="Cambria" w:hAnsi="Cambria"/>
        </w:rPr>
      </w:pPr>
    </w:p>
    <w:p w14:paraId="5CC0A619" w14:textId="77777777" w:rsidR="00DF4522" w:rsidRPr="002974F8" w:rsidRDefault="00DF4522" w:rsidP="00DF4522">
      <w:pPr>
        <w:spacing w:line="360" w:lineRule="auto"/>
        <w:jc w:val="both"/>
        <w:rPr>
          <w:rFonts w:ascii="Cambria" w:hAnsi="Cambria"/>
        </w:rPr>
      </w:pPr>
      <w:r>
        <w:rPr>
          <w:rFonts w:ascii="Cambria" w:hAnsi="Cambria" w:cs="Arial"/>
          <w:b/>
        </w:rPr>
        <w:t>C</w:t>
      </w:r>
      <w:r w:rsidRPr="00531789">
        <w:rPr>
          <w:rFonts w:ascii="Cambria" w:hAnsi="Cambria" w:cs="Arial"/>
          <w:b/>
        </w:rPr>
        <w:t>arbon feedbacks</w:t>
      </w:r>
    </w:p>
    <w:p w14:paraId="65B1027E" w14:textId="77777777" w:rsidR="00DF4522" w:rsidRPr="00531789" w:rsidRDefault="00DF4522" w:rsidP="00DF4522">
      <w:pPr>
        <w:spacing w:line="360" w:lineRule="auto"/>
        <w:jc w:val="both"/>
        <w:rPr>
          <w:rFonts w:ascii="Cambria" w:hAnsi="Cambria" w:cs="Arial"/>
        </w:rPr>
      </w:pPr>
    </w:p>
    <w:p w14:paraId="52B98DD0"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Leaf carbohydrates feed into a complex network, affecting transcription, translation and post-translational processes in order to balance carbon supply and demand (reviewed in Fig. 1).  For example, a high carbon status </w:t>
      </w:r>
      <w:proofErr w:type="spellStart"/>
      <w:r w:rsidRPr="00531789">
        <w:rPr>
          <w:rFonts w:ascii="Cambria" w:hAnsi="Cambria" w:cs="Arial"/>
        </w:rPr>
        <w:t>upregulates</w:t>
      </w:r>
      <w:proofErr w:type="spellEnd"/>
      <w:r w:rsidRPr="00531789">
        <w:rPr>
          <w:rFonts w:ascii="Cambria" w:hAnsi="Cambria" w:cs="Arial"/>
        </w:rPr>
        <w:t xml:space="preserve"> nitrogen source and sink activity (Fig. 1; arrows 7 &amp; 9) and carbon sink activity (arrows 5a &amp; 5c), whilst </w:t>
      </w:r>
      <w:proofErr w:type="spellStart"/>
      <w:r w:rsidRPr="00531789">
        <w:rPr>
          <w:rFonts w:ascii="Cambria" w:hAnsi="Cambria" w:cs="Arial"/>
        </w:rPr>
        <w:t>downregulating</w:t>
      </w:r>
      <w:proofErr w:type="spellEnd"/>
      <w:r w:rsidRPr="00531789">
        <w:rPr>
          <w:rFonts w:ascii="Cambria" w:hAnsi="Cambria" w:cs="Arial"/>
        </w:rPr>
        <w:t xml:space="preserve"> photosynthesis (arrows 2 &amp; 3).  In contrast, a low carbohydrate content in the leaf leads to the repression of carbon sink activity (arrow 5b).  The presence of such a regulatory feedback loop in the leaf has long been investigated: in 1868, </w:t>
      </w:r>
      <w:proofErr w:type="spellStart"/>
      <w:r w:rsidRPr="00531789">
        <w:rPr>
          <w:rFonts w:ascii="Cambria" w:hAnsi="Cambria" w:cs="Arial"/>
        </w:rPr>
        <w:t>Boussingault</w:t>
      </w:r>
      <w:proofErr w:type="spellEnd"/>
      <w:r w:rsidRPr="00531789">
        <w:rPr>
          <w:rFonts w:ascii="Cambria" w:hAnsi="Cambria" w:cs="Arial"/>
        </w:rPr>
        <w:t xml:space="preserve"> first proposed that assimilate accumulation could decrease photosynthesis by feedback </w:t>
      </w:r>
      <w:r w:rsidRPr="00531789">
        <w:rPr>
          <w:rFonts w:ascii="Cambria" w:hAnsi="Cambria" w:cs="Arial"/>
        </w:rPr>
        <w:fldChar w:fldCharType="begin" w:fldLock="1"/>
      </w:r>
      <w:r w:rsidRPr="00531789">
        <w:rPr>
          <w:rFonts w:ascii="Cambria" w:hAnsi="Cambria" w:cs="Arial"/>
        </w:rPr>
        <w:instrText>ADDIN CSL_CITATION { "citationItems" : [ { "id" : "ITEM-1", "itemData" : { "author" : [ { "dropping-particle" : "", "family" : "Neales", "given" : "T. F.", "non-dropping-particle" : "", "parse-names" : false, "suffix" : "" }, { "dropping-particle" : "", "family" : "Incoll", "given" : "L. D.", "non-dropping-particle" : "", "parse-names" : false, "suffix" : "" } ], "container-title" : "The Botanical Review", "id" : "ITEM-1", "issue" : "2", "issued" : { "date-parts" : [ [ "1968" ] ] }, "page" : "107-125", "title" : "The control of leaf photosynthesis rate by the level of assimilate concentration in the leaf: a review of the hypothesis", "type" : "article-journal", "volume" : "34" }, "uris" : [ "http://www.mendeley.com/documents/?uuid=b2352867-61a2-4030-bf37-3230694e3a5b" ] } ], "mendeley" : { "formattedCitation" : "(Neales and Incoll, 1968)", "plainTextFormattedCitation" : "(Neales and Incoll, 1968)", "previouslyFormattedCitation" : "(Neales and Incoll, 1968)"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(Neales and Incoll, 1968)</w:t>
      </w:r>
      <w:r w:rsidRPr="00531789">
        <w:rPr>
          <w:rFonts w:ascii="Cambria" w:hAnsi="Cambria" w:cs="Arial"/>
        </w:rPr>
        <w:fldChar w:fldCharType="end"/>
      </w:r>
      <w:r w:rsidRPr="00531789">
        <w:rPr>
          <w:rFonts w:ascii="Cambria" w:hAnsi="Cambria" w:cs="Arial"/>
        </w:rPr>
        <w:t xml:space="preserve">, yet the precise mechanism for sucrose signalling remains unknown </w:t>
      </w:r>
      <w:r w:rsidRPr="00531789">
        <w:rPr>
          <w:rFonts w:ascii="Cambria" w:hAnsi="Cambria" w:cs="Arial"/>
        </w:rPr>
        <w:fldChar w:fldCharType="begin" w:fldLock="1"/>
      </w:r>
      <w:r w:rsidRPr="00531789">
        <w:rPr>
          <w:rFonts w:ascii="Cambria" w:hAnsi="Cambria" w:cs="Arial"/>
        </w:rPr>
        <w:instrText>ADDIN CSL_CITATION { "citationItems" : [ { "id" : "ITEM-1", "itemData" : { "DOI" : "10.1016/j.plantsci.2014.10.008", "ISSN" : "1873-2259", "PMID" : "25480007", "abstract" : "In plants sugar sensing and signal transduction involves pathways dependent or independent on HXK1 as a glucose sensor. Research was conducted to determine which pathway is responsible for regulation of the nitrate reduction. The effect of selected carbon and nitrogen metabolites on nitrate reductase (NR) activity in Arabidopsis thaliana wild type (WT) and hxk1 mutant roots was studied. Exogenously supplied sugar, sucrose (Suc) and organic acid, 2-oxoglutarate (2-OG) led to an increase in the total and actual activity of NR. It was due to both the increase in expression of NIA genes and NR activation state. The stimulatory effect of Suc and 2-OG on nitrate reduction was less pronounced in hxk1 mutant roots with T-DNA insertion in the AtHXK1 gene encoding hexokinase1 (HXK1) and characterized by reduced hexokinase activity and root level of G6P and F6P. On the other hand, it was shown that exogenous glucose did not mimic Suc-mediated NR activation in Arabidopsis roots. Taken together, this data suggest that the Suc signaling pathway might be independent from hexose's sensor dependent mechanism.", "author" : [ { "dropping-particle" : "", "family" : "Reda", "given" : "Ma\u0142gorzata", "non-dropping-particle" : "", "parse-names" : false, "suffix" : "" } ], "container-title" : "Plant Science", "id" : "ITEM-1", "issued" : { "date-parts" : [ [ "2015", "1" ] ] }, "page" : "51-8", "publisher" : "Elsevier Ireland Ltd", "title" : "Response of nitrate reductase activity and NIA genes expression in roots of Arabidopsis hxk1 mutant treated with selected carbon and nitrogen metabolites.", "type" : "article-journal", "volume" : "230" }, "uris" : [ "http://www.mendeley.com/documents/?uuid=f4e08c6b-2eb9-40d2-b03d-cbe8fe7085b3" ] } ], "mendeley" : { "formattedCitation" : "(Reda, 2015)", "plainTextFormattedCitation" : "(Reda, 2015)", "previouslyFormattedCitation" : "(Reda, 2015)"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(Reda, 2015)</w:t>
      </w:r>
      <w:r w:rsidRPr="00531789">
        <w:rPr>
          <w:rFonts w:ascii="Cambria" w:hAnsi="Cambria" w:cs="Arial"/>
        </w:rPr>
        <w:fldChar w:fldCharType="end"/>
      </w:r>
      <w:r w:rsidRPr="00531789">
        <w:rPr>
          <w:rFonts w:ascii="Cambria" w:hAnsi="Cambria" w:cs="Arial"/>
        </w:rPr>
        <w:t xml:space="preserve">. </w:t>
      </w:r>
    </w:p>
    <w:p w14:paraId="33824FF0" w14:textId="77777777" w:rsidR="00DF4522" w:rsidRDefault="00DF4522" w:rsidP="00DF4522">
      <w:pPr>
        <w:spacing w:line="360" w:lineRule="auto"/>
        <w:jc w:val="both"/>
        <w:rPr>
          <w:rFonts w:ascii="Cambria" w:hAnsi="Cambria" w:cs="Arial"/>
        </w:rPr>
      </w:pPr>
      <w:r>
        <w:rPr>
          <w:b/>
          <w:noProof/>
          <w:lang w:val="en-US"/>
        </w:rPr>
        <w:drawing>
          <wp:anchor distT="0" distB="0" distL="114300" distR="114300" simplePos="0" relativeHeight="251725824" behindDoc="0" locked="0" layoutInCell="1" allowOverlap="1" wp14:anchorId="5B540FC6" wp14:editId="42EDF6F8">
            <wp:simplePos x="0" y="0"/>
            <wp:positionH relativeFrom="column">
              <wp:posOffset>-1146810</wp:posOffset>
            </wp:positionH>
            <wp:positionV relativeFrom="paragraph">
              <wp:posOffset>803275</wp:posOffset>
            </wp:positionV>
            <wp:extent cx="7550785" cy="5715000"/>
            <wp:effectExtent l="3493" t="0" r="0" b="0"/>
            <wp:wrapSquare wrapText="bothSides"/>
            <wp:docPr id="17" name="Picture 17" descr="Macintosh HD:Users:angie:Dropbox:University of Sheffield:Publishing:JXB Plant Growth Review:Third submission:White et al Figure 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Macintosh HD:Users:angie:Dropbox:University of Sheffield:Publishing:JXB Plant Growth Review:Third submission:White et al Figure 1.eps"/>
                    <pic:cNvPicPr>
                      <a:picLocks noChangeAspect="1" noChangeArrowheads="1"/>
                    </pic:cNvPicPr>
                  </pic:nvPicPr>
                  <pic:blipFill rotWithShape="1">
                    <a:blip r:embed="rId12">
                      <a:extLst>
                        <a:ext uri="{28A0092B-C50C-407E-A947-70E740481C1C}">
                          <a14:useLocalDpi xmlns:a14="http://schemas.microsoft.com/office/drawing/2010/main" val="0"/>
                        </a:ext>
                      </a:extLst>
                    </a:blip>
                    <a:srcRect l="13139"/>
                    <a:stretch/>
                  </pic:blipFill>
                  <pic:spPr bwMode="auto">
                    <a:xfrm rot="16200000">
                      <a:off x="0" y="0"/>
                      <a:ext cx="7550785" cy="5715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4168D4" w14:textId="77777777" w:rsidR="00DF4522" w:rsidRPr="00943850" w:rsidRDefault="00DF4522" w:rsidP="00DF4522">
      <w:pPr>
        <w:jc w:val="both"/>
        <w:rPr>
          <w:rFonts w:ascii="Cambria" w:hAnsi="Cambria"/>
          <w:sz w:val="20"/>
          <w:szCs w:val="20"/>
        </w:rPr>
      </w:pPr>
      <w:r w:rsidRPr="00943850">
        <w:rPr>
          <w:rFonts w:ascii="Cambria" w:hAnsi="Cambria"/>
          <w:b/>
          <w:sz w:val="20"/>
          <w:szCs w:val="20"/>
        </w:rPr>
        <w:t xml:space="preserve">Figure 1.  </w:t>
      </w:r>
      <w:r w:rsidRPr="00943850">
        <w:rPr>
          <w:rFonts w:ascii="Cambria" w:hAnsi="Cambria"/>
          <w:sz w:val="20"/>
          <w:szCs w:val="20"/>
        </w:rPr>
        <w:t xml:space="preserve">A range of feedback mechanisms fine-tunes the </w:t>
      </w:r>
      <w:proofErr w:type="spellStart"/>
      <w:r w:rsidRPr="00943850">
        <w:rPr>
          <w:rFonts w:ascii="Cambria" w:hAnsi="Cambria"/>
          <w:sz w:val="20"/>
          <w:szCs w:val="20"/>
        </w:rPr>
        <w:t>source:sink</w:t>
      </w:r>
      <w:proofErr w:type="spellEnd"/>
      <w:r w:rsidRPr="00943850">
        <w:rPr>
          <w:rFonts w:ascii="Cambria" w:hAnsi="Cambria"/>
          <w:sz w:val="20"/>
          <w:szCs w:val="20"/>
        </w:rPr>
        <w:t xml:space="preserve"> balance and therefore plant growth.  Signals derived from both carbon (green) and nitrogen (blue) regulate source-sink relationships.  Feedbacks operate at the tissue level (arrows 1-4 and 6-9) and at the whole-plant level (arrows 5 and 10).  Narrow grey arrows represent net movement of carbon and nitrogen from source (lighter) to sink (darker) tissues within the plant.  </w:t>
      </w:r>
    </w:p>
    <w:p w14:paraId="4D5F6129" w14:textId="77777777" w:rsidR="00DF4522" w:rsidRDefault="00DF4522" w:rsidP="00DF4522">
      <w:pPr>
        <w:jc w:val="both"/>
        <w:rPr>
          <w:rFonts w:ascii="Cambria" w:hAnsi="Cambria"/>
        </w:rPr>
      </w:pPr>
    </w:p>
    <w:p w14:paraId="5F1F3B0F" w14:textId="77777777" w:rsidR="00DF4522" w:rsidRDefault="00DF4522" w:rsidP="00DF4522">
      <w:pPr>
        <w:spacing w:line="360" w:lineRule="auto"/>
        <w:jc w:val="both"/>
        <w:rPr>
          <w:rFonts w:ascii="Cambria" w:hAnsi="Cambria" w:cs="Arial"/>
        </w:rPr>
      </w:pPr>
    </w:p>
    <w:p w14:paraId="4C298E22" w14:textId="77777777" w:rsidR="00DF4522" w:rsidRDefault="00DF4522" w:rsidP="00DF4522">
      <w:pPr>
        <w:spacing w:line="360" w:lineRule="auto"/>
        <w:jc w:val="both"/>
        <w:rPr>
          <w:rFonts w:ascii="Cambria" w:hAnsi="Cambria" w:cs="Arial"/>
        </w:rPr>
      </w:pPr>
    </w:p>
    <w:p w14:paraId="713E8677" w14:textId="77777777" w:rsidR="00DF4522" w:rsidRDefault="00DF4522" w:rsidP="00DF4522">
      <w:pPr>
        <w:spacing w:line="360" w:lineRule="auto"/>
        <w:jc w:val="both"/>
        <w:rPr>
          <w:rFonts w:ascii="Cambria" w:hAnsi="Cambria" w:cs="Arial"/>
        </w:rPr>
      </w:pPr>
    </w:p>
    <w:p w14:paraId="06B97473"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The partitioning of carbon into starch and sucrose is an important point of carbon source-sink regulation (directly affecting arrows 2 &amp; 5 in Fig. 1) and is controlled by several factors.  For example, trehalose-6-phospate is believed to influence starch synthesis by redox-regulation of </w:t>
      </w:r>
      <w:proofErr w:type="spellStart"/>
      <w:r w:rsidRPr="00531789">
        <w:rPr>
          <w:rFonts w:ascii="Cambria" w:hAnsi="Cambria" w:cs="Arial"/>
        </w:rPr>
        <w:t>AGPase</w:t>
      </w:r>
      <w:proofErr w:type="spellEnd"/>
      <w:r w:rsidRPr="00531789">
        <w:rPr>
          <w:rFonts w:ascii="Cambria" w:hAnsi="Cambria" w:cs="Arial"/>
        </w:rPr>
        <w:t xml:space="preserve">, a key enzyme in starch synthesis, whilst the degradation of starch is regulated by a variety of </w:t>
      </w:r>
      <w:r>
        <w:rPr>
          <w:rFonts w:ascii="Cambria" w:hAnsi="Cambria" w:cs="Arial"/>
        </w:rPr>
        <w:t>e</w:t>
      </w:r>
      <w:r w:rsidRPr="00531789">
        <w:rPr>
          <w:rFonts w:ascii="Cambria" w:hAnsi="Cambria" w:cs="Arial"/>
        </w:rPr>
        <w:t>nzymes, by the circadian clock, and possibly by starch-derived signals or even</w:t>
      </w:r>
      <w:r>
        <w:rPr>
          <w:rFonts w:ascii="Cambria" w:hAnsi="Cambria" w:cs="Arial"/>
        </w:rPr>
        <w:t xml:space="preserve"> th</w:t>
      </w:r>
      <w:r w:rsidRPr="00531789">
        <w:rPr>
          <w:rFonts w:ascii="Cambria" w:hAnsi="Cambria" w:cs="Arial"/>
        </w:rPr>
        <w:t xml:space="preserve">e level of starch itself </w:t>
      </w:r>
      <w:r w:rsidRPr="00531789">
        <w:rPr>
          <w:rFonts w:ascii="Cambria" w:hAnsi="Cambria" w:cs="Arial"/>
        </w:rPr>
        <w:fldChar w:fldCharType="begin" w:fldLock="1"/>
      </w:r>
      <w:r w:rsidRPr="00531789">
        <w:rPr>
          <w:rFonts w:ascii="Cambria" w:hAnsi="Cambria" w:cs="Arial"/>
        </w:rPr>
        <w:instrText>ADDIN CSL_CITATION { "citationItems" : [ { "id" : "ITEM-1", "itemData" : { "DOI" : "10.1111/j.1365-3040.2007.01708.x", "ISSN" : "0140-7791", "PMID" : "17661751", "abstract" : "Plants must achieve a balance between carbon assimilation, storage and growth, but little is known about how this is achieved. We describe evidence for the existence of regulatory mechanisms that coordinate carbon supply and use, and the likely central role of sugar signalling. We propose the existence of both 'acute' and 'acclimatory' responses to alterations in carbon supply, the latter tuning the balance between carbon supply and demand to optimise the capacity for sustained growth. A full understanding of these responses requires new, systems-level approaches that integrate information from transcriptomic, enzyme activity, metabolomic and growth analyses. We illustrate the complexity of acute and acclimatory responses by consideration of the control of starch synthesis and degradation in leaves. Finally, we consider how carbon balance may be linked to growth, and the importance of these linkages for sustained plant growth in a changing environment.", "author" : [ { "dropping-particle" : "", "family" : "Smith", "given" : "Alison M", "non-dropping-particle" : "", "parse-names" : false, "suffix" : "" }, { "dropping-particle" : "", "family" : "Stitt", "given" : "Mark", "non-dropping-particle" : "", "parse-names" : false, "suffix" : "" } ], "container-title" : "Plant, Cell &amp; Environment", "id" : "ITEM-1", "issue" : "9", "issued" : { "date-parts" : [ [ "2007", "9" ] ] }, "page" : "1126-49", "title" : "Coordination of carbon supply and plant growth.", "type" : "article-journal", "volume" : "30" }, "uris" : [ "http://www.mendeley.com/documents/?uuid=5675458c-c801-4db7-8395-76bd083741f4" ] } ], "mendeley" : { "formattedCitation" : "(Smith and Stitt, 2007)", "plainTextFormattedCitation" : "(Smith and Stitt, 2007)", "previouslyFormattedCitation" : "(Smith and Stitt, 2007)"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(Smith and Stitt, 2007)</w:t>
      </w:r>
      <w:r w:rsidRPr="00531789">
        <w:rPr>
          <w:rFonts w:ascii="Cambria" w:hAnsi="Cambria" w:cs="Arial"/>
        </w:rPr>
        <w:fldChar w:fldCharType="end"/>
      </w:r>
      <w:r w:rsidRPr="00531789">
        <w:rPr>
          <w:rFonts w:ascii="Cambria" w:hAnsi="Cambria" w:cs="Arial"/>
        </w:rPr>
        <w:t xml:space="preserve">.  It is important to note that most research into sugar and starch regulation has been carried out in </w:t>
      </w:r>
      <w:r w:rsidRPr="00531789">
        <w:rPr>
          <w:rFonts w:ascii="Cambria" w:hAnsi="Cambria" w:cs="Arial"/>
          <w:i/>
        </w:rPr>
        <w:t xml:space="preserve">Arabidopsis </w:t>
      </w:r>
      <w:r w:rsidRPr="00531789">
        <w:rPr>
          <w:rFonts w:ascii="Cambria" w:hAnsi="Cambria" w:cs="Arial"/>
        </w:rPr>
        <w:t xml:space="preserve">and it is therefore necessary to expand current knowledge of regulatory </w:t>
      </w:r>
      <w:r>
        <w:rPr>
          <w:rFonts w:ascii="Cambria" w:hAnsi="Cambria" w:cs="Arial"/>
        </w:rPr>
        <w:t>m</w:t>
      </w:r>
      <w:r w:rsidRPr="00531789">
        <w:rPr>
          <w:rFonts w:ascii="Cambria" w:hAnsi="Cambria" w:cs="Arial"/>
        </w:rPr>
        <w:t xml:space="preserve">echanisms in crop plants, which may not share the same mechanisms.  For </w:t>
      </w:r>
      <w:r>
        <w:rPr>
          <w:rFonts w:ascii="Cambria" w:hAnsi="Cambria" w:cs="Arial"/>
        </w:rPr>
        <w:t>e</w:t>
      </w:r>
      <w:r w:rsidRPr="00531789">
        <w:rPr>
          <w:rFonts w:ascii="Cambria" w:hAnsi="Cambria" w:cs="Arial"/>
        </w:rPr>
        <w:t xml:space="preserve">xample, the starch degradation pathway in the endosperm of cereal grains differs from that in </w:t>
      </w:r>
      <w:r w:rsidRPr="00531789">
        <w:rPr>
          <w:rFonts w:ascii="Cambria" w:hAnsi="Cambria" w:cs="Arial"/>
          <w:i/>
        </w:rPr>
        <w:t xml:space="preserve">Arabidopsis </w:t>
      </w:r>
      <w:r w:rsidRPr="00531789">
        <w:rPr>
          <w:rFonts w:ascii="Cambria" w:hAnsi="Cambria" w:cs="Arial"/>
        </w:rPr>
        <w:t xml:space="preserve">leaves </w:t>
      </w:r>
      <w:r w:rsidRPr="00531789">
        <w:rPr>
          <w:rFonts w:ascii="Cambria" w:hAnsi="Cambria" w:cs="Arial"/>
        </w:rPr>
        <w:fldChar w:fldCharType="begin" w:fldLock="1"/>
      </w:r>
      <w:r w:rsidRPr="00531789">
        <w:rPr>
          <w:rFonts w:ascii="Cambria" w:hAnsi="Cambria" w:cs="Arial"/>
        </w:rPr>
        <w:instrText>ADDIN CSL_CITATION { "citationItems" : [ { "id" : "ITEM-1", "itemData" : { "DOI" : "10.1002/star.201100163", "ISSN" : "00389056", "abstract" : "The genetic and genomic resources available for the model plant Arabidopsis have allowed rapid progress in understanding the pathways of leaf starch synthesis and degradation. The pathway of starch synthesis is generally similar to that in other plants, but Arabidopsis research has permitted new insights into the mechanism of granule initiation. The pathway of starch degradation is very different from the \u2018textbook\u2019 version, largely derived from research on germinating cereal grains. The starch granule is attacked by b- rather than a-amylases, and this process is strongly dependent on a cycle of phosphorylation and dephosphorylation of the granule surface. The major product of granule degradation is maltose, which is exported to the cytosol where it is metabolised to hexose phosphate and then to sucrose. Cytosolic maltose metabolism requires a glucanotransferase and a glucosyl acceptor which is believed to be a complex heteroglycan. Plant productivity and yield are highly dependent on leaf starch turnover, and starch metabolism is coordinated with other factors and processes that determine growth rate. Research in Arabidopsis provides an important knowledge base for the study of starch metabolism in other, less tractable species.", "author" : [ { "dropping-particle" : "", "family" : "Smith", "given" : "Alison M.", "non-dropping-particle" : "", "parse-names" : false, "suffix" : "" } ], "container-title" : "Starch/St\u00e4rke", "id" : "ITEM-1", "issued" : { "date-parts" : [ [ "2012", "2", "24" ] ] }, "page" : "421-434", "title" : "Starch in the Arabidopsis plant", "type" : "article-journal", "volume" : "64" }, "uris" : [ "http://www.mendeley.com/documents/?uuid=b580c6a0-c77a-4fa0-8962-c1fa6181f697" ] } ], "mendeley" : { "formattedCitation" : "(Smith, 2012)", "plainTextFormattedCitation" : "(Smith, 2012)", "previouslyFormattedCitation" : "(Smith, 2012)"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(Smith, 2012)</w:t>
      </w:r>
      <w:r w:rsidRPr="00531789">
        <w:rPr>
          <w:rFonts w:ascii="Cambria" w:hAnsi="Cambria" w:cs="Arial"/>
        </w:rPr>
        <w:fldChar w:fldCharType="end"/>
      </w:r>
      <w:r w:rsidRPr="00531789">
        <w:rPr>
          <w:rFonts w:ascii="Cambria" w:hAnsi="Cambria" w:cs="Arial"/>
        </w:rPr>
        <w:t>, whilst mutation of PGM, an</w:t>
      </w:r>
      <w:r>
        <w:rPr>
          <w:rFonts w:ascii="Cambria" w:hAnsi="Cambria" w:cs="Arial"/>
        </w:rPr>
        <w:t xml:space="preserve"> </w:t>
      </w:r>
      <w:r w:rsidRPr="00531789">
        <w:rPr>
          <w:rFonts w:ascii="Cambria" w:hAnsi="Cambria" w:cs="Arial"/>
        </w:rPr>
        <w:t xml:space="preserve">enzyme important in starch synthesis and essential for normal growth in </w:t>
      </w:r>
      <w:r w:rsidRPr="00531789">
        <w:rPr>
          <w:rFonts w:ascii="Cambria" w:hAnsi="Cambria" w:cs="Arial"/>
          <w:i/>
        </w:rPr>
        <w:t>Arabidopsis</w:t>
      </w:r>
      <w:r w:rsidRPr="00531789">
        <w:rPr>
          <w:rFonts w:ascii="Cambria" w:hAnsi="Cambria" w:cs="Arial"/>
        </w:rPr>
        <w:t xml:space="preserve">, does not affect all species equally, suggesting the use of different metabolic pathways or storage compounds </w:t>
      </w:r>
      <w:r w:rsidRPr="00531789">
        <w:rPr>
          <w:rFonts w:ascii="Cambria" w:hAnsi="Cambria" w:cs="Arial"/>
        </w:rPr>
        <w:fldChar w:fldCharType="begin" w:fldLock="1"/>
      </w:r>
      <w:r w:rsidRPr="00531789">
        <w:rPr>
          <w:rFonts w:ascii="Cambria" w:hAnsi="Cambria" w:cs="Arial"/>
        </w:rPr>
        <w:instrText>ADDIN CSL_CITATION { "citationItems" : [ { "id" : "ITEM-1", "itemData" : { "DOI" : "10.1016/j.pbi.2012.03.016", "ISSN" : "1879-0356", "PMID" : "22541711", "abstract" : "Many plants store part of their photosynthate as starch during the day and remobilise it to support metabolism and growth at night. Mutants unable to synthesize or degrade starch show strongly impaired growth except in long day conditions. In rapidly growing plants, starch turnover is regulated such that it is almost, but not completely, exhausted at dawn. There is increasing evidence that premature or incomplete exhaustion of starch turnover results in lower rates of plant growth. This review provides an update on the pathways for starch synthesis and degradation. We discuss recent advances in understanding how starch turnover and the use of carbon for growth is regulated during diurnal cycles, with special emphasis on the role of the biological clock. Much of the molecular and genetic research on starch turnover has been performed in the reference system Arabidopsis. This review considers to what extent information gained in this weed species maybe applicable to annual crops and perennial species.", "author" : [ { "dropping-particle" : "", "family" : "Stitt", "given" : "Mark", "non-dropping-particle" : "", "parse-names" : false, "suffix" : "" }, { "dropping-particle" : "", "family" : "Zeeman", "given" : "Samuel C", "non-dropping-particle" : "", "parse-names" : false, "suffix" : "" } ], "container-title" : "Current Opinion in Plant Biology", "id" : "ITEM-1", "issue" : "3", "issued" : { "date-parts" : [ [ "2012", "6" ] ] }, "page" : "282-92", "publisher" : "Elsevier Ltd", "title" : "Starch turnover: pathways, regulation and role in growth.", "type" : "article-journal", "volume" : "15" }, "uris" : [ "http://www.mendeley.com/documents/?uuid=6beb95dc-e1be-434a-bb86-9041d8712908" ] } ], "mendeley" : { "formattedCitation" : "(Stitt and Zeeman, 2012)", "plainTextFormattedCitation" : "(Stitt and Zeeman, 2012)", "previouslyFormattedCitation" : "(Stitt and Zeeman, 2012)"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(Stitt and Zeeman, 2012)</w:t>
      </w:r>
      <w:r w:rsidRPr="00531789">
        <w:rPr>
          <w:rFonts w:ascii="Cambria" w:hAnsi="Cambria" w:cs="Arial"/>
        </w:rPr>
        <w:fldChar w:fldCharType="end"/>
      </w:r>
      <w:r w:rsidRPr="00531789">
        <w:rPr>
          <w:rFonts w:ascii="Cambria" w:hAnsi="Cambria" w:cs="Arial"/>
        </w:rPr>
        <w:t>.</w:t>
      </w:r>
    </w:p>
    <w:p w14:paraId="13B524F0" w14:textId="77777777" w:rsidR="00DF4522" w:rsidRDefault="00DF4522" w:rsidP="00DF4522">
      <w:pPr>
        <w:jc w:val="both"/>
        <w:rPr>
          <w:rFonts w:ascii="Cambria" w:hAnsi="Cambria"/>
          <w:b/>
        </w:rPr>
      </w:pPr>
    </w:p>
    <w:p w14:paraId="2756D7C4" w14:textId="77777777" w:rsidR="00DF4522" w:rsidRPr="00531789" w:rsidRDefault="00DF4522" w:rsidP="00DF4522">
      <w:pPr>
        <w:spacing w:line="360" w:lineRule="auto"/>
        <w:jc w:val="both"/>
        <w:rPr>
          <w:rFonts w:ascii="Cambria" w:hAnsi="Cambria" w:cs="Arial"/>
        </w:rPr>
      </w:pPr>
    </w:p>
    <w:p w14:paraId="49A0461B" w14:textId="77777777" w:rsidR="00DF4522" w:rsidRPr="00531789" w:rsidRDefault="00DF4522" w:rsidP="00DF4522">
      <w:pPr>
        <w:spacing w:line="360" w:lineRule="auto"/>
        <w:jc w:val="both"/>
        <w:rPr>
          <w:rFonts w:ascii="Cambria" w:hAnsi="Cambria" w:cs="Arial"/>
          <w:b/>
        </w:rPr>
      </w:pPr>
      <w:r w:rsidRPr="00531789">
        <w:rPr>
          <w:rFonts w:ascii="Cambria" w:hAnsi="Cambria" w:cs="Arial"/>
          <w:b/>
        </w:rPr>
        <w:t>Nitrogen feedbacks</w:t>
      </w:r>
    </w:p>
    <w:p w14:paraId="24AE53B9" w14:textId="77777777" w:rsidR="00DF4522" w:rsidRPr="00531789" w:rsidRDefault="00DF4522" w:rsidP="00DF4522">
      <w:pPr>
        <w:spacing w:line="360" w:lineRule="auto"/>
        <w:jc w:val="both"/>
        <w:rPr>
          <w:rFonts w:ascii="Cambria" w:hAnsi="Cambria" w:cs="Arial"/>
        </w:rPr>
      </w:pPr>
    </w:p>
    <w:p w14:paraId="4ECEB8D9"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Just as carbon availability impacts both on carbon and nitrogen source and sink activities, nitrogen availability regulates the uptake and storage of carbon (reviewed in Fig. 1).  A high nitrogen status increases the rate of carbon acquisition in photosynthesis and also </w:t>
      </w:r>
      <w:proofErr w:type="spellStart"/>
      <w:r w:rsidRPr="00531789">
        <w:rPr>
          <w:rFonts w:ascii="Cambria" w:hAnsi="Cambria" w:cs="Arial"/>
        </w:rPr>
        <w:t>upregulates</w:t>
      </w:r>
      <w:proofErr w:type="spellEnd"/>
      <w:r w:rsidRPr="00531789">
        <w:rPr>
          <w:rFonts w:ascii="Cambria" w:hAnsi="Cambria" w:cs="Arial"/>
        </w:rPr>
        <w:t xml:space="preserve"> carbon sinks (Fig. 1; arrows 1 &amp; 4).  Nitrogen also increases the assimilation of nitrate by the enzyme nitrate </w:t>
      </w:r>
      <w:proofErr w:type="spellStart"/>
      <w:r w:rsidRPr="00531789">
        <w:rPr>
          <w:rFonts w:ascii="Cambria" w:hAnsi="Cambria" w:cs="Arial"/>
        </w:rPr>
        <w:t>reductase</w:t>
      </w:r>
      <w:proofErr w:type="spellEnd"/>
      <w:r w:rsidRPr="00531789">
        <w:rPr>
          <w:rFonts w:ascii="Cambria" w:hAnsi="Cambria" w:cs="Arial"/>
        </w:rPr>
        <w:t xml:space="preserve">, to </w:t>
      </w:r>
      <w:proofErr w:type="spellStart"/>
      <w:r w:rsidRPr="00531789">
        <w:rPr>
          <w:rFonts w:ascii="Cambria" w:hAnsi="Cambria" w:cs="Arial"/>
        </w:rPr>
        <w:t>upregulate</w:t>
      </w:r>
      <w:proofErr w:type="spellEnd"/>
      <w:r w:rsidRPr="00531789">
        <w:rPr>
          <w:rFonts w:ascii="Cambria" w:hAnsi="Cambria" w:cs="Arial"/>
        </w:rPr>
        <w:t xml:space="preserve"> nitrogen source and sink activity (Fig. 1; arrows 6 &amp; 8), and increases </w:t>
      </w:r>
      <w:proofErr w:type="spellStart"/>
      <w:r w:rsidRPr="00531789">
        <w:rPr>
          <w:rFonts w:ascii="Cambria" w:hAnsi="Cambria" w:cs="Arial"/>
        </w:rPr>
        <w:t>shoot:root</w:t>
      </w:r>
      <w:proofErr w:type="spellEnd"/>
      <w:r w:rsidRPr="00531789">
        <w:rPr>
          <w:rFonts w:ascii="Cambria" w:hAnsi="Cambria" w:cs="Arial"/>
        </w:rPr>
        <w:t xml:space="preserve"> allocation, enabling the plant to acquire more carbon and make use of the available nitrogen (arrow 10).  Furthermore, nitrate increases root </w:t>
      </w:r>
      <w:proofErr w:type="spellStart"/>
      <w:r w:rsidRPr="00531789">
        <w:rPr>
          <w:rFonts w:ascii="Cambria" w:hAnsi="Cambria" w:cs="Arial"/>
        </w:rPr>
        <w:t>cytokinin</w:t>
      </w:r>
      <w:proofErr w:type="spellEnd"/>
      <w:r w:rsidRPr="00531789">
        <w:rPr>
          <w:rFonts w:ascii="Cambria" w:hAnsi="Cambria" w:cs="Arial"/>
        </w:rPr>
        <w:t xml:space="preserve"> production and export (Fig. 1, arrow 10), important for meristem generation and function in shoot and root </w:t>
      </w:r>
      <w:r w:rsidRPr="00531789">
        <w:rPr>
          <w:rFonts w:ascii="Cambria" w:hAnsi="Cambria" w:cs="Arial"/>
        </w:rPr>
        <w:fldChar w:fldCharType="begin" w:fldLock="1"/>
      </w:r>
      <w:r>
        <w:rPr>
          <w:rFonts w:ascii="Cambria" w:hAnsi="Cambria" w:cs="Arial"/>
        </w:rPr>
        <w:instrText>ADDIN CSL_CITATION { "citationItems" : [ { "id" : "ITEM-1", "itemData" : { "DOI" : "10.1093/mp/ssr007", "ISSN" : "1752-9867", "PMID" : "21357646", "abstract" : "Plant hormones regulate many aspects of plant growth and development. Both auxin and cytokinin have been known for a long time to act either synergistically or antagonistically to control several significant developmental processes, such as the formation and maintenance of meristem. Over the past few years, exciting progress has been made to reveal the molecular mechanisms underlying the auxin-cytokinin action and interaction. In this review, we shall briefly discuss the major progress made in auxin and cytokinin biosynthesis, auxin transport, and auxin and cytokinin signaling. The frameworks for the complicated interaction of these two hormones in the control of shoot apical meristem and root apical meristem formation as well as their roles in in vitro organ regeneration are the major focus of this review.", "author" : [ { "dropping-particle" : "", "family" : "Su", "given" : "Ying-Hua", "non-dropping-particle" : "", "parse-names" : false, "suffix" : "" }, { "dropping-particle" : "", "family" : "Liu", "given" : "Yu-Bo", "non-dropping-particle" : "", "parse-names" : false, "suffix" : "" }, { "dropping-particle" : "", "family" : "Zhang", "given" : "Xian-Sheng", "non-dropping-particle" : "", "parse-names" : false, "suffix" : "" } ], "container-title" : "Molecular Plant", "id" : "ITEM-1", "issue" : "4", "issued" : { "date-parts" : [ [ "2011", "7" ] ] }, "page" : "616-25", "title" : "Auxin-cytokinin interaction regulates meristem development.", "type" : "article-journal", "volume" : "4" }, "uris" : [ "http://www.mendeley.com/documents/?uuid=a6cf3b3d-d058-410d-af4a-2b1f2c153bce" ] } ], "mendeley" : { "formattedCitation" : "(Su &lt;i&gt;et al.&lt;/i&gt;, 2011)", "plainTextFormattedCitation" : "(Su et al., 2011)", "previouslyFormattedCitation" : "(Su &lt;i&gt;et al.&lt;/i&gt;, 2011)"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(Su </w:t>
      </w:r>
      <w:r w:rsidRPr="002C5907">
        <w:rPr>
          <w:rFonts w:ascii="Cambria" w:hAnsi="Cambria" w:cs="Arial"/>
          <w:i/>
          <w:noProof/>
        </w:rPr>
        <w:t>et al.</w:t>
      </w:r>
      <w:r w:rsidRPr="002C5907">
        <w:rPr>
          <w:rFonts w:ascii="Cambria" w:hAnsi="Cambria" w:cs="Arial"/>
          <w:noProof/>
        </w:rPr>
        <w:t>, 2011)</w:t>
      </w:r>
      <w:r w:rsidRPr="00531789">
        <w:rPr>
          <w:rFonts w:ascii="Cambria" w:hAnsi="Cambria" w:cs="Arial"/>
        </w:rPr>
        <w:fldChar w:fldCharType="end"/>
      </w:r>
      <w:r w:rsidRPr="00531789">
        <w:rPr>
          <w:rFonts w:ascii="Cambria" w:hAnsi="Cambria" w:cs="Arial"/>
        </w:rPr>
        <w:t>.</w:t>
      </w:r>
    </w:p>
    <w:p w14:paraId="6B963219" w14:textId="77777777" w:rsidR="00DF4522" w:rsidRDefault="00DF4522" w:rsidP="00DF4522">
      <w:pPr>
        <w:spacing w:line="360" w:lineRule="auto"/>
        <w:jc w:val="both"/>
        <w:rPr>
          <w:rFonts w:ascii="Cambria" w:hAnsi="Cambria" w:cs="Arial"/>
        </w:rPr>
      </w:pPr>
    </w:p>
    <w:p w14:paraId="7C0CDE0B" w14:textId="77777777" w:rsidR="00DF4522" w:rsidRDefault="00DF4522" w:rsidP="00DF4522">
      <w:pPr>
        <w:spacing w:line="360" w:lineRule="auto"/>
        <w:jc w:val="both"/>
        <w:rPr>
          <w:rFonts w:ascii="Cambria" w:hAnsi="Cambria" w:cs="Arial"/>
        </w:rPr>
      </w:pPr>
    </w:p>
    <w:p w14:paraId="14AF3AAB" w14:textId="77777777" w:rsidR="00DF4522" w:rsidRPr="00531789" w:rsidRDefault="00DF4522" w:rsidP="00DF4522">
      <w:pPr>
        <w:spacing w:line="360" w:lineRule="auto"/>
        <w:jc w:val="both"/>
        <w:rPr>
          <w:rFonts w:ascii="Cambria" w:hAnsi="Cambria" w:cs="Arial"/>
          <w:b/>
        </w:rPr>
      </w:pPr>
      <w:r w:rsidRPr="00531789">
        <w:rPr>
          <w:rFonts w:ascii="Cambria" w:hAnsi="Cambria" w:cs="Arial"/>
          <w:b/>
        </w:rPr>
        <w:t>Crosstalk</w:t>
      </w:r>
    </w:p>
    <w:p w14:paraId="216A708A" w14:textId="77777777" w:rsidR="00DF4522" w:rsidRPr="00531789" w:rsidRDefault="00DF4522" w:rsidP="00DF4522">
      <w:pPr>
        <w:spacing w:line="360" w:lineRule="auto"/>
        <w:jc w:val="both"/>
        <w:rPr>
          <w:rFonts w:ascii="Cambria" w:hAnsi="Cambria" w:cs="Arial"/>
        </w:rPr>
      </w:pPr>
    </w:p>
    <w:p w14:paraId="0B6C1D60"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Tight control of the source-sink relationship is facilitated by points of crosstalk between carbon- and nitrogen-signalling pathways.  This enables plants to maintain a degree of co-limitation for sources and sinks, and carbon and nitrogen.  Starch synthesis is regulated by nitrate as well as by sugar: nitrate </w:t>
      </w:r>
      <w:proofErr w:type="spellStart"/>
      <w:r w:rsidRPr="00531789">
        <w:rPr>
          <w:rFonts w:ascii="Cambria" w:hAnsi="Cambria" w:cs="Arial"/>
        </w:rPr>
        <w:t>downregulates</w:t>
      </w:r>
      <w:proofErr w:type="spellEnd"/>
      <w:r w:rsidRPr="00531789">
        <w:rPr>
          <w:rFonts w:ascii="Cambria" w:hAnsi="Cambria" w:cs="Arial"/>
        </w:rPr>
        <w:t xml:space="preserve"> transcription of the gene encoding the regulatory subunit of </w:t>
      </w:r>
      <w:proofErr w:type="spellStart"/>
      <w:r w:rsidRPr="00531789">
        <w:rPr>
          <w:rFonts w:ascii="Cambria" w:hAnsi="Cambria" w:cs="Arial"/>
        </w:rPr>
        <w:t>AGPase</w:t>
      </w:r>
      <w:proofErr w:type="spellEnd"/>
      <w:r w:rsidRPr="00531789">
        <w:rPr>
          <w:rFonts w:ascii="Cambria" w:hAnsi="Cambria" w:cs="Arial"/>
        </w:rPr>
        <w:t xml:space="preserve">, an enzyme involved in starch synthesis.  This negative regulation by nitrate lowers starch accumulation and allows more leaf sugar to be exported for growth when nitrate levels are high </w:t>
      </w:r>
      <w:r w:rsidRPr="00531789">
        <w:rPr>
          <w:rFonts w:ascii="Cambria" w:hAnsi="Cambria" w:cs="Arial"/>
        </w:rPr>
        <w:fldChar w:fldCharType="begin" w:fldLock="1"/>
      </w:r>
      <w:r w:rsidRPr="00531789">
        <w:rPr>
          <w:rFonts w:ascii="Cambria" w:hAnsi="Cambria" w:cs="Arial"/>
        </w:rPr>
        <w:instrText>ADDIN CSL_CITATION { "citationItems" : [ { "id" : "ITEM-1", "itemData" : { "DOI" : "10.1046/j.1365-3040.1999.00386.x", "ISSN" : "0140-7791", "author" : [ { "dropping-particle" : "", "family" : "Stitt", "given" : "M.", "non-dropping-particle" : "", "parse-names" : false, "suffix" : "" }, { "dropping-particle" : "", "family" : "Krapp", "given" : "A.", "non-dropping-particle" : "", "parse-names" : false, "suffix" : "" } ], "container-title" : "Plant, Cell &amp; Environment", "id" : "ITEM-1", "issue" : "6", "issued" : { "date-parts" : [ [ "1999", "6" ] ] }, "page" : "583-621", "title" : "The interaction between elevated carbon dioxide and nitrogen nutrition: the physiological and molecular background", "type" : "article-journal", "volume" : "22" }, "uris" : [ "http://www.mendeley.com/documents/?uuid=12d0f917-f3d6-43c6-92fa-0d13f38659a0" ] } ], "mendeley" : { "formattedCitation" : "(Stitt and Krapp, 1999)", "manualFormatting" : "(discussed by Stitt and Krapp, 1999)", "plainTextFormattedCitation" : "(Stitt and Krapp, 1999)", "previouslyFormattedCitation" : "(Stitt and Krapp, 1999)"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(discussed by Stitt and Krapp, 1999)</w:t>
      </w:r>
      <w:r w:rsidRPr="00531789">
        <w:rPr>
          <w:rFonts w:ascii="Cambria" w:hAnsi="Cambria" w:cs="Arial"/>
        </w:rPr>
        <w:fldChar w:fldCharType="end"/>
      </w:r>
      <w:r w:rsidRPr="00531789">
        <w:rPr>
          <w:rFonts w:ascii="Cambria" w:hAnsi="Cambria" w:cs="Arial"/>
        </w:rPr>
        <w:t xml:space="preserve">. Leaf sugars are involved in the transcription and post-translational regulation of nitrate </w:t>
      </w:r>
      <w:proofErr w:type="spellStart"/>
      <w:r w:rsidRPr="00531789">
        <w:rPr>
          <w:rFonts w:ascii="Cambria" w:hAnsi="Cambria" w:cs="Arial"/>
        </w:rPr>
        <w:t>reductase</w:t>
      </w:r>
      <w:proofErr w:type="spellEnd"/>
      <w:r w:rsidRPr="00531789">
        <w:rPr>
          <w:rFonts w:ascii="Cambria" w:hAnsi="Cambria" w:cs="Arial"/>
        </w:rPr>
        <w:t xml:space="preserve"> (Fig. 1, arrow 9), enabling plants to coordinate carbon and nitrogen supply </w:t>
      </w:r>
      <w:r w:rsidRPr="00531789">
        <w:rPr>
          <w:rFonts w:ascii="Cambria" w:hAnsi="Cambria" w:cs="Arial"/>
        </w:rPr>
        <w:fldChar w:fldCharType="begin" w:fldLock="1"/>
      </w:r>
      <w:r>
        <w:rPr>
          <w:rFonts w:ascii="Cambria" w:hAnsi="Cambria" w:cs="Arial"/>
        </w:rPr>
        <w:instrText>ADDIN CSL_CITATION { "citationItems" : [ { "id" : "ITEM-1", "itemData" : { "DOI" : "10.1046/j.1365-3040.1999.00386.x", "ISSN" : "0140-7791", "author" : [ { "dropping-particle" : "", "family" : "Stitt", "given" : "M.", "non-dropping-particle" : "", "parse-names" : false, "suffix" : "" }, { "dropping-particle" : "", "family" : "Krapp", "given" : "A.", "non-dropping-particle" : "", "parse-names" : false, "suffix" : "" } ], "container-title" : "Plant, Cell &amp; Environment", "id" : "ITEM-1", "issue" : "6", "issued" : { "date-parts" : [ [ "1999", "6" ] ] }, "page" : "583-621", "title" : "The interaction between elevated carbon dioxide and nitrogen nutrition: the physiological and molecular background", "type" : "article-journal", "volume" : "22" }, "uris" : [ "http://www.mendeley.com/documents/?uuid=12d0f917-f3d6-43c6-92fa-0d13f38659a0" ] }, { "id" : "ITEM-2", "itemData" : { "abstract" : "The mechanism of the post-translational modulation of nitrate reductase activity (NR, EC 1.6.6.1) is briefly summarized, and it is shown that by this mechanism nitric oxide production through NR is also rapidly modulated. New and partly unexpected details on the modulation mechanism have been obtained by using immunological techniques. The phosphoryla- tion state of NR has been assessed with peptide antibodies raised against the serine phosphorylation motive of spinach NR. By co-immunoprecipitation experiments, 14-3-3 binding to phospho-NR and the function ofMg2q in that process has been elucidated. Conflicting data on the role of NR phosphorylation and 14-3-3 binding in controlling NR proteolysis are discussed. A possible role of other NR inactivating proteins is also briefly considered and the regulation of NR of Ricinus communis is described as an interesting special case that differs from the \u2018normal\u2019 mechanism in several important aspects.", "author" : [ { "dropping-particle" : "", "family" : "Kaiser", "given" : "Werner M", "non-dropping-particle" : "", "parse-names" : false, "suffix" : "" }, { "dropping-particle" : "", "family" : "Weiner", "given" : "Hendrik", "non-dropping-particle" : "", "parse-names" : false, "suffix" : "" }, { "dropping-particle" : "", "family" : "Kandlbinder", "given" : "Andrea", "non-dropping-particle" : "", "parse-names" : false, "suffix" : "" }, { "dropping-particle" : "", "family" : "Tsai", "given" : "Chyn-Bey", "non-dropping-particle" : "", "parse-names" : false, "suffix" : "" }, { "dropping-particle" : "", "family" : "Rockel", "given" : "Peter", "non-dropping-particle" : "", "parse-names" : false, "suffix" : "" }, { "dropping-particle" : "", "family" : "Sonoda", "given" : "Masatoshi", "non-dropping-particle" : "", "parse-names" : false, "suffix" : "" }, { "dropping-particle" : "", "family" : "Planchet", "given" : "Elisabeth", "non-dropping-particle" : "", "parse-names" : false, "suffix" : "" } ], "container-title" : "Journal of Experimental Botany", "id" : "ITEM-2", "issue" : "370", "issued" : { "date-parts" : [ [ "2002" ] ] }, "page" : "875-882", "title" : "Modulation of nitrate reductase: some new insights, an unusual case and a potentially important side reaction", "type" : "article-journal", "volume" : "53" }, "uris" : [ "http://www.mendeley.com/documents/?uuid=e39e2a9c-4d61-4755-a577-a4ba97d4a2a5" ] } ], "mendeley" : { "formattedCitation" : "(Stitt and Krapp, 1999; Kaiser &lt;i&gt;et al.&lt;/i&gt;, 2002)", "plainTextFormattedCitation" : "(Stitt and Krapp, 1999; Kaiser et al., 2002)", "previouslyFormattedCitation" : "(Stitt and Krapp, 1999; Kaiser &lt;i&gt;et al.&lt;/i&gt;, 2002)"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(Stitt and Krapp, 1999; Kaiser </w:t>
      </w:r>
      <w:r w:rsidRPr="002C5907">
        <w:rPr>
          <w:rFonts w:ascii="Cambria" w:hAnsi="Cambria" w:cs="Arial"/>
          <w:i/>
          <w:noProof/>
        </w:rPr>
        <w:t>et al.</w:t>
      </w:r>
      <w:r w:rsidRPr="002C5907">
        <w:rPr>
          <w:rFonts w:ascii="Cambria" w:hAnsi="Cambria" w:cs="Arial"/>
          <w:noProof/>
        </w:rPr>
        <w:t>, 2002)</w:t>
      </w:r>
      <w:r w:rsidRPr="00531789">
        <w:rPr>
          <w:rFonts w:ascii="Cambria" w:hAnsi="Cambria" w:cs="Arial"/>
        </w:rPr>
        <w:fldChar w:fldCharType="end"/>
      </w:r>
      <w:r w:rsidRPr="00531789">
        <w:rPr>
          <w:rFonts w:ascii="Cambria" w:hAnsi="Cambria" w:cs="Arial"/>
        </w:rPr>
        <w:t xml:space="preserve">: sugars increase the level of nitrate </w:t>
      </w:r>
      <w:proofErr w:type="spellStart"/>
      <w:r w:rsidRPr="00531789">
        <w:rPr>
          <w:rFonts w:ascii="Cambria" w:hAnsi="Cambria" w:cs="Arial"/>
        </w:rPr>
        <w:t>reductase</w:t>
      </w:r>
      <w:proofErr w:type="spellEnd"/>
      <w:r w:rsidRPr="00531789">
        <w:rPr>
          <w:rFonts w:ascii="Cambria" w:hAnsi="Cambria" w:cs="Arial"/>
        </w:rPr>
        <w:t xml:space="preserve"> </w:t>
      </w:r>
      <w:r w:rsidRPr="00531789">
        <w:rPr>
          <w:rFonts w:ascii="Cambria" w:hAnsi="Cambria" w:cs="Arial"/>
        </w:rPr>
        <w:fldChar w:fldCharType="begin" w:fldLock="1"/>
      </w:r>
      <w:r w:rsidRPr="00531789">
        <w:rPr>
          <w:rFonts w:ascii="Cambria" w:hAnsi="Cambria" w:cs="Arial"/>
        </w:rPr>
        <w:instrText>ADDIN CSL_CITATION { "citationItems" : [ { "id" : "ITEM-1", "itemData" : { "DOI" : "10.1016/j.plantsci.2014.10.008", "ISSN" : "1873-2259", "PMID" : "25480007", "abstract" : "In plants sugar sensing and signal transduction involves pathways dependent or independent on HXK1 as a glucose sensor. Research was conducted to determine which pathway is responsible for regulation of the nitrate reduction. The effect of selected carbon and nitrogen metabolites on nitrate reductase (NR) activity in Arabidopsis thaliana wild type (WT) and hxk1 mutant roots was studied. Exogenously supplied sugar, sucrose (Suc) and organic acid, 2-oxoglutarate (2-OG) led to an increase in the total and actual activity of NR. It was due to both the increase in expression of NIA genes and NR activation state. The stimulatory effect of Suc and 2-OG on nitrate reduction was less pronounced in hxk1 mutant roots with T-DNA insertion in the AtHXK1 gene encoding hexokinase1 (HXK1) and characterized by reduced hexokinase activity and root level of G6P and F6P. On the other hand, it was shown that exogenous glucose did not mimic Suc-mediated NR activation in Arabidopsis roots. Taken together, this data suggest that the Suc signaling pathway might be independent from hexose's sensor dependent mechanism.", "author" : [ { "dropping-particle" : "", "family" : "Reda", "given" : "Ma\u0142gorzata", "non-dropping-particle" : "", "parse-names" : false, "suffix" : "" } ], "container-title" : "Plant Science", "id" : "ITEM-1", "issued" : { "date-parts" : [ [ "2015", "1" ] ] }, "page" : "51-8", "publisher" : "Elsevier Ireland Ltd", "title" : "Response of nitrate reductase activity and NIA genes expression in roots of Arabidopsis hxk1 mutant treated with selected carbon and nitrogen metabolites.", "type" : "article-journal", "volume" : "230" }, "uris" : [ "http://www.mendeley.com/documents/?uuid=f4e08c6b-2eb9-40d2-b03d-cbe8fe7085b3" ] } ], "mendeley" : { "formattedCitation" : "(Reda, 2015)", "plainTextFormattedCitation" : "(Reda, 2015)", "previouslyFormattedCitation" : "(Reda, 2015)"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(Reda, 2015)</w:t>
      </w:r>
      <w:r w:rsidRPr="00531789">
        <w:rPr>
          <w:rFonts w:ascii="Cambria" w:hAnsi="Cambria" w:cs="Arial"/>
        </w:rPr>
        <w:fldChar w:fldCharType="end"/>
      </w:r>
      <w:r w:rsidRPr="00531789">
        <w:rPr>
          <w:rFonts w:ascii="Cambria" w:hAnsi="Cambria" w:cs="Arial"/>
        </w:rPr>
        <w:t xml:space="preserve"> whilst low sugar levels repress its transcription </w:t>
      </w:r>
      <w:r w:rsidRPr="00531789">
        <w:rPr>
          <w:rFonts w:ascii="Cambria" w:hAnsi="Cambria" w:cs="Arial"/>
        </w:rPr>
        <w:fldChar w:fldCharType="begin" w:fldLock="1"/>
      </w:r>
      <w:r>
        <w:rPr>
          <w:rFonts w:ascii="Cambria" w:hAnsi="Cambria" w:cs="Arial"/>
        </w:rPr>
        <w:instrText>ADDIN CSL_CITATION { "citationItems" : [ { "id" : "ITEM-1", "itemData" : { "abstract" : "These experiments use Nia30(145), a tobacco nia1nia2 double null mutant transformed with a NIA2 construct, to define when sugar supply plays the dominating role in the regulation of nitrate reductase (NIA) expression. The null alleles of Nia30(145) are transcribed and translated to produce non-functional NIA transcript and NIA protein, providing an endogenous reporter system to track NIA expression at the transcript and protein level. The re-intro- duced NIA2 construct is expressed at low efficiency, pro- viding a background in which the response to changes in sugar status is not complicated by simultaneous changes in the rate of nitrate assimilation and the levels of nitrate and glutamine. In an alternating light\u2013dark regime, Nia30(145) contained high levels of nitrate and low levels of glutamine and other amino acids. This drives constitutive overexpres- sion of NIA. After transfer of Nia30(145) to continuous darkness, nitrate remains high and glutamine low, but the NIA transcript level and NIA protein decreased signifi- cantly within 24 h and were undetectable from 48 h onwards. The decrease of the NIA transcript level was fully reversed and the decrease of NIA protein was partly reversed when leaves were detached from the pre-darkened plants and supplied with sucrose in the dark. The decrease was not reversed by nitrate or cytokinin.The NIA transcript disappeared when the leaf sugar content fell below 4 mmol hexose equivalents g-1FW, and recovered when sugars rose above 8 mmol hexose equivalents g-1 FW. It is concluded that low sugar represses NIA, completely overriding signals derived from nitrate and nitrogen metabolism. Key-words:", "author" : [ { "dropping-particle" : "", "family" : "Klein", "given" : "D", "non-dropping-particle" : "", "parse-names" : false, "suffix" : "" }, { "dropping-particle" : "", "family" : "Morcuende", "given" : "R", "non-dropping-particle" : "", "parse-names" : false, "suffix" : "" }, { "dropping-particle" : "", "family" : "Stitt", "given" : "M", "non-dropping-particle" : "", "parse-names" : false, "suffix" : "" }, { "dropping-particle" : "", "family" : "Krapp", "given" : "A", "non-dropping-particle" : "", "parse-names" : false, "suffix" : "" } ], "container-title" : "Plant, Cell &amp; Environment", "id" : "ITEM-1", "issued" : { "date-parts" : [ [ "2000" ] ] }, "page" : "863-871", "title" : "Regulation of nitrate reductase expression in leaves by nitrate and nitrogen metabolism is completely overridden when sugars fall below a critical level", "type" : "article-journal", "volume" : "23" }, "uris" : [ "http://www.mendeley.com/documents/?uuid=a306120b-049e-4c2a-96d0-e23f4b4cc4dd" ] } ], "mendeley" : { "formattedCitation" : "(Klein &lt;i&gt;et al.&lt;/i&gt;, 2000)", "plainTextFormattedCitation" : "(Klein et al., 2000)", "previouslyFormattedCitation" : "(Klein &lt;i&gt;et al.&lt;/i&gt;, 2000)"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(Klein </w:t>
      </w:r>
      <w:r w:rsidRPr="002C5907">
        <w:rPr>
          <w:rFonts w:ascii="Cambria" w:hAnsi="Cambria" w:cs="Arial"/>
          <w:i/>
          <w:noProof/>
        </w:rPr>
        <w:t>et al.</w:t>
      </w:r>
      <w:r w:rsidRPr="002C5907">
        <w:rPr>
          <w:rFonts w:ascii="Cambria" w:hAnsi="Cambria" w:cs="Arial"/>
          <w:noProof/>
        </w:rPr>
        <w:t>, 2000)</w:t>
      </w:r>
      <w:r w:rsidRPr="00531789">
        <w:rPr>
          <w:rFonts w:ascii="Cambria" w:hAnsi="Cambria" w:cs="Arial"/>
        </w:rPr>
        <w:fldChar w:fldCharType="end"/>
      </w:r>
      <w:r w:rsidRPr="00531789">
        <w:rPr>
          <w:rFonts w:ascii="Cambria" w:hAnsi="Cambria" w:cs="Arial"/>
        </w:rPr>
        <w:t>.</w:t>
      </w:r>
    </w:p>
    <w:p w14:paraId="4DAFAB0A" w14:textId="77777777" w:rsidR="00DF4522" w:rsidRPr="00531789" w:rsidRDefault="00DF4522" w:rsidP="00DF4522">
      <w:pPr>
        <w:spacing w:line="360" w:lineRule="auto"/>
        <w:jc w:val="both"/>
        <w:rPr>
          <w:rFonts w:ascii="Cambria" w:hAnsi="Cambria" w:cs="Arial"/>
        </w:rPr>
      </w:pPr>
    </w:p>
    <w:p w14:paraId="67417D31"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Coordination is enhanced still further by crosstalk between sugars and </w:t>
      </w:r>
      <w:proofErr w:type="spellStart"/>
      <w:r w:rsidRPr="00531789">
        <w:rPr>
          <w:rFonts w:ascii="Cambria" w:hAnsi="Cambria" w:cs="Arial"/>
        </w:rPr>
        <w:t>phytohormones</w:t>
      </w:r>
      <w:proofErr w:type="spellEnd"/>
      <w:r w:rsidRPr="00531789">
        <w:rPr>
          <w:rFonts w:ascii="Cambria" w:hAnsi="Cambria" w:cs="Arial"/>
        </w:rPr>
        <w:t xml:space="preserve"> (for recent review, see </w:t>
      </w:r>
      <w:r w:rsidRPr="00531789">
        <w:rPr>
          <w:rFonts w:ascii="Cambria" w:hAnsi="Cambria" w:cs="Arial"/>
          <w:noProof/>
        </w:rPr>
        <w:t xml:space="preserve">Lastdrager </w:t>
      </w:r>
      <w:r w:rsidRPr="00531789">
        <w:rPr>
          <w:rFonts w:ascii="Cambria" w:hAnsi="Cambria" w:cs="Arial"/>
          <w:i/>
          <w:noProof/>
        </w:rPr>
        <w:t>et al</w:t>
      </w:r>
      <w:r w:rsidRPr="00531789">
        <w:rPr>
          <w:rFonts w:ascii="Cambria" w:hAnsi="Cambria" w:cs="Arial"/>
          <w:noProof/>
        </w:rPr>
        <w:t xml:space="preserve">. </w:t>
      </w:r>
      <w:r w:rsidRPr="00531789">
        <w:rPr>
          <w:rFonts w:ascii="Cambria" w:hAnsi="Cambria" w:cs="Arial"/>
        </w:rPr>
        <w:fldChar w:fldCharType="begin" w:fldLock="1"/>
      </w:r>
      <w:r>
        <w:rPr>
          <w:rFonts w:ascii="Cambria" w:hAnsi="Cambria" w:cs="Arial"/>
        </w:rPr>
        <w:instrText>ADDIN CSL_CITATION { "citationItems" : [ { "id" : "ITEM-1", "itemData" : { "DOI" : "10.1093/jxb/ert474", "ISSN" : "1460-2431", "PMID" : "24453229", "abstract" : "Sugars have a central regulatory function in steering plant growth. This review focuses on information presented in the past 2 years on key players in sugar-mediated plant growth regulation, with emphasis on trehalose 6-phosphate, target of rapamycin kinase, and Snf1-related kinase 1 regulatory systems. The regulation of protein synthesis by sugars is fundamental to plant growth control, and recent advances in our understanding of the regulation of translation by sugars will be discussed.", "author" : [ { "dropping-particle" : "", "family" : "Lastdrager", "given" : "Jeroen", "non-dropping-particle" : "", "parse-names" : false, "suffix" : "" }, { "dropping-particle" : "", "family" : "Hanson", "given" : "Johannes", "non-dropping-particle" : "", "parse-names" : false, "suffix" : "" }, { "dropping-particle" : "", "family" : "Smeekens", "given" : "Sjef", "non-dropping-particle" : "", "parse-names" : false, "suffix" : "" } ], "container-title" : "Journal of Experimental Botany", "id" : "ITEM-1", "issue" : "3", "issued" : { "date-parts" : [ [ "2014", "1", "22" ] ] }, "page" : "799-807", "title" : "Sugar signals and the control of plant growth and development.", "type" : "article-journal", "volume" : "65" }, "uris" : [ "http://www.mendeley.com/documents/?uuid=80983520-4b79-458c-b48f-6d714d3f3800" ] } ], "mendeley" : { "formattedCitation" : "(Lastdrager &lt;i&gt;et al.&lt;/i&gt;, 2014)", "manualFormatting" : "(2014)", "plainTextFormattedCitation" : "(Lastdrager et al., 2014)", "previouslyFormattedCitation" : "(Lastdrager &lt;i&gt;et al.&lt;/i&gt;, 2014)"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(2014)</w:t>
      </w:r>
      <w:r w:rsidRPr="00531789">
        <w:rPr>
          <w:rFonts w:ascii="Cambria" w:hAnsi="Cambria" w:cs="Arial"/>
        </w:rPr>
        <w:fldChar w:fldCharType="end"/>
      </w:r>
      <w:r w:rsidRPr="00531789">
        <w:rPr>
          <w:rFonts w:ascii="Cambria" w:hAnsi="Cambria" w:cs="Arial"/>
        </w:rPr>
        <w:t xml:space="preserve">).  This contributes to developmental processes such as meristem activity (which is generally </w:t>
      </w:r>
      <w:proofErr w:type="spellStart"/>
      <w:r w:rsidRPr="00531789">
        <w:rPr>
          <w:rFonts w:ascii="Cambria" w:hAnsi="Cambria" w:cs="Arial"/>
        </w:rPr>
        <w:t>upregulated</w:t>
      </w:r>
      <w:proofErr w:type="spellEnd"/>
      <w:r w:rsidRPr="00531789">
        <w:rPr>
          <w:rFonts w:ascii="Cambria" w:hAnsi="Cambria" w:cs="Arial"/>
        </w:rPr>
        <w:t xml:space="preserve"> by </w:t>
      </w:r>
      <w:proofErr w:type="spellStart"/>
      <w:r w:rsidRPr="00531789">
        <w:rPr>
          <w:rFonts w:ascii="Cambria" w:hAnsi="Cambria" w:cs="Arial"/>
        </w:rPr>
        <w:t>cytokinins</w:t>
      </w:r>
      <w:proofErr w:type="spellEnd"/>
      <w:r w:rsidRPr="00531789">
        <w:rPr>
          <w:rFonts w:ascii="Cambria" w:hAnsi="Cambria" w:cs="Arial"/>
        </w:rPr>
        <w:t xml:space="preserve">, e.g. Fig. 1, arrow 4) and lends an added layer of complexity to growth regulation </w:t>
      </w:r>
      <w:r w:rsidRPr="00531789">
        <w:rPr>
          <w:rFonts w:ascii="Cambria" w:hAnsi="Cambria" w:cs="Arial"/>
        </w:rPr>
        <w:fldChar w:fldCharType="begin" w:fldLock="1"/>
      </w:r>
      <w:r w:rsidRPr="00531789">
        <w:rPr>
          <w:rFonts w:ascii="Cambria" w:hAnsi="Cambria" w:cs="Arial"/>
        </w:rPr>
        <w:instrText>ADDIN CSL_CITATION { "citationItems" : [ { "id" : "ITEM-1", "itemData" : { "DOI" : "10.1093/jxb/err379", "ISSN" : "1460-2431", "PMID" : "22140246", "abstract" : "Like all organisms, plants require energy for growth. They achieve this by absorbing light and fixing it into a usable, chemical form via photosynthesis. The resulting carbohydrate (sugar) energy is then utilized as substrates for growth, or stored as reserves. It is therefore not surprising that modulation of carbohydrate metabolism can have profound effects on plant growth, particularly cell division and expansion. However, recent studies on mutants such as stimpy or ramosa3 have also suggested that sugars can act as signalling molecules that control distinct aspects of plant development. This review will focus on these more specific roles of sugars in development, and will concentrate on two major areas: (i) cross-talk between sugar and hormonal signalling; and (ii) potential direct developmental effects of sugars. In the latter, developmental mutant phenotypes that are modulated by sugars as well as a putative role for trehalose-6-phosphate in inflorescence development are discussed. Because plant growth and development are plastic, and are greatly affected by environmental and nutritional conditions, the distinction between purely metabolic and specific developmental effects is somewhat blurred, but the focus will be on clear examples where sugar-related processes or molecules have been linked to known developmental mechanisms.", "author" : [ { "dropping-particle" : "", "family" : "Eveland", "given" : "Andrea L", "non-dropping-particle" : "", "parse-names" : false, "suffix" : "" }, { "dropping-particle" : "", "family" : "Jackson", "given" : "David P", "non-dropping-particle" : "", "parse-names" : false, "suffix" : "" } ], "container-title" : "Journal of Experimental Botany", "id" : "ITEM-1", "issue" : "9", "issued" : { "date-parts" : [ [ "2012", "5" ] ] }, "page" : "3367-77", "title" : "Sugars, signalling, and plant development.", "type" : "article-journal", "volume" : "63" }, "uris" : [ "http://www.mendeley.com/documents/?uuid=d43bce9e-ddef-455c-9a7a-8a50bbaf0c26" ] } ], "mendeley" : { "formattedCitation" : "(Eveland and Jackson, 2012)", "plainTextFormattedCitation" : "(Eveland and Jackson, 2012)", "previouslyFormattedCitation" : "(Eveland and Jackson, 2012)"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(Eveland and Jackson, 2012)</w:t>
      </w:r>
      <w:r w:rsidRPr="00531789">
        <w:rPr>
          <w:rFonts w:ascii="Cambria" w:hAnsi="Cambria" w:cs="Arial"/>
        </w:rPr>
        <w:fldChar w:fldCharType="end"/>
      </w:r>
      <w:r w:rsidRPr="00531789">
        <w:rPr>
          <w:rFonts w:ascii="Cambria" w:hAnsi="Cambria" w:cs="Arial"/>
        </w:rPr>
        <w:t xml:space="preserve">.  For example, sugars interact with </w:t>
      </w:r>
      <w:proofErr w:type="spellStart"/>
      <w:r w:rsidRPr="00531789">
        <w:rPr>
          <w:rFonts w:ascii="Cambria" w:hAnsi="Cambria" w:cs="Arial"/>
        </w:rPr>
        <w:t>abscisic</w:t>
      </w:r>
      <w:proofErr w:type="spellEnd"/>
      <w:r w:rsidRPr="00531789">
        <w:rPr>
          <w:rFonts w:ascii="Cambria" w:hAnsi="Cambria" w:cs="Arial"/>
        </w:rPr>
        <w:t xml:space="preserve"> acid </w:t>
      </w:r>
      <w:r w:rsidRPr="00531789">
        <w:rPr>
          <w:rFonts w:ascii="Cambria" w:hAnsi="Cambria" w:cs="Arial"/>
        </w:rPr>
        <w:fldChar w:fldCharType="begin" w:fldLock="1"/>
      </w:r>
      <w:r>
        <w:rPr>
          <w:rFonts w:ascii="Cambria" w:hAnsi="Cambria" w:cs="Arial"/>
        </w:rPr>
        <w:instrText>ADDIN CSL_CITATION { "citationItems" : [ { "id" : "ITEM-1", "itemData" : { "DOI" : "10.1111/j.1365-313X.2008.03515.x", "ISSN" : "1365-313X", "PMID" : "18410483", "abstract" : "ABI4 encodes an AP2 family transcription factor that is a central regulator in sugar responsive gene expression in plants. Sugar-induced ABI4 regulates plant genes essential for photosynthesis, and carbon, nitrogen and lipid metabolism. ABI4 activity is induced via the ABA-mediated sugar signalling pathway, which is initiated by the glucose sensing protein hexokinase. Natural variation in sugar sensitivity was used to identify new loci involved in sugar signalling. Five quantitative trait loci (QTLs) for glucose sensitivity (GSQ1-GSQ5) were identified in a Ler/Cvi recombinant inbred line (RIL) population. The GSQ3, GSQ4 and GSQ5 loci are positioned in regions not previously associated with known sugar-sensing genes. GSQ5 was fine mapped and cloned using a candidate-gene approach. The GSQ5 locus was shown to encode the DELAY OF GERMINATION 1 (DOG1) gene. DOG1 was previously identified as a major locus in seed dormancy control. Glucose addition induced the expression of the GSQ5/DOG1 Cvi allele, whereas the Ler and Col alleles did not respond to glucose. Positive feedback was observed between the ABA-mediated sugar signalling pathway and the GSQ5/DOG1 Cvi allele. Expression of the GSQ5/DOG1 Cvi allele requires the ABA-mediated sugar signalling pathway, of which ABI4 is an important component. In addition, sugar induction of ABI4 was promoted by the GSQ5/DOG1 Cvi allele.", "author" : [ { "dropping-particle" : "", "family" : "Teng", "given" : "Sheng", "non-dropping-particle" : "", "parse-names" : false, "suffix" : "" }, { "dropping-particle" : "", "family" : "Rognoni", "given" : "Sara", "non-dropping-particle" : "", "parse-names" : false, "suffix" : "" }, { "dropping-particle" : "", "family" : "Bentsink", "given" : "Le\u00f3nie", "non-dropping-particle" : "", "parse-names" : false, "suffix" : "" }, { "dropping-particle" : "", "family" : "Smeekens", "given" : "Sjef", "non-dropping-particle" : "", "parse-names" : false, "suffix" : "" } ], "container-title" : "The Plant Journal", "id" : "ITEM-1", "issue" : "3", "issued" : { "date-parts" : [ [ "2008", "8" ] ] }, "page" : "372-81", "title" : "The Arabidopsis GSQ5/DOG1 Cvi allele is induced by the ABA-mediated sugar signalling pathway, and enhances sugar sensitivity by stimulating ABI4 expression.", "type" : "article-journal", "volume" : "55" }, "uris" : [ "http://www.mendeley.com/documents/?uuid=2c93bc83-6508-4c6d-936d-1adc5ca3f232" ] } ], "mendeley" : { "formattedCitation" : "(Teng &lt;i&gt;et al.&lt;/i&gt;, 2008)", "plainTextFormattedCitation" : "(Teng et al., 2008)", "previouslyFormattedCitation" : "(Teng &lt;i&gt;et al.&lt;/i&gt;, 2008)"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(Teng </w:t>
      </w:r>
      <w:r w:rsidRPr="002C5907">
        <w:rPr>
          <w:rFonts w:ascii="Cambria" w:hAnsi="Cambria" w:cs="Arial"/>
          <w:i/>
          <w:noProof/>
        </w:rPr>
        <w:t>et al.</w:t>
      </w:r>
      <w:r w:rsidRPr="002C5907">
        <w:rPr>
          <w:rFonts w:ascii="Cambria" w:hAnsi="Cambria" w:cs="Arial"/>
          <w:noProof/>
        </w:rPr>
        <w:t>, 2008)</w:t>
      </w:r>
      <w:r w:rsidRPr="00531789">
        <w:rPr>
          <w:rFonts w:ascii="Cambria" w:hAnsi="Cambria" w:cs="Arial"/>
        </w:rPr>
        <w:fldChar w:fldCharType="end"/>
      </w:r>
      <w:r w:rsidRPr="00531789">
        <w:rPr>
          <w:rFonts w:ascii="Cambria" w:hAnsi="Cambria" w:cs="Arial"/>
        </w:rPr>
        <w:t xml:space="preserve"> and with </w:t>
      </w:r>
      <w:proofErr w:type="spellStart"/>
      <w:r w:rsidRPr="00531789">
        <w:rPr>
          <w:rFonts w:ascii="Cambria" w:hAnsi="Cambria" w:cs="Arial"/>
        </w:rPr>
        <w:t>auxin</w:t>
      </w:r>
      <w:proofErr w:type="spellEnd"/>
      <w:r w:rsidRPr="00531789">
        <w:rPr>
          <w:rFonts w:ascii="Cambria" w:hAnsi="Cambria" w:cs="Arial"/>
        </w:rPr>
        <w:t xml:space="preserve"> </w:t>
      </w:r>
      <w:r w:rsidRPr="00531789">
        <w:rPr>
          <w:rFonts w:ascii="Cambria" w:hAnsi="Cambria" w:cs="Arial"/>
        </w:rPr>
        <w:fldChar w:fldCharType="begin" w:fldLock="1"/>
      </w:r>
      <w:r>
        <w:rPr>
          <w:rFonts w:ascii="Cambria" w:hAnsi="Cambria" w:cs="Arial"/>
        </w:rPr>
        <w:instrText>ADDIN CSL_CITATION { "citationItems" : [ { "id" : "ITEM-1", "itemData" : { "DOI" : "10.1104/pp.113.215095", "ISBN" : "0000000280", "ISSN" : "1532-2548", "PMID" : "23690535", "abstract" : "As sessile organisms growing in an ever-changing environment, plants must integrate multiple regulatory inputs to promote the appropriate developmental responses. One such nutritional signal is cellular sugar levels, which rise and fall throughout the day and affect a variety of developmental processes. To uncover signalling pathways that modulate sugar perception, compounds from the library of active compounds in Arabidopsis (LATCA) were screened for the ability to perturb developmental responses to sucrose in Arabidopsis thaliana seedlings. This screen found that sulfonamides, which inhibit folate biosynthesis in plants, restrict hypocotyl elongation in a sugar-dependent fashion. Transcriptome analysis identified a small set of transcripts that respond the interaction between sulfonamide and sucrose, including a number of transcripts encoding Aux/IAAs, negative regulators of auxin signal transduction. Chemical inhibition of auxin transport or genetic disruption of auxin signalling relieved this interaction, suggesting that responses to these two nutritional stimuli are mediated by auxin. Reporter systems used to track auxin signalling and distribution showed enhanced activity in the vascular region of the hypocotyl in response to co-treatment of sucrose and sulfonamide, yet no change in auxin abundance was observed. Taken together, these findings suggest that the interplay between sucrose and folates acts to fine-tune auxin sensitivity and affects auxin distribution during seedling development.", "author" : [ { "dropping-particle" : "", "family" : "Stokes", "given" : "Michael E", "non-dropping-particle" : "", "parse-names" : false, "suffix" : "" }, { "dropping-particle" : "", "family" : "Chattopadhyay", "given" : "Abhishek", "non-dropping-particle" : "", "parse-names" : false, "suffix" : "" }, { "dropping-particle" : "", "family" : "Wilkins", "given" : "Olivia", "non-dropping-particle" : "", "parse-names" : false, "suffix" : "" }, { "dropping-particle" : "", "family" : "Nambara", "given" : "Eiji", "non-dropping-particle" : "", "parse-names" : false, "suffix" : "" }, { "dropping-particle" : "", "family" : "Campbell", "given" : "Malcolm M", "non-dropping-particle" : "", "parse-names" : false, "suffix" : "" } ], "container-title" : "Plant Physiology", "id" : "ITEM-1", "issue" : "July", "issued" : { "date-parts" : [ [ "2013", "5", "20" ] ] }, "page" : "1552-1565", "title" : "Interplay between sucrose and folate modulates auxin signalling in Arabidopsis.", "type" : "article-journal", "volume" : "162" }, "uris" : [ "http://www.mendeley.com/documents/?uuid=2e0d9f8c-a503-4956-be47-bf4a79a91439" ] } ], "mendeley" : { "formattedCitation" : "(Stokes &lt;i&gt;et al.&lt;/i&gt;, 2013)", "plainTextFormattedCitation" : "(Stokes et al., 2013)", "previouslyFormattedCitation" : "(Stokes &lt;i&gt;et al.&lt;/i&gt;, 2013)"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(Stokes </w:t>
      </w:r>
      <w:r w:rsidRPr="002C5907">
        <w:rPr>
          <w:rFonts w:ascii="Cambria" w:hAnsi="Cambria" w:cs="Arial"/>
          <w:i/>
          <w:noProof/>
        </w:rPr>
        <w:t>et al.</w:t>
      </w:r>
      <w:r w:rsidRPr="002C5907">
        <w:rPr>
          <w:rFonts w:ascii="Cambria" w:hAnsi="Cambria" w:cs="Arial"/>
          <w:noProof/>
        </w:rPr>
        <w:t>, 2013)</w:t>
      </w:r>
      <w:r w:rsidRPr="00531789">
        <w:rPr>
          <w:rFonts w:ascii="Cambria" w:hAnsi="Cambria" w:cs="Arial"/>
        </w:rPr>
        <w:fldChar w:fldCharType="end"/>
      </w:r>
      <w:r w:rsidRPr="00531789">
        <w:rPr>
          <w:rFonts w:ascii="Cambria" w:hAnsi="Cambria" w:cs="Arial"/>
        </w:rPr>
        <w:t xml:space="preserve">.  Sugars can also act directly on development, independently of </w:t>
      </w:r>
      <w:proofErr w:type="spellStart"/>
      <w:r w:rsidRPr="00531789">
        <w:rPr>
          <w:rFonts w:ascii="Cambria" w:hAnsi="Cambria" w:cs="Arial"/>
        </w:rPr>
        <w:t>phytohormones</w:t>
      </w:r>
      <w:proofErr w:type="spellEnd"/>
      <w:r w:rsidRPr="00531789">
        <w:rPr>
          <w:rFonts w:ascii="Cambria" w:hAnsi="Cambria" w:cs="Arial"/>
        </w:rPr>
        <w:t xml:space="preserve">, and are believed to be important for regulating meristem activities </w:t>
      </w:r>
      <w:r w:rsidRPr="00531789">
        <w:rPr>
          <w:rFonts w:ascii="Cambria" w:hAnsi="Cambria" w:cs="Arial"/>
        </w:rPr>
        <w:fldChar w:fldCharType="begin" w:fldLock="1"/>
      </w:r>
      <w:r w:rsidRPr="00531789">
        <w:rPr>
          <w:rFonts w:ascii="Cambria" w:hAnsi="Cambria" w:cs="Arial"/>
        </w:rPr>
        <w:instrText>ADDIN CSL_CITATION { "citationItems" : [ { "id" : "ITEM-1", "itemData" : { "DOI" : "10.1093/jxb/err379", "ISSN" : "1460-2431", "PMID" : "22140246", "abstract" : "Like all organisms, plants require energy for growth. They achieve this by absorbing light and fixing it into a usable, chemical form via photosynthesis. The resulting carbohydrate (sugar) energy is then utilized as substrates for growth, or stored as reserves. It is therefore not surprising that modulation of carbohydrate metabolism can have profound effects on plant growth, particularly cell division and expansion. However, recent studies on mutants such as stimpy or ramosa3 have also suggested that sugars can act as signalling molecules that control distinct aspects of plant development. This review will focus on these more specific roles of sugars in development, and will concentrate on two major areas: (i) cross-talk between sugar and hormonal signalling; and (ii) potential direct developmental effects of sugars. In the latter, developmental mutant phenotypes that are modulated by sugars as well as a putative role for trehalose-6-phosphate in inflorescence development are discussed. Because plant growth and development are plastic, and are greatly affected by environmental and nutritional conditions, the distinction between purely metabolic and specific developmental effects is somewhat blurred, but the focus will be on clear examples where sugar-related processes or molecules have been linked to known developmental mechanisms.", "author" : [ { "dropping-particle" : "", "family" : "Eveland", "given" : "Andrea L", "non-dropping-particle" : "", "parse-names" : false, "suffix" : "" }, { "dropping-particle" : "", "family" : "Jackson", "given" : "David P", "non-dropping-particle" : "", "parse-names" : false, "suffix" : "" } ], "container-title" : "Journal of Experimental Botany", "id" : "ITEM-1", "issue" : "9", "issued" : { "date-parts" : [ [ "2012", "5" ] ] }, "page" : "3367-77", "title" : "Sugars, signalling, and plant development.", "type" : "article-journal", "volume" : "63" }, "uris" : [ "http://www.mendeley.com/documents/?uuid=d43bce9e-ddef-455c-9a7a-8a50bbaf0c26" ] } ], "mendeley" : { "formattedCitation" : "(Eveland and Jackson, 2012)", "plainTextFormattedCitation" : "(Eveland and Jackson, 2012)", "previouslyFormattedCitation" : "(Eveland and Jackson, 2012)"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(Eveland and Jackson, 2012)</w:t>
      </w:r>
      <w:r w:rsidRPr="00531789">
        <w:rPr>
          <w:rFonts w:ascii="Cambria" w:hAnsi="Cambria" w:cs="Arial"/>
        </w:rPr>
        <w:fldChar w:fldCharType="end"/>
      </w:r>
      <w:r w:rsidRPr="00531789">
        <w:rPr>
          <w:rFonts w:ascii="Cambria" w:hAnsi="Cambria" w:cs="Arial"/>
        </w:rPr>
        <w:t xml:space="preserve">.  Furthermore, sugar levels influence the transcription of thousands of genes; sugars and the circadian clock regulate each other; and sugars induce </w:t>
      </w:r>
      <w:proofErr w:type="spellStart"/>
      <w:r w:rsidRPr="00531789">
        <w:rPr>
          <w:rFonts w:ascii="Cambria" w:hAnsi="Cambria" w:cs="Arial"/>
        </w:rPr>
        <w:t>phytochrome</w:t>
      </w:r>
      <w:proofErr w:type="spellEnd"/>
      <w:r w:rsidRPr="00531789">
        <w:rPr>
          <w:rFonts w:ascii="Cambria" w:hAnsi="Cambria" w:cs="Arial"/>
        </w:rPr>
        <w:t xml:space="preserve">-interacting factors, which regulate growth </w:t>
      </w:r>
      <w:r w:rsidRPr="00531789">
        <w:rPr>
          <w:rFonts w:ascii="Cambria" w:hAnsi="Cambria" w:cs="Arial"/>
        </w:rPr>
        <w:fldChar w:fldCharType="begin" w:fldLock="1"/>
      </w:r>
      <w:r>
        <w:rPr>
          <w:rFonts w:ascii="Cambria" w:hAnsi="Cambria" w:cs="Arial"/>
        </w:rPr>
        <w:instrText>ADDIN CSL_CITATION { "citationItems" : [ { "id" : "ITEM-1", "itemData" : { "DOI" : "10.1093/jxb/ert474", "ISSN" : "1460-2431", "PMID" : "24453229", "abstract" : "Sugars have a central regulatory function in steering plant growth. This review focuses on information presented in the past 2 years on key players in sugar-mediated plant growth regulation, with emphasis on trehalose 6-phosphate, target of rapamycin kinase, and Snf1-related kinase 1 regulatory systems. The regulation of protein synthesis by sugars is fundamental to plant growth control, and recent advances in our understanding of the regulation of translation by sugars will be discussed.", "author" : [ { "dropping-particle" : "", "family" : "Lastdrager", "given" : "Jeroen", "non-dropping-particle" : "", "parse-names" : false, "suffix" : "" }, { "dropping-particle" : "", "family" : "Hanson", "given" : "Johannes", "non-dropping-particle" : "", "parse-names" : false, "suffix" : "" }, { "dropping-particle" : "", "family" : "Smeekens", "given" : "Sjef", "non-dropping-particle" : "", "parse-names" : false, "suffix" : "" } ], "container-title" : "Journal of Experimental Botany", "id" : "ITEM-1", "issue" : "3", "issued" : { "date-parts" : [ [ "2014", "1", "22" ] ] }, "page" : "799-807", "title" : "Sugar signals and the control of plant growth and development.", "type" : "article-journal", "volume" : "65" }, "uris" : [ "http://www.mendeley.com/documents/?uuid=80983520-4b79-458c-b48f-6d714d3f3800" ] } ], "mendeley" : { "formattedCitation" : "(Lastdrager &lt;i&gt;et al.&lt;/i&gt;, 2014)", "plainTextFormattedCitation" : "(Lastdrager et al., 2014)", "previouslyFormattedCitation" : "(Lastdrager &lt;i&gt;et al.&lt;/i&gt;, 2014)"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(Lastdrager </w:t>
      </w:r>
      <w:r w:rsidRPr="002C5907">
        <w:rPr>
          <w:rFonts w:ascii="Cambria" w:hAnsi="Cambria" w:cs="Arial"/>
          <w:i/>
          <w:noProof/>
        </w:rPr>
        <w:t>et al.</w:t>
      </w:r>
      <w:r w:rsidRPr="002C5907">
        <w:rPr>
          <w:rFonts w:ascii="Cambria" w:hAnsi="Cambria" w:cs="Arial"/>
          <w:noProof/>
        </w:rPr>
        <w:t>, 2014)</w:t>
      </w:r>
      <w:r w:rsidRPr="00531789">
        <w:rPr>
          <w:rFonts w:ascii="Cambria" w:hAnsi="Cambria" w:cs="Arial"/>
        </w:rPr>
        <w:fldChar w:fldCharType="end"/>
      </w:r>
      <w:r w:rsidRPr="00531789">
        <w:rPr>
          <w:rFonts w:ascii="Cambria" w:hAnsi="Cambria" w:cs="Arial"/>
        </w:rPr>
        <w:t xml:space="preserve">.  </w:t>
      </w:r>
    </w:p>
    <w:p w14:paraId="566CA37B" w14:textId="77777777" w:rsidR="00DF4522" w:rsidRPr="00531789" w:rsidRDefault="00DF4522" w:rsidP="00DF4522">
      <w:pPr>
        <w:spacing w:line="360" w:lineRule="auto"/>
        <w:jc w:val="both"/>
        <w:rPr>
          <w:rFonts w:ascii="Cambria" w:hAnsi="Cambria" w:cs="Arial"/>
        </w:rPr>
      </w:pPr>
    </w:p>
    <w:p w14:paraId="20C887FE" w14:textId="77777777" w:rsidR="00DF4522" w:rsidRPr="00531789" w:rsidRDefault="00DF4522" w:rsidP="00DF4522">
      <w:pPr>
        <w:spacing w:line="360" w:lineRule="auto"/>
        <w:jc w:val="both"/>
        <w:rPr>
          <w:rFonts w:ascii="Cambria" w:hAnsi="Cambria" w:cs="Arial"/>
        </w:rPr>
      </w:pPr>
      <w:r w:rsidRPr="00531789">
        <w:rPr>
          <w:rFonts w:ascii="Cambria" w:hAnsi="Cambria"/>
        </w:rPr>
        <w:t xml:space="preserve">In summary, molecular feedbacks including carbon- and nitrogen-derived signals regulate sources and sinks for carbon and nitrogen. Crosstalk exists both between these signals and with growth regulators.  </w:t>
      </w:r>
      <w:r w:rsidRPr="00531789">
        <w:rPr>
          <w:rFonts w:ascii="Cambria" w:hAnsi="Cambria" w:cs="Arial"/>
        </w:rPr>
        <w:t xml:space="preserve">With such elaborate molecular mechanisms in place – and given sufficient resources – increasing the sink activity of a plant might be expected to increase its source activity, and </w:t>
      </w:r>
      <w:r w:rsidRPr="0079342F">
        <w:rPr>
          <w:rFonts w:ascii="Cambria" w:hAnsi="Cambria" w:cs="Arial"/>
          <w:i/>
        </w:rPr>
        <w:t>vice versa</w:t>
      </w:r>
      <w:r w:rsidRPr="00531789">
        <w:rPr>
          <w:rFonts w:ascii="Cambria" w:hAnsi="Cambria" w:cs="Arial"/>
        </w:rPr>
        <w:t xml:space="preserve">.  However, as discussed above, experimental manipulations of sink strength and of source strength reveal that growth cannot always be altered as expected </w:t>
      </w:r>
      <w:r w:rsidRPr="00531789">
        <w:rPr>
          <w:rFonts w:ascii="Cambria" w:hAnsi="Cambria" w:cs="Arial"/>
        </w:rPr>
        <w:fldChar w:fldCharType="begin" w:fldLock="1"/>
      </w:r>
      <w:r>
        <w:rPr>
          <w:rFonts w:ascii="Cambria" w:hAnsi="Cambria" w:cs="Arial"/>
        </w:rPr>
        <w:instrText>ADDIN CSL_CITATION { "citationItems" : [ { "id" : "ITEM-1", "itemData" : { "DOI" : "10.1126/science.1114722", "ISSN" : "1095-9203", "PMID" : "16809532", "abstract" : "Model projections suggest that although increased temperature and decreased soil moisture will act to reduce global crop yields by 2050, the direct fertilization effect of rising carbon dioxide concentration ([CO2]) will offset these losses. The CO2 fertilization factors used in models to project future yields were derived from enclosure studies conducted approximately 20 years ago. Free-air concentration enrichment (FACE) technology has now facilitated large-scale trials of the major grain crops at elevated [CO2] under fully open-air field conditions. In those trials, elevated [CO2] enhanced yield by approximately 50% less than in enclosure studies. This casts serious doubt on projections that rising [CO2] will fully offset losses due to climate change.", "author" : [ { "dropping-particle" : "", "family" : "Long", "given" : "Stephen P", "non-dropping-particle" : "", "parse-names" : false, "suffix" : "" }, { "dropping-particle" : "", "family" : "Ainsworth", "given" : "Elizabeth A", "non-dropping-particle" : "", "parse-names" : false, "suffix" : "" }, { "dropping-particle" : "", "family" : "Leakey", "given" : "Andrew D B", "non-dropping-particle" : "", "parse-names" : false, "suffix" : "" }, { "dropping-particle" : "", "family" : "N\u00f6sberger", "given" : "Josef", "non-dropping-particle" : "", "parse-names" : false, "suffix" : "" }, { "dropping-particle" : "", "family" : "Ort", "given" : "Donald R", "non-dropping-particle" : "", "parse-names" : false, "suffix" : "" } ], "container-title" : "Science", "id" : "ITEM-1", "issue" : "5782", "issued" : { "date-parts" : [ [ "2006", "6", "30" ] ] }, "page" : "1918-21", "title" : "Food for thought: lower-than-expected crop yield stimulation with rising CO2 concentrations.", "type" : "article-journal", "volume" : "312" }, "uris" : [ "http://www.mendeley.com/documents/?uuid=fce954b0-4240-4dd5-b2bd-ba2f991b3a7b" ] } ], "mendeley" : { "formattedCitation" : "(Long &lt;i&gt;et al.&lt;/i&gt;, 2006&lt;i&gt;a&lt;/i&gt;)", "manualFormatting" : "(e.g. Long et al., 2006a)", "plainTextFormattedCitation" : "(Long et al., 2006a)", "previouslyFormattedCitation" : "(Long &lt;i&gt;et al.&lt;/i&gt;, 2006&lt;i&gt;a&lt;/i&gt;)"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 xml:space="preserve">(e.g. Long </w:t>
      </w:r>
      <w:r w:rsidRPr="00531789">
        <w:rPr>
          <w:rFonts w:ascii="Cambria" w:hAnsi="Cambria" w:cs="Arial"/>
          <w:i/>
          <w:noProof/>
        </w:rPr>
        <w:t>et al</w:t>
      </w:r>
      <w:r w:rsidRPr="00531789">
        <w:rPr>
          <w:rFonts w:ascii="Cambria" w:hAnsi="Cambria" w:cs="Arial"/>
          <w:noProof/>
        </w:rPr>
        <w:t>., 2006a)</w:t>
      </w:r>
      <w:r w:rsidRPr="00531789">
        <w:rPr>
          <w:rFonts w:ascii="Cambria" w:hAnsi="Cambria" w:cs="Arial"/>
        </w:rPr>
        <w:fldChar w:fldCharType="end"/>
      </w:r>
      <w:r w:rsidRPr="00531789">
        <w:rPr>
          <w:rFonts w:ascii="Cambria" w:hAnsi="Cambria" w:cs="Arial"/>
        </w:rPr>
        <w:t>.  It has thus become important to increase knowledge of the potential strengths of source and sink, the limits to their physiological interactions, and to better incorporate known molecular mechanisms of the source-sink relationship into models of whole-plant growth.  Moreover, in order to effectively increase crop yield, it may be necessary to manipulate the molecular feedback mechanisms between source and sink, in addition to manipulating the strengths of source and sink themselves.  A source-sink-based perspective on growth is therefore an essential cross-disciplinary tool for understanding and increasing the growth and yield of crops.</w:t>
      </w:r>
    </w:p>
    <w:p w14:paraId="4815DABD" w14:textId="77777777" w:rsidR="00DF4522" w:rsidRDefault="00DF4522" w:rsidP="00DF4522">
      <w:pPr>
        <w:pStyle w:val="Heading2"/>
        <w:rPr>
          <w:rFonts w:ascii="Cambria" w:hAnsi="Cambria"/>
          <w:color w:val="auto"/>
        </w:rPr>
      </w:pPr>
      <w:bookmarkStart w:id="47" w:name="_Toc322267582"/>
      <w:bookmarkStart w:id="48" w:name="_Toc322267704"/>
      <w:bookmarkStart w:id="49" w:name="_Toc322267868"/>
    </w:p>
    <w:p w14:paraId="097558BC" w14:textId="77777777" w:rsidR="00DF4522" w:rsidRPr="00531789" w:rsidRDefault="00DF4522" w:rsidP="00DF4522">
      <w:pPr>
        <w:pStyle w:val="Heading2"/>
        <w:rPr>
          <w:rFonts w:ascii="Cambria" w:hAnsi="Cambria"/>
          <w:color w:val="auto"/>
        </w:rPr>
      </w:pPr>
      <w:bookmarkStart w:id="50" w:name="_Toc331253011"/>
      <w:r w:rsidRPr="00531789">
        <w:rPr>
          <w:rFonts w:ascii="Cambria" w:hAnsi="Cambria"/>
          <w:color w:val="auto"/>
        </w:rPr>
        <w:t>A</w:t>
      </w:r>
      <w:bookmarkEnd w:id="47"/>
      <w:bookmarkEnd w:id="48"/>
      <w:bookmarkEnd w:id="49"/>
      <w:r>
        <w:rPr>
          <w:rFonts w:ascii="Cambria" w:hAnsi="Cambria"/>
          <w:color w:val="auto"/>
        </w:rPr>
        <w:t>LTERNATIVE PERSPECTIVES ON GROWTH</w:t>
      </w:r>
      <w:bookmarkEnd w:id="50"/>
    </w:p>
    <w:p w14:paraId="75D9D021" w14:textId="77777777" w:rsidR="00DF4522" w:rsidRPr="00531789" w:rsidRDefault="00DF4522" w:rsidP="00DF4522">
      <w:pPr>
        <w:spacing w:line="360" w:lineRule="auto"/>
        <w:rPr>
          <w:rFonts w:ascii="Cambria" w:hAnsi="Cambria"/>
        </w:rPr>
      </w:pPr>
    </w:p>
    <w:p w14:paraId="401265CB" w14:textId="77777777" w:rsidR="00DF4522" w:rsidRPr="00531789" w:rsidRDefault="00DF4522" w:rsidP="00DF4522">
      <w:pPr>
        <w:widowControl w:val="0"/>
        <w:autoSpaceDE w:val="0"/>
        <w:autoSpaceDN w:val="0"/>
        <w:adjustRightInd w:val="0"/>
        <w:spacing w:line="360" w:lineRule="auto"/>
        <w:jc w:val="both"/>
        <w:rPr>
          <w:rFonts w:ascii="Cambria" w:hAnsi="Cambria"/>
        </w:rPr>
      </w:pPr>
      <w:r w:rsidRPr="00531789">
        <w:rPr>
          <w:rFonts w:ascii="Cambria" w:hAnsi="Cambria" w:cs="Verdana"/>
          <w:lang w:val="en-US"/>
        </w:rPr>
        <w:t xml:space="preserve">Different disciplines have alternative perspectives of plant growth.  Advancing the mechanistic understanding of growth that is necessary to </w:t>
      </w:r>
      <w:proofErr w:type="spellStart"/>
      <w:r w:rsidRPr="00531789">
        <w:rPr>
          <w:rFonts w:ascii="Cambria" w:hAnsi="Cambria" w:cs="Verdana"/>
          <w:lang w:val="en-US"/>
        </w:rPr>
        <w:t>realise</w:t>
      </w:r>
      <w:proofErr w:type="spellEnd"/>
      <w:r w:rsidRPr="00531789">
        <w:rPr>
          <w:rFonts w:ascii="Cambria" w:hAnsi="Cambria" w:cs="Verdana"/>
          <w:lang w:val="en-US"/>
        </w:rPr>
        <w:t xml:space="preserve"> improvements in crop growth will require a unification of these disciplines and their perspectives.  Here, a parsimonious model of plant growth which unites these different perspectives is presented.  An extremely simplified system is used for illustration.  Reality is certainly not as simple as the system presented here, where various factors have been </w:t>
      </w:r>
      <w:r w:rsidRPr="00531789">
        <w:rPr>
          <w:rFonts w:ascii="Cambria" w:hAnsi="Cambria"/>
        </w:rPr>
        <w:t>omitted for simplicity, clarity and ease of unification: both intrinsic (additional resources and tissue types within the plant, and feedbacks between internal processes) and extrinsic (environmental limitations on physiological and developmental processes), since p</w:t>
      </w:r>
      <w:r w:rsidRPr="00531789">
        <w:rPr>
          <w:rFonts w:ascii="Cambria" w:hAnsi="Cambria" w:cs="Arial"/>
        </w:rPr>
        <w:t xml:space="preserve">lant growth and development are the product of genetic and environmental processes </w:t>
      </w:r>
      <w:r w:rsidRPr="00531789">
        <w:rPr>
          <w:rFonts w:ascii="Cambria" w:hAnsi="Cambria" w:cs="Arial"/>
        </w:rPr>
        <w:fldChar w:fldCharType="begin" w:fldLock="1"/>
      </w:r>
      <w:r>
        <w:rPr>
          <w:rFonts w:ascii="Cambria" w:hAnsi="Cambria" w:cs="Arial"/>
        </w:rPr>
        <w:instrText>ADDIN CSL_CITATION { "citationItems" : [ { "id" : "ITEM-1", "itemData" : { "DOI" : "10.1073/pnas.0906696106", "ISBN" : "1091-6490 (Electronic)\\r0027-8424 (Linking)", "ISSN" : "0027-8424", "PMID" : "19805140", "abstract" : "In many plant species only a small proportion of buds yield branches. Both the timing and extent of bud activation are tightly regulated to produce specific branching architectures. For example, the primary shoot apex can inhibit the activation of lateral buds. This process is termed apical dominance and is dependent on the plant hormone auxin moving down the main stem in the polar auxin transport stream. We use a computational model and mathematical analysis to show that apical dominance can be explained in terms of an auxin transport switch established by the temporal precedence between competing auxin sources. Our model suggests a mechanistic basis for the indirect action of auxin in bud inhibition and captures the effects of diverse genetic and physiological manipulations. In particular, the model explains the surprising observation that highly branched Arabidopsis phenotypes can exhibit either high or low auxin transport.", "author" : [ { "dropping-particle" : "", "family" : "Prusinkiewicz", "given" : "Przemyslaw", "non-dropping-particle" : "", "parse-names" : false, "suffix" : "" }, { "dropping-particle" : "", "family" : "Crawford", "given" : "Scott", "non-dropping-particle" : "", "parse-names" : false, "suffix" : "" }, { "dropping-particle" : "", "family" : "Smith", "given" : "Richard S", "non-dropping-particle" : "", "parse-names" : false, "suffix" : "" }, { "dropping-particle" : "", "family" : "Ljung", "given" : "Karin", "non-dropping-particle" : "", "parse-names" : false, "suffix" : "" }, { "dropping-particle" : "", "family" : "Bennett", "given" : "Tom", "non-dropping-particle" : "", "parse-names" : false, "suffix" : "" }, { "dropping-particle" : "", "family" : "Ongaro", "given" : "Veronica", "non-dropping-particle" : "", "parse-names" : false, "suffix" : "" }, { "dropping-particle" : "", "family" : "Leyser", "given" : "Ottoline", "non-dropping-particle" : "", "parse-names" : false, "suffix" : "" } ], "container-title" : "Proceedings of the National Academy of Sciences of the United States of America", "id" : "ITEM-1", "issue" : "41", "issued" : { "date-parts" : [ [ "2009" ] ] }, "page" : "17431-17436", "title" : "Control of bud activation by an auxin transport switch.", "type" : "article-journal", "volume" : "106" }, "uris" : [ "http://www.mendeley.com/documents/?uuid=8e53fde1-d99a-4e05-87e6-fff2287b5041", "http://www.mendeley.com/documents/?uuid=8f8643e3-bb38-4dc7-95ae-3e7488cd34f9" ] }, { "id" : "ITEM-2", "itemData" : { "DOI" : "10.1111/j.1469-8137.2012.04273.x", "ISSN" : "1469-8137", "PMID" : "22924516", "abstract" : "CONTENTS: Summary 349 I. Leaf growth: volume, structures, water and carbon 349 II. Coupling water and carbon limitations through the Lockhart model? 350 III. ABA signalling pathway as a hub to coordinate water and carbon relations 353 IV. Leaf venation: just a two-way pipe network? 354 V. Leaf ontogeny orchestrates the actors involved in the control of leaf growth 355 VI. The growing leaf in a changing world 360 VII. Conclusion 361 Acknowledgements 362 References 362 SUMMARY: Leaf growth is the central process facilitating energy capture and plant performance. This is also one of the most sensitive processes to a wide range of abiotic stresses. Because hydraulics and metabolics are two major determinants of expansive growth (volumetric increase) and structural growth (dry matter increase), we review the interaction nodes between water and carbon. We detail the crosstalks between water and carbon transports, including the dual role of stomata and aquaporins in regulating water and carbon fluxes, the coupling between phloem and xylem, the interactions between leaf water relations and photosynthetic capacity, the links between Lockhart's hydromechanical model and carbon metabolism, and the central regulatory role of abscisic acid. Then, we argue that during leaf ontogeny, these interactions change dramatically because of uncoupled modifications between several anatomical and physiological features of the leaf. We conclude that the control of leaf growth switches from a metabolic to a hydromechanical limitation during the course of leaf ontogeny. Finally, we illustrate how taking leaf ontogeny into account provides insights into the mechanisms underlying leaf growth responses to abiotic stresses that affect water and carbon relations, such as elevated CO(2) , low light, high temperature and drought.", "author" : [ { "dropping-particle" : "", "family" : "Pantin", "given" : "Florent", "non-dropping-particle" : "", "parse-names" : false, "suffix" : "" }, { "dropping-particle" : "", "family" : "Simonneau", "given" : "Thierry", "non-dropping-particle" : "", "parse-names" : false, "suffix" : "" }, { "dropping-particle" : "", "family" : "Muller", "given" : "Bertrand", "non-dropping-particle" : "", "parse-names" : false, "suffix" : "" } ], "container-title" : "New Phytologist", "id" : "ITEM-2", "issue" : "2", "issued" : { "date-parts" : [ [ "2012", "10" ] ] }, "page" : "349-66", "title" : "Coming of leaf age: control of growth by hydraulics and metabolics during leaf ontogeny.", "type" : "article-journal", "volume" : "196" }, "uris" : [ "http://www.mendeley.com/documents/?uuid=9fd45981-0657-44e4-a264-0fe6f3bf4802" ] } ], "mendeley" : { "formattedCitation" : "(Prusinkiewicz &lt;i&gt;et al.&lt;/i&gt;, 2009; Pantin &lt;i&gt;et al.&lt;/i&gt;, 2012)", "manualFormatting" : "(e.g. Prusinkiewicz et al., 2009; Pantin et al., 2012)", "plainTextFormattedCitation" : "(Prusinkiewicz et al., 2009; Pantin et al., 2012)", "previouslyFormattedCitation" : "(Prusinkiewicz &lt;i&gt;et al.&lt;/i&gt;, 2009; Pantin &lt;i&gt;et al.&lt;/i&gt;, 2012)"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 xml:space="preserve">(e.g. Prusinkiewicz </w:t>
      </w:r>
      <w:r w:rsidRPr="00531789">
        <w:rPr>
          <w:rFonts w:ascii="Cambria" w:hAnsi="Cambria" w:cs="Arial"/>
          <w:i/>
          <w:noProof/>
        </w:rPr>
        <w:t>et al.</w:t>
      </w:r>
      <w:r w:rsidRPr="00531789">
        <w:rPr>
          <w:rFonts w:ascii="Cambria" w:hAnsi="Cambria" w:cs="Arial"/>
          <w:noProof/>
        </w:rPr>
        <w:t xml:space="preserve">, 2009; Pantin </w:t>
      </w:r>
      <w:r w:rsidRPr="00531789">
        <w:rPr>
          <w:rFonts w:ascii="Cambria" w:hAnsi="Cambria" w:cs="Arial"/>
          <w:i/>
          <w:noProof/>
        </w:rPr>
        <w:t>et al.</w:t>
      </w:r>
      <w:r w:rsidRPr="00531789">
        <w:rPr>
          <w:rFonts w:ascii="Cambria" w:hAnsi="Cambria" w:cs="Arial"/>
          <w:noProof/>
        </w:rPr>
        <w:t>, 2012)</w:t>
      </w:r>
      <w:r w:rsidRPr="00531789">
        <w:rPr>
          <w:rFonts w:ascii="Cambria" w:hAnsi="Cambria" w:cs="Arial"/>
        </w:rPr>
        <w:fldChar w:fldCharType="end"/>
      </w:r>
      <w:r w:rsidRPr="00531789">
        <w:rPr>
          <w:rFonts w:ascii="Cambria" w:hAnsi="Cambria" w:cs="Arial"/>
        </w:rPr>
        <w:t xml:space="preserve">.   </w:t>
      </w:r>
      <w:r w:rsidRPr="00531789">
        <w:rPr>
          <w:rFonts w:ascii="Cambria" w:hAnsi="Cambria"/>
        </w:rPr>
        <w:t xml:space="preserve">Rather than provide comprehensive models of growth, this section highlights key processes of interest for each of the three perspectives on growth, and uses equations to demonstrate the focus of each.  In each perspective, the processes of interest depend on source and sink activities and tissues, and the equations are finally united to form a basic holistic model of plant growth which is underpinned at every level by </w:t>
      </w:r>
      <w:proofErr w:type="spellStart"/>
      <w:r w:rsidRPr="00531789">
        <w:rPr>
          <w:rFonts w:ascii="Cambria" w:hAnsi="Cambria"/>
        </w:rPr>
        <w:t>source:sink</w:t>
      </w:r>
      <w:proofErr w:type="spellEnd"/>
      <w:r w:rsidRPr="00531789">
        <w:rPr>
          <w:rFonts w:ascii="Cambria" w:hAnsi="Cambria"/>
        </w:rPr>
        <w:t xml:space="preserve"> interactions.</w:t>
      </w:r>
    </w:p>
    <w:p w14:paraId="1CD7F47D" w14:textId="77777777" w:rsidR="00DF4522" w:rsidRPr="00531789" w:rsidRDefault="00DF4522" w:rsidP="00DF4522">
      <w:pPr>
        <w:spacing w:line="360" w:lineRule="auto"/>
        <w:jc w:val="both"/>
        <w:rPr>
          <w:rFonts w:ascii="Cambria" w:hAnsi="Cambria"/>
        </w:rPr>
      </w:pPr>
    </w:p>
    <w:p w14:paraId="23CB2DCA" w14:textId="77777777" w:rsidR="00DF4522" w:rsidRPr="00531789" w:rsidRDefault="00DF4522" w:rsidP="00DF4522">
      <w:pPr>
        <w:spacing w:line="360" w:lineRule="auto"/>
        <w:jc w:val="both"/>
        <w:rPr>
          <w:rFonts w:ascii="Cambria" w:hAnsi="Cambria" w:cs="Arial"/>
        </w:rPr>
      </w:pPr>
      <w:r w:rsidRPr="00531789">
        <w:rPr>
          <w:rFonts w:ascii="Cambria" w:hAnsi="Cambria" w:cs="Arial"/>
        </w:rPr>
        <w:t>Growth may be conceptualised in a number of different ways, and may be viewed through different lenses depending on the perspective adopted.  Three classic perspectives on growth are based on: the physiology of resource acquisition and loss; the internal allocation of resources to source and sink organs; and the morphogenetic development of source and sink tissues.  Crucially, these three alternative perspectives, adopted by communities of scientists from different disciplines are all readily conceptualised within the context of source-sink interactions.</w:t>
      </w:r>
    </w:p>
    <w:p w14:paraId="44A851B5" w14:textId="77777777" w:rsidR="00DF4522" w:rsidRPr="00531789" w:rsidRDefault="00DF4522" w:rsidP="00DF4522">
      <w:pPr>
        <w:spacing w:line="360" w:lineRule="auto"/>
        <w:jc w:val="both"/>
        <w:rPr>
          <w:rFonts w:ascii="Cambria" w:hAnsi="Cambria" w:cs="Arial"/>
        </w:rPr>
      </w:pPr>
    </w:p>
    <w:p w14:paraId="085376DB" w14:textId="77777777" w:rsidR="00DF4522" w:rsidRPr="00531789" w:rsidRDefault="00DF4522" w:rsidP="00DF4522">
      <w:pPr>
        <w:spacing w:line="360" w:lineRule="auto"/>
        <w:jc w:val="both"/>
        <w:rPr>
          <w:rFonts w:ascii="Cambria" w:hAnsi="Cambria"/>
        </w:rPr>
      </w:pPr>
      <w:r w:rsidRPr="00531789">
        <w:rPr>
          <w:rFonts w:ascii="Cambria" w:hAnsi="Cambria"/>
        </w:rPr>
        <w:t xml:space="preserve">Here, equations have been used to illustrate each definition of growth, by considering a highly simplified system in which a single resource (carbon) is acquired by a source tissue (leaves) and used by sinks (in both leaves and roots).  This system enables the limitations on growth to be formally defined in a readily interpreted form, yet still allows growth to be viewed through the three alternative lenses presented. Each of the three perspectives presented is, by mathematical definition, true. However, each is based implicitly upon an alternative hypothesis about the critical intrinsic controls on growth. </w:t>
      </w:r>
    </w:p>
    <w:p w14:paraId="05036AD5" w14:textId="77777777" w:rsidR="00DF4522" w:rsidRPr="00531789" w:rsidRDefault="00DF4522" w:rsidP="00DF4522">
      <w:pPr>
        <w:spacing w:line="360" w:lineRule="auto"/>
        <w:jc w:val="both"/>
        <w:rPr>
          <w:rFonts w:ascii="Cambria" w:hAnsi="Cambria" w:cs="Arial"/>
        </w:rPr>
      </w:pPr>
    </w:p>
    <w:p w14:paraId="6F26147D"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At its most fundamental level, growth may be defined as an increase in plant mass over time.  For simplicity, growth is considered equivalent to net organic carbon gain, and the acquisition of other resources is ignored.  The dry weight of organic carbon in the plant is </w:t>
      </w:r>
      <w:r w:rsidRPr="00531789">
        <w:rPr>
          <w:rFonts w:ascii="Cambria" w:hAnsi="Cambria" w:cs="Arial"/>
          <w:i/>
        </w:rPr>
        <w:t>W</w:t>
      </w:r>
      <w:r w:rsidRPr="00531789">
        <w:rPr>
          <w:rFonts w:ascii="Cambria" w:hAnsi="Cambria" w:cs="Arial"/>
          <w:i/>
          <w:vertAlign w:val="subscript"/>
        </w:rPr>
        <w:t>P</w:t>
      </w:r>
      <w:r w:rsidRPr="00531789">
        <w:rPr>
          <w:rFonts w:ascii="Cambria" w:hAnsi="Cambria" w:cs="Arial"/>
        </w:rPr>
        <w:t>, and absolute growth rate (AGR)</w:t>
      </w:r>
      <w:r w:rsidRPr="00531789">
        <w:rPr>
          <w:rFonts w:ascii="Cambria" w:hAnsi="Cambria" w:cs="Arial"/>
          <w:i/>
        </w:rPr>
        <w:t xml:space="preserve"> </w:t>
      </w:r>
      <w:r w:rsidRPr="00531789">
        <w:rPr>
          <w:rFonts w:ascii="Cambria" w:hAnsi="Cambria" w:cs="Arial"/>
        </w:rPr>
        <w:t>is thus net carbon gain over time, in g day</w:t>
      </w:r>
      <w:r w:rsidRPr="00531789">
        <w:rPr>
          <w:rFonts w:ascii="Cambria" w:hAnsi="Cambria" w:cs="Arial"/>
          <w:vertAlign w:val="superscript"/>
        </w:rPr>
        <w:t>-1</w:t>
      </w:r>
      <w:r w:rsidRPr="00531789">
        <w:rPr>
          <w:rFonts w:ascii="Cambria" w:hAnsi="Cambria" w:cs="Arial"/>
        </w:rPr>
        <w:t>:</w:t>
      </w:r>
    </w:p>
    <w:p w14:paraId="22ECF892" w14:textId="77777777" w:rsidR="00DF4522" w:rsidRPr="00531789" w:rsidRDefault="00DF4522" w:rsidP="00DF4522">
      <w:pPr>
        <w:spacing w:line="360" w:lineRule="auto"/>
        <w:jc w:val="both"/>
        <w:rPr>
          <w:rFonts w:ascii="Cambria" w:hAnsi="Cambria" w:cs="Arial"/>
        </w:rPr>
      </w:pPr>
    </w:p>
    <w:p w14:paraId="7808C7EF" w14:textId="065D91C1" w:rsidR="00DF4522" w:rsidRPr="00531789" w:rsidRDefault="00DF4522" w:rsidP="00DF4522">
      <w:pPr>
        <w:spacing w:line="360" w:lineRule="auto"/>
        <w:ind w:firstLine="720"/>
        <w:jc w:val="center"/>
        <w:rPr>
          <w:rFonts w:ascii="Cambria" w:hAnsi="Cambria" w:cs="Arial"/>
          <w:b/>
        </w:rPr>
      </w:pPr>
      <w:r>
        <w:rPr>
          <w:rFonts w:ascii="Cambria" w:hAnsi="Cambria" w:cs="Arial"/>
        </w:rPr>
        <w:tab/>
      </w:r>
      <w:r>
        <w:rPr>
          <w:rFonts w:ascii="Cambria" w:hAnsi="Cambria" w:cs="Arial"/>
        </w:rPr>
        <w:tab/>
      </w:r>
      <w:r w:rsidRPr="001F5919">
        <w:rPr>
          <w:rFonts w:ascii="Cambria" w:hAnsi="Cambria" w:cs="Arial"/>
          <w:i/>
        </w:rPr>
        <w:fldChar w:fldCharType="begin"/>
      </w:r>
      <w:r w:rsidRPr="001F5919">
        <w:rPr>
          <w:rFonts w:ascii="Cambria" w:hAnsi="Cambria" w:cs="Arial"/>
          <w:i/>
        </w:rPr>
        <w:instrText xml:space="preserve"> QUOTE </w:instrText>
      </w:r>
      <m:oMath>
        <m:f>
          <m:fPr>
            <m:ctrlPr>
              <w:rPr>
                <w:rFonts w:ascii="Cambria Math" w:hAnsi="Cambria Math" w:cs="Arial"/>
                <w:i/>
              </w:rPr>
            </m:ctrlPr>
          </m:fPr>
          <m:num>
            <m:r>
              <m:rPr>
                <m:sty m:val="p"/>
              </m:rPr>
              <w:rPr>
                <w:rFonts w:ascii="Cambria Math" w:hAnsi="Cambria Math" w:cs="Arial"/>
              </w:rPr>
              <m:t>d</m:t>
            </m:r>
            <m:sSub>
              <m:sSubPr>
                <m:ctrlPr>
                  <w:rPr>
                    <w:rFonts w:ascii="Cambria Math" w:hAnsi="Cambria Math" w:cs="Arial"/>
                    <w:i/>
                  </w:rPr>
                </m:ctrlPr>
              </m:sSubPr>
              <m:e>
                <m:r>
                  <m:rPr>
                    <m:sty m:val="p"/>
                  </m:rPr>
                  <w:rPr>
                    <w:rFonts w:ascii="Cambria Math" w:hAnsi="Cambria Math" w:cs="Arial"/>
                  </w:rPr>
                  <m:t>W</m:t>
                </m:r>
              </m:e>
              <m:sub>
                <m:r>
                  <m:rPr>
                    <m:sty m:val="p"/>
                  </m:rPr>
                  <w:rPr>
                    <w:rFonts w:ascii="Cambria Math" w:hAnsi="Cambria Math" w:cs="Arial"/>
                  </w:rPr>
                  <m:t>P</m:t>
                </m:r>
              </m:sub>
            </m:sSub>
          </m:num>
          <m:den>
            <m:r>
              <m:rPr>
                <m:sty m:val="p"/>
              </m:rPr>
              <w:rPr>
                <w:rFonts w:ascii="Cambria Math" w:hAnsi="Cambria Math" w:cs="Arial"/>
              </w:rPr>
              <m:t>dt</m:t>
            </m:r>
          </m:den>
        </m:f>
        <m:r>
          <m:rPr>
            <m:sty m:val="p"/>
          </m:rPr>
          <w:rPr>
            <w:rFonts w:ascii="Cambria Math" w:hAnsi="Cambria Math" w:cs="Arial"/>
          </w:rPr>
          <m:t>=Absolute growth rate</m:t>
        </m:r>
      </m:oMath>
      <w:r w:rsidRPr="001F5919">
        <w:rPr>
          <w:rFonts w:ascii="Cambria" w:hAnsi="Cambria" w:cs="Arial"/>
          <w:i/>
        </w:rPr>
        <w:instrText xml:space="preserve"> </w:instrText>
      </w:r>
      <w:r w:rsidRPr="001F5919">
        <w:rPr>
          <w:rFonts w:ascii="Cambria" w:hAnsi="Cambria" w:cs="Arial"/>
          <w:i/>
        </w:rPr>
        <w:fldChar w:fldCharType="separate"/>
      </w:r>
      <m:oMath>
        <m:f>
          <m:fPr>
            <m:ctrlPr>
              <w:rPr>
                <w:rFonts w:ascii="Cambria Math" w:hAnsi="Cambria Math" w:cs="Arial"/>
                <w:i/>
              </w:rPr>
            </m:ctrlPr>
          </m:fPr>
          <m:num>
            <m:r>
              <w:rPr>
                <w:rFonts w:ascii="Cambria Math" w:hAnsi="Cambria Math" w:cs="Arial"/>
              </w:rPr>
              <m:t>d</m:t>
            </m:r>
            <m:sSub>
              <m:sSubPr>
                <m:ctrlPr>
                  <w:rPr>
                    <w:rFonts w:ascii="Cambria Math" w:hAnsi="Cambria Math" w:cs="Arial"/>
                    <w:i/>
                  </w:rPr>
                </m:ctrlPr>
              </m:sSubPr>
              <m:e>
                <m:r>
                  <w:rPr>
                    <w:rFonts w:ascii="Cambria Math" w:hAnsi="Cambria Math" w:cs="Arial"/>
                  </w:rPr>
                  <m:t>W</m:t>
                </m:r>
              </m:e>
              <m:sub>
                <m:r>
                  <w:rPr>
                    <w:rFonts w:ascii="Cambria Math" w:hAnsi="Cambria Math" w:cs="Arial"/>
                  </w:rPr>
                  <m:t>P</m:t>
                </m:r>
              </m:sub>
            </m:sSub>
          </m:num>
          <m:den>
            <m:r>
              <w:rPr>
                <w:rFonts w:ascii="Cambria Math" w:hAnsi="Cambria Math" w:cs="Arial"/>
              </w:rPr>
              <m:t>dt</m:t>
            </m:r>
          </m:den>
        </m:f>
        <m:r>
          <m:rPr>
            <m:sty m:val="p"/>
          </m:rPr>
          <w:rPr>
            <w:rFonts w:ascii="Cambria Math" w:hAnsi="Cambria Math" w:cs="Arial"/>
          </w:rPr>
          <m:t>=Absolute growth rate</m:t>
        </m:r>
      </m:oMath>
      <w:r w:rsidRPr="001F5919">
        <w:rPr>
          <w:rFonts w:ascii="Cambria" w:hAnsi="Cambria" w:cs="Arial"/>
          <w:i/>
        </w:rPr>
        <w:fldChar w:fldCharType="end"/>
      </w:r>
      <w:r w:rsidRPr="00D7233E">
        <w:rPr>
          <w:rFonts w:ascii="Cambria" w:hAnsi="Cambria" w:cs="Arial"/>
          <w:i/>
        </w:rPr>
        <w:tab/>
      </w:r>
      <w:r w:rsidRPr="00531789">
        <w:rPr>
          <w:rFonts w:ascii="Cambria" w:hAnsi="Cambria" w:cs="Arial"/>
        </w:rPr>
        <w:t xml:space="preserve"> </w:t>
      </w:r>
      <w:r>
        <w:rPr>
          <w:rFonts w:ascii="Cambria" w:hAnsi="Cambria" w:cs="Arial"/>
        </w:rPr>
        <w:tab/>
      </w:r>
      <w:r w:rsidRPr="00531789">
        <w:rPr>
          <w:rFonts w:ascii="Cambria" w:hAnsi="Cambria" w:cs="Arial"/>
        </w:rPr>
        <w:t xml:space="preserve"> (Equation 3).</w:t>
      </w:r>
    </w:p>
    <w:p w14:paraId="03EB264C" w14:textId="77777777" w:rsidR="00DF4522" w:rsidRPr="00531789" w:rsidRDefault="00DF4522" w:rsidP="00DF4522">
      <w:pPr>
        <w:spacing w:line="360" w:lineRule="auto"/>
        <w:rPr>
          <w:rFonts w:ascii="Cambria" w:hAnsi="Cambria" w:cs="Arial"/>
        </w:rPr>
      </w:pPr>
    </w:p>
    <w:p w14:paraId="6F28D87F" w14:textId="77777777" w:rsidR="00DF4522" w:rsidRPr="00531789" w:rsidRDefault="00DF4522" w:rsidP="00DF4522">
      <w:pPr>
        <w:spacing w:line="360" w:lineRule="auto"/>
        <w:jc w:val="both"/>
        <w:rPr>
          <w:rFonts w:ascii="Cambria" w:hAnsi="Cambria"/>
        </w:rPr>
      </w:pPr>
      <w:r w:rsidRPr="00531789">
        <w:rPr>
          <w:rFonts w:ascii="Cambria" w:hAnsi="Cambria"/>
        </w:rPr>
        <w:t>Growth may now be defined in various ways according to the perspective adopted, but the central definition (Equation 3) is retained.  The different approaches to explaining growth focus attention on different primary limitations.</w:t>
      </w:r>
    </w:p>
    <w:p w14:paraId="0D066465" w14:textId="77777777" w:rsidR="00DF4522" w:rsidRPr="00531789" w:rsidRDefault="00DF4522" w:rsidP="00DF4522">
      <w:pPr>
        <w:spacing w:line="360" w:lineRule="auto"/>
        <w:jc w:val="both"/>
        <w:rPr>
          <w:rFonts w:ascii="Cambria" w:hAnsi="Cambria"/>
        </w:rPr>
      </w:pPr>
    </w:p>
    <w:p w14:paraId="49462BAA" w14:textId="77777777" w:rsidR="00DF4522" w:rsidRDefault="00DF4522" w:rsidP="00DF4522">
      <w:pPr>
        <w:spacing w:line="360" w:lineRule="auto"/>
        <w:jc w:val="both"/>
        <w:rPr>
          <w:rFonts w:ascii="Cambria" w:hAnsi="Cambria" w:cs="Arial"/>
          <w:b/>
        </w:rPr>
      </w:pPr>
    </w:p>
    <w:p w14:paraId="240602B5" w14:textId="77777777" w:rsidR="00DF4522" w:rsidRPr="00531789" w:rsidRDefault="00DF4522" w:rsidP="00DF4522">
      <w:pPr>
        <w:spacing w:line="360" w:lineRule="auto"/>
        <w:jc w:val="both"/>
        <w:rPr>
          <w:rFonts w:ascii="Cambria" w:hAnsi="Cambria" w:cs="Arial"/>
          <w:b/>
        </w:rPr>
      </w:pPr>
      <w:r w:rsidRPr="00531789">
        <w:rPr>
          <w:rFonts w:ascii="Cambria" w:hAnsi="Cambria" w:cs="Arial"/>
          <w:b/>
        </w:rPr>
        <w:t>Physiology</w:t>
      </w:r>
    </w:p>
    <w:p w14:paraId="15A2AD74" w14:textId="77777777" w:rsidR="00DF4522" w:rsidRPr="00531789" w:rsidRDefault="00DF4522" w:rsidP="00DF4522">
      <w:pPr>
        <w:spacing w:line="360" w:lineRule="auto"/>
        <w:jc w:val="both"/>
        <w:rPr>
          <w:rFonts w:ascii="Cambria" w:hAnsi="Cambria" w:cs="Arial"/>
          <w:b/>
        </w:rPr>
      </w:pPr>
    </w:p>
    <w:p w14:paraId="1CE4EA7F" w14:textId="77777777" w:rsidR="00DF4522" w:rsidRPr="00531789" w:rsidRDefault="00DF4522" w:rsidP="00DF4522">
      <w:pPr>
        <w:spacing w:line="360" w:lineRule="auto"/>
        <w:jc w:val="both"/>
        <w:rPr>
          <w:rFonts w:ascii="Cambria" w:hAnsi="Cambria"/>
        </w:rPr>
      </w:pPr>
      <w:r w:rsidRPr="00531789">
        <w:rPr>
          <w:rFonts w:ascii="Cambria" w:hAnsi="Cambria"/>
        </w:rPr>
        <w:t xml:space="preserve">The first approach is physiological: a flux balance of organic carbon for the plant based on the loss and acquisition of this essential resource to and from the atmosphere </w:t>
      </w:r>
      <w:r w:rsidRPr="0079342F">
        <w:rPr>
          <w:rFonts w:ascii="Cambria" w:hAnsi="Cambria"/>
          <w:i/>
        </w:rPr>
        <w:t>via</w:t>
      </w:r>
      <w:r w:rsidRPr="00531789">
        <w:rPr>
          <w:rFonts w:ascii="Cambria" w:hAnsi="Cambria"/>
        </w:rPr>
        <w:t xml:space="preserve"> the processes of photosynthesis and respiration </w:t>
      </w:r>
      <w:r w:rsidRPr="00531789">
        <w:rPr>
          <w:rFonts w:ascii="Cambria" w:hAnsi="Cambria"/>
        </w:rPr>
        <w:fldChar w:fldCharType="begin" w:fldLock="1"/>
      </w:r>
      <w:r>
        <w:rPr>
          <w:rFonts w:ascii="Cambria" w:hAnsi="Cambria"/>
        </w:rPr>
        <w:instrText>ADDIN CSL_CITATION { "citationItems" : [ { "id" : "ITEM-1", "itemData" : { "author" : [ { "dropping-particle" : "", "family" : "Poorter", "given" : "Hendrik", "non-dropping-particle" : "", "parse-names" : false, "suffix" : "" }, { "dropping-particle" : "", "family" : "Werf", "given" : "Adrie", "non-dropping-particle" : "van der", "parse-names" : false, "suffix" : "" } ], "container-title" : "Inherent variation in plant growth. Physiological mechanisms and ecological consequences.", "editor" : [ { "dropping-particle" : "", "family" : "Lambers", "given" : "H", "non-dropping-particle" : "", "parse-names" : false, "suffix" : "" }, { "dropping-particle" : "", "family" : "Poorter", "given" : "H", "non-dropping-particle" : "", "parse-names" : false, "suffix" : "" }, { "dropping-particle" : "", "family" : "Vuuren", "given" : "MMI", "non-dropping-particle" : "van", "parse-names" : false, "suffix" : "" } ], "id" : "ITEM-1", "issued" : { "date-parts" : [ [ "1998" ] ] }, "page" : "309-336", "publisher" : "Backhuys Publishers", "publisher-place" : "Leiden", "title" : "Is inherent variation in RGR determined by LAR at low irradiance and by NAR at high irradiance? A review of herbaceous species", "type" : "chapter" }, "uris" : [ "http://www.mendeley.com/documents/?uuid=567ae1e6-0f89-4e44-a8c6-1843807a5423" ] }, { "id" : "ITEM-2", "itemData" : { "author" : [ { "dropping-particle" : "", "family" : "Lambers", "given" : "H", "non-dropping-particle" : "", "parse-names" : false, "suffix" : "" }, { "dropping-particle" : "", "family" : "Freijsen", "given" : "N", "non-dropping-particle" : "", "parse-names" : false, "suffix" : "" }, { "dropping-particle" : "", "family" : "Poorter", "given" : "H", "non-dropping-particle" : "", "parse-names" : false, "suffix" : "" }, { "dropping-particle" : "", "family" : "Hirose", "given" : "T", "non-dropping-particle" : "", "parse-names" : false, "suffix" : "" }, { "dropping-particle" : "", "family" : "Werf", "given" : "A", "non-dropping-particle" : "Van der", "parse-names" : false, "suffix" : "" } ], "chapter-number" : "1", "container-title" : "Causes and Consequences of Variation in Growth Rate and Productivity of Higher Plants", "editor" : [ { "dropping-particle" : "", "family" : "Lambers", "given" : "H", "non-dropping-particle" : "", "parse-names" : false, "suffix" : "" }, { "dropping-particle" : "", "family" : "Cambridge", "given" : "ML", "non-dropping-particle" : "", "parse-names" : false, "suffix" : "" }, { "dropping-particle" : "", "family" : "Konings", "given" : "H", "non-dropping-particle" : "", "parse-names" : false, "suffix" : "" }, { "dropping-particle" : "", "family" : "Pons", "given" : "TL", "non-dropping-particle" : "", "parse-names" : false, "suffix" : "" } ], "id" : "ITEM-2", "issued" : { "date-parts" : [ [ "1989" ] ] }, "publisher" : "SPB Academic Publishing", "publisher-place" : "The Hague", "title" : "Analyses of growth based on net assimilation rate and nitrogen productivity. Their physiological background.", "type" : "chapter" }, "uris" : [ "http://www.mendeley.com/documents/?uuid=5694acc1-be72-4db4-820c-53b7f96db3ea" ] } ], "mendeley" : { "formattedCitation" : "(Lambers &lt;i&gt;et al.&lt;/i&gt;, 1989; Poorter and van der Werf, 1998)", "plainTextFormattedCitation" : "(Lambers et al., 1989; Poorter and van der Werf, 1998)", "previouslyFormattedCitation" : "(Lambers &lt;i&gt;et al.&lt;/i&gt;, 1989; Poorter and van der Werf, 1998)"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(Lambers </w:t>
      </w:r>
      <w:r w:rsidRPr="002C5907">
        <w:rPr>
          <w:rFonts w:ascii="Cambria" w:hAnsi="Cambria"/>
          <w:i/>
          <w:noProof/>
        </w:rPr>
        <w:t>et al.</w:t>
      </w:r>
      <w:r w:rsidRPr="002C5907">
        <w:rPr>
          <w:rFonts w:ascii="Cambria" w:hAnsi="Cambria"/>
          <w:noProof/>
        </w:rPr>
        <w:t>, 1989; Poorter and van der Werf, 1998)</w:t>
      </w:r>
      <w:r w:rsidRPr="00531789">
        <w:rPr>
          <w:rFonts w:ascii="Cambria" w:hAnsi="Cambria"/>
        </w:rPr>
        <w:fldChar w:fldCharType="end"/>
      </w:r>
      <w:r w:rsidRPr="00531789">
        <w:rPr>
          <w:rFonts w:ascii="Cambria" w:hAnsi="Cambria"/>
        </w:rPr>
        <w:t xml:space="preserve">.  </w:t>
      </w:r>
    </w:p>
    <w:p w14:paraId="1504DC30" w14:textId="77777777" w:rsidR="00DF4522" w:rsidRPr="00531789" w:rsidRDefault="00DF4522" w:rsidP="00DF4522">
      <w:pPr>
        <w:spacing w:line="360" w:lineRule="auto"/>
        <w:jc w:val="both"/>
        <w:rPr>
          <w:rFonts w:ascii="Cambria" w:hAnsi="Cambria"/>
        </w:rPr>
      </w:pPr>
    </w:p>
    <w:p w14:paraId="767FCCF0" w14:textId="77777777" w:rsidR="00DF4522" w:rsidRPr="00531789" w:rsidRDefault="00DF4522" w:rsidP="00DF4522">
      <w:pPr>
        <w:spacing w:line="360" w:lineRule="auto"/>
        <w:jc w:val="both"/>
        <w:rPr>
          <w:rFonts w:ascii="Cambria" w:hAnsi="Cambria"/>
        </w:rPr>
      </w:pPr>
      <w:r w:rsidRPr="00531789">
        <w:rPr>
          <w:rFonts w:ascii="Cambria" w:hAnsi="Cambria"/>
        </w:rPr>
        <w:t xml:space="preserve">This carbon-based balance viewpoint on growth is adopted widely in crop production models and in Ecosystem and Earth System Models (EESMs) which simulate the physical properties and carbon exchange of the vegetated land surface </w:t>
      </w:r>
      <w:r w:rsidRPr="00531789">
        <w:rPr>
          <w:rFonts w:ascii="Cambria" w:hAnsi="Cambria"/>
        </w:rPr>
        <w:fldChar w:fldCharType="begin" w:fldLock="1"/>
      </w:r>
      <w:r>
        <w:rPr>
          <w:rFonts w:ascii="Cambria" w:hAnsi="Cambria"/>
        </w:rPr>
        <w:instrText>ADDIN CSL_CITATION { "citationItems" : [ { "id" : "ITEM-1", "itemData" : { "author" : [ { "dropping-particle" : "", "family" : "Knorr", "given" : "W", "non-dropping-particle" : "", "parse-names" : false, "suffix" : "" } ], "container-title" : "Global Ecology and Biogeography", "id" : "ITEM-1", "issued" : { "date-parts" : [ [ "2000" ] ] }, "page" : "225-252", "title" : "Annual and interannual CO2 exchanges of the terrestrial biosphere: process-based simulations and uncertainties", "type" : "article-journal", "volume" : "9" }, "uris" : [ "http://www.mendeley.com/documents/?uuid=8adfc7e9-3180-4491-a8df-cc5105e9bfd6" ] }, { "id" : "ITEM-2", "itemData" : { "DOI" : "10.1046/j.1365-2486.2003.00569.x", "ISSN" : "1354-1013", "author" : [ { "dropping-particle" : "", "family" : "Sitch", "given" : "S.", "non-dropping-particle" : "", "parse-names" : false, "suffix" : "" }, { "dropping-particle" : "", "family" : "Smith", "given" : "B.", "non-dropping-particle" : "", "parse-names" : false, "suffix" : "" }, { "dropping-particle" : "", "family" : "Prentice", "given" : "I. C.", "non-dropping-particle" : "", "parse-names" : false, "suffix" : "" }, { "dropping-particle" : "", "family" : "Arneth", "given" : "a.", "non-dropping-particle" : "", "parse-names" : false, "suffix" : "" }, { "dropping-particle" : "", "family" : "Bondeau", "given" : "a.", "non-dropping-particle" : "", "parse-names" : false, "suffix" : "" }, { "dropping-particle" : "", "family" : "Cramer", "given" : "W.", "non-dropping-particle" : "", "parse-names" : false, "suffix" : "" }, { "dropping-particle" : "", "family" : "Kaplan", "given" : "J. O.", "non-dropping-particle" : "", "parse-names" : false, "suffix" : "" }, { "dropping-particle" : "", "family" : "Levis", "given" : "S.", "non-dropping-particle" : "", "parse-names" : false, "suffix" : "" }, { "dropping-particle" : "", "family" : "Lucht", "given" : "W.", "non-dropping-particle" : "", "parse-names" : false, "suffix" : "" }, { "dropping-particle" : "", "family" : "Sykes", "given" : "M. T.", "non-dropping-particle" : "", "parse-names" : false, "suffix" : "" }, { "dropping-particle" : "", "family" : "Thonicke", "given" : "K.", "non-dropping-particle" : "", "parse-names" : false, "suffix" : "" }, { "dropping-particle" : "", "family" : "Venevsky", "given" : "S.", "non-dropping-particle" : "", "parse-names" : false, "suffix" : "" } ], "container-title" : "Global Change Biology", "id" : "ITEM-2", "issue" : "2", "issued" : { "date-parts" : [ [ "2003", "2" ] ] }, "page" : "161-185", "title" : "Evaluation of ecosystem dynamics, plant geography and terrestrial carbon cycling in the LPJ dynamic global vegetation model", "type" : "article-journal", "volume" : "9" }, "uris" : [ "http://www.mendeley.com/documents/?uuid=5b09e2aa-4ac1-442c-84a8-dd91aa58fe62" ] }, { "id" : "ITEM-3", "itemData" : { "DOI" : "10.1029/2005JD006252", "ISSN" : "0148-0227", "author" : [ { "dropping-particle" : "", "family" : "Lu", "given" : "Jianhua", "non-dropping-particle" : "", "parse-names" : false, "suffix" : "" }, { "dropping-particle" : "", "family" : "Ji", "given" : "Jinjun", "non-dropping-particle" : "", "parse-names" : false, "suffix" : "" } ], "container-title" : "Journal of Geophysical Research", "id" : "ITEM-3", "issue" : "D9", "issued" : { "date-parts" : [ [ "2006" ] ] }, "title" : "A simulation and mechanism analysis of long-term variations at land surface over arid/semi-arid area in north China", "type" : "article-journal", "volume" : "111" }, "uris" : [ "http://www.mendeley.com/documents/?uuid=2c92b96b-03d7-4b38-929e-cd53d377f491" ] }, { "id" : "ITEM-4", "itemData" : { "DOI" : "10.1029/2009GB003521", "ISBN" : "0886-6236", "ISSN" : "0886-6236", "abstract" : "Nitrogen (N) availability plays a key role in terrestrial biosphere dynamics. To understand and quantify the role of terrestrial N in the Earth system, we developed an advanced terrestrial biogeochemical model O-CN that mechanistically couples terrestrial energy, water, carbon, and nitrogen fluxes in terrestrial ecosystems. We evaluate this new model against observations from intensive forest monitoring plots at temperate and boreal locations in Europe. O-CN simulates realistic foliage N concentrations and N cycling rates and reproduces observed diurnal and seasonal cycles of C fluxes as well as observed gradients in vegetation productivity with N availability for the forest sites studied. A sensitivity test reveals that these results are reasonably robust against uncertainties in model parameter estimates. Using this model we quantify the likely contribution of anthropogenic N deposition to present ecosystem C sequestration as 36 (range: 2-79) g C g (-1) N in agreement with ecosystem manipulation studies.", "author" : [ { "dropping-particle" : "", "family" : "Zaehle", "given" : "S.", "non-dropping-particle" : "", "parse-names" : false, "suffix" : "" }, { "dropping-particle" : "", "family" : "Friend", "given" : "A. D.", "non-dropping-particle" : "", "parse-names" : false, "suffix" : "" } ], "container-title" : "Global Biogeochemical Cycles", "id" : "ITEM-4", "issued" : { "date-parts" : [ [ "2010" ] ] }, "page" : "DOI: 10.1029/2009GB003522", "title" : "Carbon and nitrogen cycle dynamics in the O-CN land surface model: 1. Model description, site-scale evaluation, and sensitivity to parameter estimates", "type" : "article-journal", "volume" : "24" }, "uris" : [ "http://www.mendeley.com/documents/?uuid=4aa94ba6-bd09-4517-ad58-d9146a5bba65" ] } ], "mendeley" : { "formattedCitation" : "(Knorr, 2000; Sitch &lt;i&gt;et al.&lt;/i&gt;, 2003; Lu and Ji, 2006; Zaehle and Friend, 2010)", "manualFormatting" : "(e.g. Knorr, 2000; Sitch et al., 2003; Lu and Ji, 2006; Zaehle and Friend, 2010)", "plainTextFormattedCitation" : "(Knorr, 2000; Sitch et al., 2003; Lu and Ji, 2006; Zaehle and Friend, 2010)", "previouslyFormattedCitation" : "(Knorr, 2000; Sitch &lt;i&gt;et al.&lt;/i&gt;, 2003; Lu and Ji, 2006; Zaehle and Friend, 2010)"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 xml:space="preserve">(e.g. Knorr, 2000; Sitch </w:t>
      </w:r>
      <w:r w:rsidRPr="00531789">
        <w:rPr>
          <w:rFonts w:ascii="Cambria" w:hAnsi="Cambria"/>
          <w:i/>
          <w:noProof/>
        </w:rPr>
        <w:t>et al.</w:t>
      </w:r>
      <w:r w:rsidRPr="00531789">
        <w:rPr>
          <w:rFonts w:ascii="Cambria" w:hAnsi="Cambria"/>
          <w:noProof/>
        </w:rPr>
        <w:t>, 2003; Lu and Ji, 2006; Zaehle and Friend, 2010)</w:t>
      </w:r>
      <w:r w:rsidRPr="00531789">
        <w:rPr>
          <w:rFonts w:ascii="Cambria" w:hAnsi="Cambria"/>
        </w:rPr>
        <w:fldChar w:fldCharType="end"/>
      </w:r>
      <w:r w:rsidRPr="00531789">
        <w:rPr>
          <w:rFonts w:ascii="Cambria" w:hAnsi="Cambria"/>
        </w:rPr>
        <w:t xml:space="preserve"> and are ultimately used to project future global change </w:t>
      </w:r>
      <w:r w:rsidRPr="00531789">
        <w:rPr>
          <w:rFonts w:ascii="Cambria" w:hAnsi="Cambria"/>
        </w:rPr>
        <w:fldChar w:fldCharType="begin" w:fldLock="1"/>
      </w:r>
      <w:r>
        <w:rPr>
          <w:rFonts w:ascii="Cambria" w:hAnsi="Cambria"/>
        </w:rPr>
        <w:instrText>ADDIN CSL_CITATION { "citationItems" : [ { "id" : "ITEM-1", "itemData" : { "author" : [ { "dropping-particle" : "", "family" : "IPCC", "given" : "", "non-dropping-particle" : "", "parse-names" : false, "suffix" : "" } ], "id" : "ITEM-1", "issued" : { "date-parts" : [ [ "2014" ] ] }, "title" : "Climate Change 2014: Synthesis Report. Contribution of Working Groups I, II and III to the Fifth Assessment Report of the Intergovernmental Panel on Climate Change [Core Writing Team, R.K. Pachauri and L.A. Meyer (eds.)]. IPCC, Geneva, Switzerland, 151 pp", "type" : "report" }, "uris" : [ "http://www.mendeley.com/documents/?uuid=1fe05ae4-72bb-4ae4-a22d-cd54d165d009" ] }, { "id" : "ITEM-2", "itemData" : { "author" : [ { "dropping-particle" : "", "family" : "Friedlingstein", "given" : "P", "non-dropping-particle" : "", "parse-names" : false, "suffix" : "" }, { "dropping-particle" : "", "family" : "Meinshausen", "given" : "M", "non-dropping-particle" : "", "parse-names" : false, "suffix" : "" }, { "dropping-particle" : "", "family" : "Arora", "given" : "VK", "non-dropping-particle" : "", "parse-names" : false, "suffix" : "" }, { "dropping-particle" : "", "family" : "Jones", "given" : "CD", "non-dropping-particle" : "", "parse-names" : false, "suffix" : "" }, { "dropping-particle" : "", "family" : "Anav", "given" : "A", "non-dropping-particle" : "", "parse-names" : false, "suffix" : "" }, { "dropping-particle" : "", "family" : "Liddicoat", "given" : "SK", "non-dropping-particle" : "", "parse-names" : false, "suffix" : "" }, { "dropping-particle" : "", "family" : "Knutti", "given" : "R", "non-dropping-particle" : "", "parse-names" : false, "suffix" : "" } ], "container-title" : "Journal of Climate", "id" : "ITEM-2", "issued" : { "date-parts" : [ [ "2014" ] ] }, "page" : "511-526", "title" : "Uncertainties in CMIP5 climate projections due to carbon cycle feedbacks.", "type" : "article-journal", "volume" : "27" }, "uris" : [ "http://www.mendeley.com/documents/?uuid=32348de1-e669-4229-90be-fc21e5caa0fb" ] } ], "mendeley" : { "formattedCitation" : "(Friedlingstein &lt;i&gt;et al.&lt;/i&gt;, 2014; IPCC, 2014)", "plainTextFormattedCitation" : "(Friedlingstein et al., 2014; IPCC, 2014)", "previouslyFormattedCitation" : "(Friedlingstein &lt;i&gt;et al.&lt;/i&gt;, 2014; IPCC, 2014)"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(Friedlingstein </w:t>
      </w:r>
      <w:r w:rsidRPr="002C5907">
        <w:rPr>
          <w:rFonts w:ascii="Cambria" w:hAnsi="Cambria"/>
          <w:i/>
          <w:noProof/>
        </w:rPr>
        <w:t>et al.</w:t>
      </w:r>
      <w:r w:rsidRPr="002C5907">
        <w:rPr>
          <w:rFonts w:ascii="Cambria" w:hAnsi="Cambria"/>
          <w:noProof/>
        </w:rPr>
        <w:t>, 2014; IPCC, 2014)</w:t>
      </w:r>
      <w:r w:rsidRPr="00531789">
        <w:rPr>
          <w:rFonts w:ascii="Cambria" w:hAnsi="Cambria"/>
        </w:rPr>
        <w:fldChar w:fldCharType="end"/>
      </w:r>
      <w:r w:rsidRPr="00531789">
        <w:rPr>
          <w:rFonts w:ascii="Cambria" w:hAnsi="Cambria"/>
        </w:rPr>
        <w:t>.  This flux balance approach expresses the AGR as the difference between photosynthesis and respiration:</w:t>
      </w:r>
    </w:p>
    <w:p w14:paraId="1FE61989" w14:textId="77777777" w:rsidR="00DF4522" w:rsidRPr="00531789" w:rsidRDefault="00DF4522" w:rsidP="00DF4522">
      <w:pPr>
        <w:spacing w:line="360" w:lineRule="auto"/>
        <w:jc w:val="both"/>
        <w:rPr>
          <w:rFonts w:ascii="Cambria" w:hAnsi="Cambria" w:cs="Arial"/>
        </w:rPr>
      </w:pPr>
    </w:p>
    <w:p w14:paraId="596E6A78" w14:textId="77777777" w:rsidR="00DF4522" w:rsidRPr="00531789" w:rsidRDefault="00E104AE" w:rsidP="00DF4522">
      <w:pPr>
        <w:spacing w:line="360" w:lineRule="auto"/>
        <w:jc w:val="right"/>
        <w:rPr>
          <w:rFonts w:ascii="Cambria" w:hAnsi="Cambria" w:cs="Arial"/>
        </w:rPr>
      </w:pPr>
      <m:oMath>
        <m:f>
          <m:fPr>
            <m:ctrlPr>
              <w:rPr>
                <w:rFonts w:ascii="Cambria Math" w:hAnsi="Cambria Math" w:cs="Arial"/>
                <w:i/>
              </w:rPr>
            </m:ctrlPr>
          </m:fPr>
          <m:num>
            <m:r>
              <w:rPr>
                <w:rFonts w:ascii="Cambria Math" w:hAnsi="Cambria Math" w:cs="Arial"/>
              </w:rPr>
              <m:t>d</m:t>
            </m:r>
            <m:sSub>
              <m:sSubPr>
                <m:ctrlPr>
                  <w:rPr>
                    <w:rFonts w:ascii="Cambria Math" w:hAnsi="Cambria Math" w:cs="Arial"/>
                    <w:i/>
                  </w:rPr>
                </m:ctrlPr>
              </m:sSubPr>
              <m:e>
                <m:r>
                  <w:rPr>
                    <w:rFonts w:ascii="Cambria Math" w:hAnsi="Cambria Math" w:cs="Arial"/>
                  </w:rPr>
                  <m:t>W</m:t>
                </m:r>
              </m:e>
              <m:sub>
                <m:r>
                  <w:rPr>
                    <w:rFonts w:ascii="Cambria Math" w:hAnsi="Cambria Math" w:cs="Arial"/>
                  </w:rPr>
                  <m:t>P</m:t>
                </m:r>
              </m:sub>
            </m:sSub>
          </m:num>
          <m:den>
            <m:r>
              <w:rPr>
                <w:rFonts w:ascii="Cambria Math" w:hAnsi="Cambria Math" w:cs="Arial"/>
              </w:rPr>
              <m:t>dt</m:t>
            </m:r>
          </m:den>
        </m:f>
        <m:r>
          <w:rPr>
            <w:rFonts w:ascii="Cambria Math" w:hAnsi="Cambria Math" w:cs="Arial"/>
          </w:rPr>
          <m:t xml:space="preserve">=A . </m:t>
        </m:r>
        <m:sSub>
          <m:sSubPr>
            <m:ctrlPr>
              <w:rPr>
                <w:rFonts w:ascii="Cambria Math" w:hAnsi="Cambria Math" w:cs="Arial"/>
                <w:i/>
              </w:rPr>
            </m:ctrlPr>
          </m:sSubPr>
          <m:e>
            <m:r>
              <w:rPr>
                <w:rFonts w:ascii="Cambria Math" w:hAnsi="Cambria Math" w:cs="Arial"/>
              </w:rPr>
              <m:t>W</m:t>
            </m:r>
          </m:e>
          <m:sub>
            <m:r>
              <w:rPr>
                <w:rFonts w:ascii="Cambria Math" w:hAnsi="Cambria Math" w:cs="Arial"/>
              </w:rPr>
              <m:t>L</m:t>
            </m:r>
          </m:sub>
        </m:sSub>
        <m:r>
          <w:rPr>
            <w:rFonts w:ascii="Cambria Math" w:hAnsi="Cambria Math" w:cs="Arial"/>
          </w:rPr>
          <m:t xml:space="preserve">-R. </m:t>
        </m:r>
        <m:sSub>
          <m:sSubPr>
            <m:ctrlPr>
              <w:rPr>
                <w:rFonts w:ascii="Cambria Math" w:hAnsi="Cambria Math" w:cs="Arial"/>
                <w:i/>
              </w:rPr>
            </m:ctrlPr>
          </m:sSubPr>
          <m:e>
            <m:r>
              <w:rPr>
                <w:rFonts w:ascii="Cambria Math" w:hAnsi="Cambria Math" w:cs="Arial"/>
              </w:rPr>
              <m:t>W</m:t>
            </m:r>
          </m:e>
          <m:sub>
            <m:r>
              <w:rPr>
                <w:rFonts w:ascii="Cambria Math" w:hAnsi="Cambria Math" w:cs="Arial"/>
              </w:rPr>
              <m:t>P</m:t>
            </m:r>
          </m:sub>
        </m:sSub>
      </m:oMath>
      <w:r w:rsidR="00DF4522" w:rsidRPr="00531789">
        <w:rPr>
          <w:rFonts w:ascii="Cambria" w:hAnsi="Cambria" w:cs="Arial"/>
        </w:rPr>
        <w:t xml:space="preserve">      </w:t>
      </w:r>
      <w:r w:rsidR="00DF4522" w:rsidRPr="00531789">
        <w:rPr>
          <w:rFonts w:ascii="Cambria" w:hAnsi="Cambria" w:cs="Arial"/>
        </w:rPr>
        <w:tab/>
      </w:r>
      <w:r w:rsidR="00DF4522" w:rsidRPr="00531789">
        <w:rPr>
          <w:rFonts w:ascii="Cambria" w:hAnsi="Cambria" w:cs="Arial"/>
        </w:rPr>
        <w:tab/>
      </w:r>
      <w:r w:rsidR="00DF4522" w:rsidRPr="00531789">
        <w:rPr>
          <w:rFonts w:ascii="Cambria" w:hAnsi="Cambria" w:cs="Arial"/>
        </w:rPr>
        <w:tab/>
        <w:t>(Equation 4a),</w:t>
      </w:r>
    </w:p>
    <w:p w14:paraId="7BF7654B" w14:textId="77777777" w:rsidR="00DF4522" w:rsidRPr="00531789" w:rsidRDefault="00DF4522" w:rsidP="00DF4522">
      <w:pPr>
        <w:spacing w:line="360" w:lineRule="auto"/>
        <w:rPr>
          <w:rFonts w:ascii="Cambria" w:hAnsi="Cambria" w:cs="Arial"/>
        </w:rPr>
      </w:pPr>
      <w:r w:rsidRPr="00531789">
        <w:rPr>
          <w:rFonts w:ascii="Cambria" w:hAnsi="Cambria" w:cs="Arial"/>
        </w:rPr>
        <w:tab/>
      </w:r>
      <w:r w:rsidRPr="00531789">
        <w:rPr>
          <w:rFonts w:ascii="Cambria" w:hAnsi="Cambria" w:cs="Arial"/>
        </w:rPr>
        <w:tab/>
      </w:r>
      <w:r w:rsidRPr="00531789">
        <w:rPr>
          <w:rFonts w:ascii="Cambria" w:hAnsi="Cambria" w:cs="Arial"/>
        </w:rPr>
        <w:tab/>
      </w:r>
      <w:r w:rsidRPr="00531789">
        <w:rPr>
          <w:rFonts w:ascii="Cambria" w:hAnsi="Cambria" w:cs="Arial"/>
        </w:rPr>
        <w:tab/>
      </w:r>
      <w:r w:rsidRPr="00531789">
        <w:rPr>
          <w:rFonts w:ascii="Cambria" w:hAnsi="Cambria" w:cs="Arial"/>
        </w:rPr>
        <w:tab/>
      </w:r>
      <w:r w:rsidRPr="00531789">
        <w:rPr>
          <w:rFonts w:ascii="Cambria" w:hAnsi="Cambria" w:cs="Arial"/>
        </w:rPr>
        <w:tab/>
      </w:r>
      <w:r w:rsidRPr="00531789">
        <w:rPr>
          <w:rFonts w:ascii="Cambria" w:hAnsi="Cambria" w:cs="Arial"/>
        </w:rPr>
        <w:tab/>
      </w:r>
      <w:r w:rsidRPr="00531789">
        <w:rPr>
          <w:rFonts w:ascii="Cambria" w:hAnsi="Cambria" w:cs="Arial"/>
        </w:rPr>
        <w:tab/>
      </w:r>
      <w:r w:rsidRPr="00531789">
        <w:rPr>
          <w:rFonts w:ascii="Cambria" w:hAnsi="Cambria" w:cs="Arial"/>
        </w:rPr>
        <w:tab/>
      </w:r>
      <w:r w:rsidRPr="00531789">
        <w:rPr>
          <w:rFonts w:ascii="Cambria" w:hAnsi="Cambria" w:cs="Arial"/>
        </w:rPr>
        <w:tab/>
      </w:r>
    </w:p>
    <w:p w14:paraId="5CF5D712" w14:textId="77777777" w:rsidR="00DF4522" w:rsidRPr="00531789" w:rsidRDefault="00DF4522" w:rsidP="00DF4522">
      <w:pPr>
        <w:spacing w:line="360" w:lineRule="auto"/>
        <w:rPr>
          <w:rFonts w:ascii="Cambria" w:hAnsi="Cambria" w:cs="Arial"/>
        </w:rPr>
      </w:pPr>
    </w:p>
    <w:p w14:paraId="5E48ABDF"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where </w:t>
      </w:r>
      <w:r w:rsidRPr="00531789">
        <w:rPr>
          <w:rFonts w:ascii="Cambria" w:hAnsi="Cambria" w:cs="Arial"/>
          <w:i/>
        </w:rPr>
        <w:t xml:space="preserve">A </w:t>
      </w:r>
      <w:r w:rsidRPr="00531789">
        <w:rPr>
          <w:rFonts w:ascii="Cambria" w:hAnsi="Cambria" w:cs="Arial"/>
        </w:rPr>
        <w:t>is gross photosynthetic carbon uptake in g C day</w:t>
      </w:r>
      <w:r w:rsidRPr="00531789">
        <w:rPr>
          <w:rFonts w:ascii="Cambria" w:hAnsi="Cambria" w:cs="Arial"/>
          <w:vertAlign w:val="superscript"/>
        </w:rPr>
        <w:t>-1</w:t>
      </w:r>
      <w:r w:rsidRPr="00531789">
        <w:rPr>
          <w:rFonts w:ascii="Cambria" w:hAnsi="Cambria" w:cs="Arial"/>
        </w:rPr>
        <w:t xml:space="preserve"> g</w:t>
      </w:r>
      <w:r w:rsidRPr="00531789">
        <w:rPr>
          <w:rFonts w:ascii="Cambria" w:hAnsi="Cambria" w:cs="Arial"/>
          <w:vertAlign w:val="superscript"/>
        </w:rPr>
        <w:t>-1</w:t>
      </w:r>
      <w:r w:rsidRPr="00531789">
        <w:rPr>
          <w:rFonts w:ascii="Cambria" w:hAnsi="Cambria" w:cs="Arial"/>
        </w:rPr>
        <w:t xml:space="preserve"> leaf mass, </w:t>
      </w:r>
      <w:r w:rsidRPr="00531789">
        <w:rPr>
          <w:rFonts w:ascii="Cambria" w:hAnsi="Cambria" w:cs="Arial"/>
          <w:i/>
        </w:rPr>
        <w:t>W</w:t>
      </w:r>
      <w:r w:rsidRPr="00531789">
        <w:rPr>
          <w:rFonts w:ascii="Cambria" w:hAnsi="Cambria" w:cs="Arial"/>
          <w:i/>
          <w:vertAlign w:val="subscript"/>
        </w:rPr>
        <w:t>L</w:t>
      </w:r>
      <w:r w:rsidRPr="00531789">
        <w:rPr>
          <w:rFonts w:ascii="Cambria" w:hAnsi="Cambria" w:cs="Arial"/>
          <w:i/>
        </w:rPr>
        <w:t xml:space="preserve"> </w:t>
      </w:r>
      <w:r w:rsidRPr="00531789">
        <w:rPr>
          <w:rFonts w:ascii="Cambria" w:hAnsi="Cambria" w:cs="Arial"/>
        </w:rPr>
        <w:t xml:space="preserve">is total leaf mass (g), and </w:t>
      </w:r>
      <w:r w:rsidRPr="00531789">
        <w:rPr>
          <w:rFonts w:ascii="Cambria" w:hAnsi="Cambria" w:cs="Arial"/>
          <w:i/>
        </w:rPr>
        <w:t xml:space="preserve">R </w:t>
      </w:r>
      <w:r w:rsidRPr="00531789">
        <w:rPr>
          <w:rFonts w:ascii="Cambria" w:hAnsi="Cambria" w:cs="Arial"/>
        </w:rPr>
        <w:t>is respiratory carbon loss in g C day</w:t>
      </w:r>
      <w:r w:rsidRPr="00531789">
        <w:rPr>
          <w:rFonts w:ascii="Cambria" w:hAnsi="Cambria" w:cs="Arial"/>
          <w:vertAlign w:val="superscript"/>
        </w:rPr>
        <w:t>-1</w:t>
      </w:r>
      <w:r w:rsidRPr="00531789">
        <w:rPr>
          <w:rFonts w:ascii="Cambria" w:hAnsi="Cambria" w:cs="Arial"/>
        </w:rPr>
        <w:t xml:space="preserve"> g</w:t>
      </w:r>
      <w:r w:rsidRPr="00531789">
        <w:rPr>
          <w:rFonts w:ascii="Cambria" w:hAnsi="Cambria" w:cs="Arial"/>
          <w:vertAlign w:val="superscript"/>
        </w:rPr>
        <w:t>-1</w:t>
      </w:r>
      <w:r w:rsidRPr="00531789">
        <w:rPr>
          <w:rFonts w:ascii="Cambria" w:hAnsi="Cambria" w:cs="Arial"/>
        </w:rPr>
        <w:t xml:space="preserve"> plant mass.  Note that not all of the inorganic carbon captured by photosynthesis is converted to biomass, and so </w:t>
      </w:r>
      <w:r w:rsidRPr="00531789">
        <w:rPr>
          <w:rFonts w:ascii="Cambria" w:hAnsi="Cambria" w:cs="Arial"/>
          <w:i/>
        </w:rPr>
        <w:t>R</w:t>
      </w:r>
      <w:r w:rsidRPr="00531789">
        <w:rPr>
          <w:rFonts w:ascii="Cambria" w:hAnsi="Cambria" w:cs="Arial"/>
        </w:rPr>
        <w:t xml:space="preserve"> includes the metabolic costs of biosynthesis, translocation, exudation, and the uptake and assimilation of nitrogen needed for growth (“growth respiration”), as well as those associated with maintaining existing tissues (“maintenance respiration”) </w:t>
      </w:r>
      <w:r w:rsidRPr="00531789">
        <w:rPr>
          <w:rFonts w:ascii="Cambria" w:hAnsi="Cambria" w:cs="Arial"/>
        </w:rPr>
        <w:fldChar w:fldCharType="begin" w:fldLock="1"/>
      </w:r>
      <w:r w:rsidRPr="00531789">
        <w:rPr>
          <w:rFonts w:ascii="Cambria" w:hAnsi="Cambria" w:cs="Arial"/>
        </w:rPr>
        <w:instrText>ADDIN CSL_CITATION { "citationItems" : [ { "id" : "ITEM-1", "itemData" : { "DOI" : "10.1006/anbo.2000.1175", "ISBN" : "0305-7364", "ISSN" : "03057364", "PMID" : "3330", "abstract" : "To grow, an organism must respire substrates to produce C-skeleton intermediates, usable energy (i.e. ATP), and reducing power [i.e. NAD(P)H] to support biosynthesis and related processes such as active transport of substrates. Respiration is also needed--mainly as a supplier of ATP--to maintain existing biomass in a functional state. As a result, quantifying links between respiration, growth, and maintenance are needed to assess potential plant productivity, to understand plant responses to environmental factors, and as the basis of cost-benefit analyses of alternative uses of photosynthate. Beginning 30 years ago, and continuing for about 5 years, rapid advances were made in understanding and quantifying relationships between respiration and the processes it supports. Progress has continued since then, though often as refinements rather than novel advances. The simplest framework (i.e. paradigm) for relating respiration to other processes divides respiration into growth and maintenance fractions. This often involves a combination of empiricism and mechanism. A three-component framework (growth, maintenance and wastage) has also been considered, although quantifying wastage (theoretically or empirically) remains problematic. The more general and flexible framework, called the general paradigm(GP, herein), relates respiration to any number of individual processes that it supports. The most important processes (from C and energy balance perspectives) identified to date that require respiration are: biosynthesis of new structural biomass, translocation of photosynthate from sources to sinks, uptake of ions from the soil solution, assimilation of N (including N2) and S into organic compounds, protein turnover, and cellular ion-gradient maintenance. In addition, some part of respiration may be associated with wastage (e.g. futile cycles and mitochondrial electron transport uncoupled from oxidative phosphorylation). Most importantly, the GP can (semi-)mechanistically relate respiration to underlying physiology and biochemistry. The GP is more complicated than other approaches to describing or modelling respiration because it is more realistic, complete and mechanistic. This review describes a history of the GP and its present state. Future research questions are suggested. Copyright 2000 Annals of Botany Company", "author" : [ { "dropping-particle" : "", "family" : "Amthor", "given" : "Jeffrey S", "non-dropping-particle" : "", "parse-names" : false, "suffix" : "" } ], "container-title" : "Annals of Botany", "id" : "ITEM-1", "issued" : { "date-parts" : [ [ "2000" ] ] }, "page" : "1-20", "title" : "The McCree-de Wit-Penning de Vries-Thornley Respiration Paradigms: 30 Years Later", "type" : "article-journal", "volume" : "86" }, "uris" : [ "http://www.mendeley.com/documents/?uuid=411be5e8-98e3-4962-ba6a-f00619a25e01" ] } ], "mendeley" : { "formattedCitation" : "(Amthor, 2000)", "manualFormatting" : "(reviewed by Amthor, 2000)", "plainTextFormattedCitation" : "(Amthor, 2000)", "previouslyFormattedCitation" : "(Amthor, 2000)"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(reviewed by Amthor, 2000)</w:t>
      </w:r>
      <w:r w:rsidRPr="00531789">
        <w:rPr>
          <w:rFonts w:ascii="Cambria" w:hAnsi="Cambria" w:cs="Arial"/>
        </w:rPr>
        <w:fldChar w:fldCharType="end"/>
      </w:r>
      <w:r w:rsidRPr="00531789">
        <w:rPr>
          <w:rFonts w:ascii="Cambria" w:hAnsi="Cambria" w:cs="Arial"/>
        </w:rPr>
        <w:t>.</w:t>
      </w:r>
    </w:p>
    <w:p w14:paraId="24F67E27" w14:textId="77777777" w:rsidR="00DF4522" w:rsidRPr="00531789" w:rsidRDefault="00DF4522" w:rsidP="00DF4522">
      <w:pPr>
        <w:spacing w:line="360" w:lineRule="auto"/>
        <w:jc w:val="both"/>
        <w:rPr>
          <w:rFonts w:ascii="Cambria" w:hAnsi="Cambria" w:cs="Arial"/>
        </w:rPr>
      </w:pPr>
    </w:p>
    <w:p w14:paraId="1F52667A" w14:textId="77777777" w:rsidR="00DF4522" w:rsidRPr="00531789" w:rsidRDefault="00DF4522" w:rsidP="00DF4522">
      <w:pPr>
        <w:spacing w:line="360" w:lineRule="auto"/>
        <w:jc w:val="both"/>
        <w:rPr>
          <w:rFonts w:ascii="Cambria" w:hAnsi="Cambria" w:cs="Arial"/>
        </w:rPr>
      </w:pPr>
      <w:r w:rsidRPr="00531789">
        <w:rPr>
          <w:rFonts w:ascii="Cambria" w:hAnsi="Cambria" w:cs="Arial"/>
        </w:rPr>
        <w:t>Respiration may be partitioned between photosynthetic and non-photosynthetic tissues:</w:t>
      </w:r>
    </w:p>
    <w:p w14:paraId="373214A9" w14:textId="77777777" w:rsidR="00DF4522" w:rsidRPr="00531789" w:rsidRDefault="00DF4522" w:rsidP="00DF4522">
      <w:pPr>
        <w:spacing w:line="360" w:lineRule="auto"/>
        <w:rPr>
          <w:rFonts w:ascii="Cambria" w:hAnsi="Cambria" w:cs="Arial"/>
        </w:rPr>
      </w:pPr>
      <w:r w:rsidRPr="00531789">
        <w:rPr>
          <w:rFonts w:ascii="Cambria" w:hAnsi="Cambria" w:cs="Arial"/>
        </w:rPr>
        <w:t xml:space="preserve">    </w:t>
      </w:r>
    </w:p>
    <w:p w14:paraId="174F7608" w14:textId="77777777" w:rsidR="00DF4522" w:rsidRPr="00531789" w:rsidRDefault="00E104AE" w:rsidP="00DF4522">
      <w:pPr>
        <w:spacing w:line="360" w:lineRule="auto"/>
        <w:jc w:val="right"/>
        <w:rPr>
          <w:rFonts w:ascii="Cambria" w:hAnsi="Cambria" w:cs="Arial"/>
        </w:rPr>
      </w:pPr>
      <m:oMath>
        <m:f>
          <m:fPr>
            <m:ctrlPr>
              <w:rPr>
                <w:rFonts w:ascii="Cambria Math" w:hAnsi="Cambria Math" w:cs="Arial"/>
                <w:i/>
              </w:rPr>
            </m:ctrlPr>
          </m:fPr>
          <m:num>
            <m:r>
              <w:rPr>
                <w:rFonts w:ascii="Cambria Math" w:hAnsi="Cambria Math" w:cs="Arial"/>
              </w:rPr>
              <m:t>d</m:t>
            </m:r>
            <m:sSub>
              <m:sSubPr>
                <m:ctrlPr>
                  <w:rPr>
                    <w:rFonts w:ascii="Cambria Math" w:hAnsi="Cambria Math" w:cs="Arial"/>
                    <w:i/>
                  </w:rPr>
                </m:ctrlPr>
              </m:sSubPr>
              <m:e>
                <m:r>
                  <w:rPr>
                    <w:rFonts w:ascii="Cambria Math" w:hAnsi="Cambria Math" w:cs="Arial"/>
                  </w:rPr>
                  <m:t>W</m:t>
                </m:r>
              </m:e>
              <m:sub>
                <m:r>
                  <w:rPr>
                    <w:rFonts w:ascii="Cambria Math" w:hAnsi="Cambria Math" w:cs="Arial"/>
                  </w:rPr>
                  <m:t>P</m:t>
                </m:r>
              </m:sub>
            </m:sSub>
          </m:num>
          <m:den>
            <m:r>
              <w:rPr>
                <w:rFonts w:ascii="Cambria Math" w:hAnsi="Cambria Math" w:cs="Arial"/>
              </w:rPr>
              <m:t>dt</m:t>
            </m:r>
          </m:den>
        </m:f>
        <m:r>
          <w:rPr>
            <w:rFonts w:ascii="Cambria Math" w:hAnsi="Cambria Math" w:cs="Arial"/>
          </w:rPr>
          <m:t xml:space="preserve">=A . </m:t>
        </m:r>
        <m:sSub>
          <m:sSubPr>
            <m:ctrlPr>
              <w:rPr>
                <w:rFonts w:ascii="Cambria Math" w:hAnsi="Cambria Math" w:cs="Arial"/>
                <w:i/>
              </w:rPr>
            </m:ctrlPr>
          </m:sSubPr>
          <m:e>
            <m:r>
              <w:rPr>
                <w:rFonts w:ascii="Cambria Math" w:hAnsi="Cambria Math" w:cs="Arial"/>
              </w:rPr>
              <m:t>W</m:t>
            </m:r>
          </m:e>
          <m:sub>
            <m:r>
              <w:rPr>
                <w:rFonts w:ascii="Cambria Math" w:hAnsi="Cambria Math" w:cs="Arial"/>
              </w:rPr>
              <m:t>L</m:t>
            </m:r>
          </m:sub>
        </m:sSub>
        <m:r>
          <w:rPr>
            <w:rFonts w:ascii="Cambria Math" w:hAnsi="Cambria Math" w:cs="Arial"/>
          </w:rPr>
          <m:t>-</m:t>
        </m:r>
        <m:sSub>
          <m:sSubPr>
            <m:ctrlPr>
              <w:rPr>
                <w:rFonts w:ascii="Cambria Math" w:hAnsi="Cambria Math" w:cs="Arial"/>
                <w:i/>
              </w:rPr>
            </m:ctrlPr>
          </m:sSubPr>
          <m:e>
            <m:r>
              <w:rPr>
                <w:rFonts w:ascii="Cambria Math" w:hAnsi="Cambria Math" w:cs="Arial"/>
              </w:rPr>
              <m:t>R</m:t>
            </m:r>
          </m:e>
          <m:sub>
            <m:r>
              <w:rPr>
                <w:rFonts w:ascii="Cambria Math" w:hAnsi="Cambria Math" w:cs="Arial"/>
              </w:rPr>
              <m:t>L</m:t>
            </m:r>
          </m:sub>
        </m:sSub>
        <m:r>
          <w:rPr>
            <w:rFonts w:ascii="Cambria Math" w:hAnsi="Cambria Math" w:cs="Arial"/>
          </w:rPr>
          <m:t>.</m:t>
        </m:r>
        <m:sSub>
          <m:sSubPr>
            <m:ctrlPr>
              <w:rPr>
                <w:rFonts w:ascii="Cambria Math" w:hAnsi="Cambria Math" w:cs="Arial"/>
                <w:i/>
              </w:rPr>
            </m:ctrlPr>
          </m:sSubPr>
          <m:e>
            <m:r>
              <w:rPr>
                <w:rFonts w:ascii="Cambria Math" w:hAnsi="Cambria Math" w:cs="Arial"/>
              </w:rPr>
              <m:t>W</m:t>
            </m:r>
          </m:e>
          <m:sub>
            <m:r>
              <w:rPr>
                <w:rFonts w:ascii="Cambria Math" w:hAnsi="Cambria Math" w:cs="Arial"/>
              </w:rPr>
              <m:t>L</m:t>
            </m:r>
          </m:sub>
        </m:sSub>
        <m:r>
          <w:rPr>
            <w:rFonts w:ascii="Cambria Math" w:hAnsi="Cambria Math" w:cs="Arial"/>
          </w:rPr>
          <m:t>-</m:t>
        </m:r>
        <m:sSub>
          <m:sSubPr>
            <m:ctrlPr>
              <w:rPr>
                <w:rFonts w:ascii="Cambria Math" w:hAnsi="Cambria Math" w:cs="Arial"/>
                <w:i/>
              </w:rPr>
            </m:ctrlPr>
          </m:sSubPr>
          <m:e>
            <m:r>
              <w:rPr>
                <w:rFonts w:ascii="Cambria Math" w:hAnsi="Cambria Math" w:cs="Arial"/>
              </w:rPr>
              <m:t>R</m:t>
            </m:r>
          </m:e>
          <m:sub>
            <m:r>
              <w:rPr>
                <w:rFonts w:ascii="Cambria Math" w:hAnsi="Cambria Math" w:cs="Arial"/>
              </w:rPr>
              <m:t>R</m:t>
            </m:r>
          </m:sub>
        </m:sSub>
        <m:sSub>
          <m:sSubPr>
            <m:ctrlPr>
              <w:rPr>
                <w:rFonts w:ascii="Cambria Math" w:hAnsi="Cambria Math" w:cs="Arial"/>
                <w:i/>
              </w:rPr>
            </m:ctrlPr>
          </m:sSubPr>
          <m:e>
            <m:r>
              <w:rPr>
                <w:rFonts w:ascii="Cambria Math" w:hAnsi="Cambria Math" w:cs="Arial"/>
              </w:rPr>
              <m:t>. W</m:t>
            </m:r>
          </m:e>
          <m:sub>
            <m:r>
              <w:rPr>
                <w:rFonts w:ascii="Cambria Math" w:hAnsi="Cambria Math" w:cs="Arial"/>
              </w:rPr>
              <m:t>R</m:t>
            </m:r>
          </m:sub>
        </m:sSub>
      </m:oMath>
      <w:r w:rsidR="00DF4522" w:rsidRPr="00531789">
        <w:rPr>
          <w:rFonts w:ascii="Cambria" w:hAnsi="Cambria" w:cs="Arial"/>
        </w:rPr>
        <w:tab/>
        <w:t xml:space="preserve"> </w:t>
      </w:r>
      <w:r w:rsidR="00DF4522">
        <w:rPr>
          <w:rFonts w:ascii="Cambria" w:hAnsi="Cambria" w:cs="Arial"/>
        </w:rPr>
        <w:t xml:space="preserve">               </w:t>
      </w:r>
      <w:r w:rsidR="00DF4522" w:rsidRPr="00531789">
        <w:rPr>
          <w:rFonts w:ascii="Cambria" w:hAnsi="Cambria" w:cs="Arial"/>
        </w:rPr>
        <w:t xml:space="preserve">  (Equation 4b),</w:t>
      </w:r>
    </w:p>
    <w:p w14:paraId="5E6FD431" w14:textId="77777777" w:rsidR="00DF4522" w:rsidRPr="00531789" w:rsidRDefault="00DF4522" w:rsidP="00DF4522">
      <w:pPr>
        <w:spacing w:line="360" w:lineRule="auto"/>
        <w:jc w:val="both"/>
        <w:rPr>
          <w:rFonts w:ascii="Cambria" w:hAnsi="Cambria" w:cs="Arial"/>
        </w:rPr>
      </w:pPr>
    </w:p>
    <w:p w14:paraId="032C39FD" w14:textId="77777777" w:rsidR="00DF4522" w:rsidRPr="00531789" w:rsidRDefault="00DF4522" w:rsidP="00DF4522">
      <w:pPr>
        <w:spacing w:line="360" w:lineRule="auto"/>
        <w:jc w:val="both"/>
        <w:rPr>
          <w:rFonts w:ascii="Cambria" w:hAnsi="Cambria"/>
        </w:rPr>
      </w:pPr>
      <w:r w:rsidRPr="00531789">
        <w:rPr>
          <w:rFonts w:ascii="Cambria" w:hAnsi="Cambria"/>
        </w:rPr>
        <w:t xml:space="preserve">where the subscripts </w:t>
      </w:r>
      <w:r w:rsidRPr="00531789">
        <w:rPr>
          <w:rFonts w:ascii="Cambria" w:hAnsi="Cambria"/>
          <w:i/>
        </w:rPr>
        <w:t xml:space="preserve">L </w:t>
      </w:r>
      <w:r w:rsidRPr="00531789">
        <w:rPr>
          <w:rFonts w:ascii="Cambria" w:hAnsi="Cambria"/>
        </w:rPr>
        <w:t xml:space="preserve">and </w:t>
      </w:r>
      <w:r w:rsidRPr="00531789">
        <w:rPr>
          <w:rFonts w:ascii="Cambria" w:hAnsi="Cambria"/>
          <w:i/>
        </w:rPr>
        <w:t>R</w:t>
      </w:r>
      <w:r w:rsidRPr="00531789">
        <w:rPr>
          <w:rFonts w:ascii="Cambria" w:hAnsi="Cambria"/>
        </w:rPr>
        <w:t xml:space="preserve"> denote leaf and root tissues respectively.  A simple case is considered here, but this approach may be easily extended to include other sink tissues such as storage organs, stems and reproductive tissues.  </w:t>
      </w:r>
    </w:p>
    <w:p w14:paraId="52B95EC0" w14:textId="77777777" w:rsidR="00DF4522" w:rsidRPr="00531789" w:rsidRDefault="00DF4522" w:rsidP="00DF4522">
      <w:pPr>
        <w:spacing w:line="360" w:lineRule="auto"/>
        <w:jc w:val="both"/>
        <w:rPr>
          <w:rFonts w:ascii="Cambria" w:hAnsi="Cambria"/>
        </w:rPr>
      </w:pPr>
    </w:p>
    <w:p w14:paraId="2C74BC4D" w14:textId="6FE63476" w:rsidR="00DF4522" w:rsidRPr="00531789" w:rsidRDefault="00DF4522" w:rsidP="00DF4522">
      <w:pPr>
        <w:spacing w:line="360" w:lineRule="auto"/>
        <w:jc w:val="both"/>
        <w:rPr>
          <w:rFonts w:ascii="Cambria" w:hAnsi="Cambria"/>
        </w:rPr>
      </w:pPr>
      <w:r w:rsidRPr="00531789">
        <w:rPr>
          <w:rFonts w:ascii="Cambria" w:hAnsi="Cambria"/>
        </w:rPr>
        <w:t xml:space="preserve">This basic model views growth as the net accumulation of organic carbon.  However, the approach is limited because, while respiration is one component of sink activity, the sink activities of growth and storage are not explicitly considered, and accounting for sink limitation requires modifications to the model </w:t>
      </w:r>
      <w:r w:rsidRPr="00531789">
        <w:rPr>
          <w:rFonts w:ascii="Cambria" w:hAnsi="Cambria"/>
        </w:rPr>
        <w:fldChar w:fldCharType="begin" w:fldLock="1"/>
      </w:r>
      <w:r w:rsidR="00D05EDB">
        <w:rPr>
          <w:rFonts w:ascii="Cambria" w:hAnsi="Cambria"/>
        </w:rPr>
        <w:instrText>ADDIN CSL_CITATION { "citationItems" : [ { "id" : "ITEM-1", "itemData" : { "author" : [ { "dropping-particle" : "", "family" : "Fatichi", "given" : "Simone", "non-dropping-particle" : "", "parse-names" : false, "suffix" : "" }, { "dropping-particle" : "", "family" : "Leuzinger", "given" : "Sebastian", "non-dropping-particle" : "", "parse-names" : false, "suffix" : "" }, { "dropping-particle" : "", "family" : "Korner", "given" : "Christian", "non-dropping-particle" : "", "parse-names" : false, "suffix" : "" } ], "container-title" : "New Phytologist", "id" : "ITEM-1", "issued" : { "date-parts" : [ [ "2013" ] ] }, "page" : "1068-95", "title" : "Moving beyond photosynthesis: from carbon source to sink-driven vegetation modeling", "type" : "article-journal", "volume" : "201" }, "uris" : [ "http://www.mendeley.com/documents/?uuid=64b2f4ee-c043-4343-b98d-53582817713a" ] } ], "mendeley" : { "formattedCitation" : "(Fatichi &lt;i&gt;et al.&lt;/i&gt;, 2013)", "manualFormatting" : "(Fatichi et al., 2013)", "plainTextFormattedCitation" : "(Fatichi et al., 2013)", "previouslyFormattedCitation" : "(Fatichi &lt;i&gt;et al.&lt;/i&gt;, 2013)"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 xml:space="preserve">(Fatichi </w:t>
      </w:r>
      <w:r w:rsidRPr="00531789">
        <w:rPr>
          <w:rFonts w:ascii="Cambria" w:hAnsi="Cambria"/>
          <w:i/>
          <w:noProof/>
        </w:rPr>
        <w:t>et al.</w:t>
      </w:r>
      <w:r w:rsidRPr="00531789">
        <w:rPr>
          <w:rFonts w:ascii="Cambria" w:hAnsi="Cambria"/>
          <w:noProof/>
        </w:rPr>
        <w:t>, 201</w:t>
      </w:r>
      <w:r>
        <w:rPr>
          <w:rFonts w:ascii="Cambria" w:hAnsi="Cambria"/>
          <w:noProof/>
        </w:rPr>
        <w:t>3</w:t>
      </w:r>
      <w:r w:rsidRPr="00531789">
        <w:rPr>
          <w:rFonts w:ascii="Cambria" w:hAnsi="Cambria"/>
          <w:noProof/>
        </w:rPr>
        <w:t>)</w:t>
      </w:r>
      <w:r w:rsidRPr="00531789">
        <w:rPr>
          <w:rFonts w:ascii="Cambria" w:hAnsi="Cambria"/>
        </w:rPr>
        <w:fldChar w:fldCharType="end"/>
      </w:r>
      <w:r w:rsidRPr="00531789">
        <w:rPr>
          <w:rFonts w:ascii="Cambria" w:hAnsi="Cambria"/>
        </w:rPr>
        <w:t xml:space="preserve">. Furthermore, recent authors have argued that </w:t>
      </w:r>
      <w:r w:rsidRPr="00531789">
        <w:rPr>
          <w:rFonts w:ascii="Cambria" w:hAnsi="Cambria"/>
          <w:i/>
        </w:rPr>
        <w:t>A</w:t>
      </w:r>
      <w:r w:rsidRPr="00531789">
        <w:rPr>
          <w:rFonts w:ascii="Cambria" w:hAnsi="Cambria"/>
        </w:rPr>
        <w:t xml:space="preserve"> and </w:t>
      </w:r>
      <w:r w:rsidRPr="00531789">
        <w:rPr>
          <w:rFonts w:ascii="Cambria" w:hAnsi="Cambria"/>
          <w:i/>
        </w:rPr>
        <w:t>R</w:t>
      </w:r>
      <w:r w:rsidRPr="00531789">
        <w:rPr>
          <w:rFonts w:ascii="Cambria" w:hAnsi="Cambria"/>
        </w:rPr>
        <w:t xml:space="preserve"> do not control plant growth rate. Instead, it is argued that growth is controlled by the supply of mineral nutrients and water, and the plant regulates </w:t>
      </w:r>
      <w:r w:rsidRPr="00531789">
        <w:rPr>
          <w:rFonts w:ascii="Cambria" w:hAnsi="Cambria"/>
          <w:i/>
        </w:rPr>
        <w:t>A</w:t>
      </w:r>
      <w:r w:rsidRPr="00531789">
        <w:rPr>
          <w:rFonts w:ascii="Cambria" w:hAnsi="Cambria"/>
        </w:rPr>
        <w:t xml:space="preserve"> and </w:t>
      </w:r>
      <w:r w:rsidRPr="00531789">
        <w:rPr>
          <w:rFonts w:ascii="Cambria" w:hAnsi="Cambria"/>
          <w:i/>
        </w:rPr>
        <w:t>R</w:t>
      </w:r>
      <w:r w:rsidRPr="00531789">
        <w:rPr>
          <w:rFonts w:ascii="Cambria" w:hAnsi="Cambria"/>
        </w:rPr>
        <w:t xml:space="preserve"> to meet its growth requirements</w:t>
      </w:r>
      <w:r w:rsidRPr="00531789">
        <w:rPr>
          <w:rFonts w:ascii="Cambria" w:hAnsi="Cambria"/>
        </w:rPr>
        <w:fldChar w:fldCharType="begin" w:fldLock="1"/>
      </w:r>
      <w:r>
        <w:rPr>
          <w:rFonts w:ascii="Cambria" w:hAnsi="Cambria"/>
        </w:rPr>
        <w:instrText>ADDIN CSL_CITATION { "citationItems" : [ { "id" : "ITEM-1", "itemData" : { "author" : [ { "dropping-particle" : "", "family" : "K\u00f6rner", "given" : "Christian", "non-dropping-particle" : "", "parse-names" : false, "suffix" : "" } ], "container-title" : "Paper presented to IEEE 4th International Symposium on Plant Growth Modeling, Simulation, Visualization and Applications", "id" : "ITEM-1", "issued" : { "date-parts" : [ [ "2012" ] ] }, "title" : "When growth controls photosynthesis", "type" : "paper-conference" }, "uris" : [ "http://www.mendeley.com/documents/?uuid=2bec0a66-9d2e-4098-a78a-935cacf5a010" ] }, { "id" : "ITEM-2", "itemData" : { "author" : [ { "dropping-particle" : "", "family" : "Fatichi", "given" : "Simone", "non-dropping-particle" : "", "parse-names" : false, "suffix" : "" }, { "dropping-particle" : "", "family" : "Leuzinger", "given" : "Sebastian", "non-dropping-particle" : "", "parse-names" : false, "suffix" : "" }, { "dropping-particle" : "", "family" : "Korner", "given" : "Christian", "non-dropping-particle" : "", "parse-names" : false, "suffix" : "" } ], "container-title" : "New Phytologist", "id" : "ITEM-2", "issued" : { "date-parts" : [ [ "2013" ] ] }, "page" : "1068-95", "title" : "Moving beyond photosynthesis: from carbon source to sink-driven vegetation modeling", "type" : "article-journal", "volume" : "201" }, "uris" : [ "http://www.mendeley.com/documents/?uuid=64b2f4ee-c043-4343-b98d-53582817713a" ] }, { "id" : "ITEM-3", "itemData" : { "author" : [ { "dropping-particle" : "", "family" : "K\u00f6rner", "given" : "Christian", "non-dropping-particle" : "", "parse-names" : false, "suffix" : "" } ], "container-title" : "Nova Acta Leopoldina", "id" : "ITEM-3", "issued" : { "date-parts" : [ [ "2013" ] ] }, "page" : "273-283", "title" : "Growth Controls Photosynthesis \u2013 Mostly", "type" : "article-journal", "volume" : "391" }, "uris" : [ "http://www.mendeley.com/documents/?uuid=bf329788-f622-4229-8020-d0c728ae59d6" ] } ], "mendeley" : { "formattedCitation" : "(K\u00f6rner, 2012, 2013; Fatichi &lt;i&gt;et al.&lt;/i&gt;, 2013)", "manualFormatting" : " (K\u00f6rner, 2012; Fatichi et al., 2013; K\u00f6rner, 2013)", "plainTextFormattedCitation" : "(K\u00f6rner, 2012, 2013; Fatichi et al., 2013)", "previouslyFormattedCitation" : "(K\u00f6rner, 2012, 2013; Fatichi &lt;i&gt;et al.&lt;/i&gt;, 2013)"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 xml:space="preserve"> (Körner, 2012; Fatichi </w:t>
      </w:r>
      <w:r w:rsidRPr="00531789">
        <w:rPr>
          <w:rFonts w:ascii="Cambria" w:hAnsi="Cambria"/>
          <w:i/>
          <w:noProof/>
        </w:rPr>
        <w:t>et al</w:t>
      </w:r>
      <w:r w:rsidRPr="00531789">
        <w:rPr>
          <w:rFonts w:ascii="Cambria" w:hAnsi="Cambria"/>
          <w:noProof/>
        </w:rPr>
        <w:t>., 2013; Körner, 2013)</w:t>
      </w:r>
      <w:r w:rsidRPr="00531789">
        <w:rPr>
          <w:rFonts w:ascii="Cambria" w:hAnsi="Cambria"/>
        </w:rPr>
        <w:fldChar w:fldCharType="end"/>
      </w:r>
      <w:r w:rsidRPr="00531789">
        <w:rPr>
          <w:rFonts w:ascii="Cambria" w:hAnsi="Cambria"/>
        </w:rPr>
        <w:t>. Without accounting for sink activities and their feedbacks on photosynthesis, the approach illustrated by Equations 4 cannot provide a complete description of the processes controlling growth.</w:t>
      </w:r>
    </w:p>
    <w:p w14:paraId="1568AA92" w14:textId="77777777" w:rsidR="00DF4522" w:rsidRPr="00531789" w:rsidRDefault="00DF4522" w:rsidP="00DF4522">
      <w:pPr>
        <w:spacing w:line="360" w:lineRule="auto"/>
        <w:jc w:val="both"/>
        <w:rPr>
          <w:rFonts w:ascii="Cambria" w:hAnsi="Cambria" w:cs="Arial"/>
          <w:b/>
        </w:rPr>
      </w:pPr>
    </w:p>
    <w:p w14:paraId="6B645949" w14:textId="77777777" w:rsidR="00DF4522" w:rsidRPr="00531789" w:rsidRDefault="00DF4522" w:rsidP="00DF4522">
      <w:pPr>
        <w:spacing w:line="360" w:lineRule="auto"/>
        <w:jc w:val="both"/>
        <w:rPr>
          <w:rFonts w:ascii="Cambria" w:hAnsi="Cambria" w:cs="Arial"/>
          <w:b/>
        </w:rPr>
      </w:pPr>
      <w:r w:rsidRPr="00531789">
        <w:rPr>
          <w:rFonts w:ascii="Cambria" w:hAnsi="Cambria" w:cs="Arial"/>
          <w:b/>
        </w:rPr>
        <w:t>Allocation</w:t>
      </w:r>
    </w:p>
    <w:p w14:paraId="03C232D8" w14:textId="77777777" w:rsidR="00DF4522" w:rsidRPr="00531789" w:rsidRDefault="00DF4522" w:rsidP="00DF4522">
      <w:pPr>
        <w:spacing w:line="360" w:lineRule="auto"/>
        <w:jc w:val="both"/>
        <w:rPr>
          <w:rFonts w:ascii="Cambria" w:hAnsi="Cambria" w:cs="Arial"/>
          <w:b/>
        </w:rPr>
      </w:pPr>
    </w:p>
    <w:p w14:paraId="4C253C8B" w14:textId="77777777" w:rsidR="00DF4522" w:rsidRPr="00531789" w:rsidRDefault="00DF4522" w:rsidP="00DF4522">
      <w:pPr>
        <w:spacing w:line="360" w:lineRule="auto"/>
        <w:jc w:val="both"/>
        <w:rPr>
          <w:rFonts w:ascii="Cambria" w:hAnsi="Cambria"/>
        </w:rPr>
      </w:pPr>
      <w:r w:rsidRPr="00531789">
        <w:rPr>
          <w:rFonts w:ascii="Cambria" w:hAnsi="Cambria"/>
        </w:rPr>
        <w:t xml:space="preserve">A second approach considers the internal allocation of resources to either photosynthetic or non-photosynthetic tissues.  These tissues represent net carbon sources and sinks respectively. </w:t>
      </w:r>
    </w:p>
    <w:p w14:paraId="4B90838D" w14:textId="77777777" w:rsidR="00DF4522" w:rsidRPr="00531789" w:rsidRDefault="00DF4522" w:rsidP="00DF4522">
      <w:pPr>
        <w:spacing w:line="360" w:lineRule="auto"/>
        <w:jc w:val="both"/>
        <w:rPr>
          <w:rFonts w:ascii="Cambria" w:hAnsi="Cambria"/>
        </w:rPr>
      </w:pPr>
    </w:p>
    <w:p w14:paraId="02139703" w14:textId="77777777" w:rsidR="00DF4522" w:rsidRPr="00531789" w:rsidRDefault="00DF4522" w:rsidP="00DF4522">
      <w:pPr>
        <w:spacing w:line="360" w:lineRule="auto"/>
        <w:jc w:val="both"/>
        <w:rPr>
          <w:rFonts w:ascii="Cambria" w:hAnsi="Cambria"/>
        </w:rPr>
      </w:pPr>
      <w:r w:rsidRPr="00531789">
        <w:rPr>
          <w:rFonts w:ascii="Cambria" w:hAnsi="Cambria"/>
        </w:rPr>
        <w:t xml:space="preserve">The philosophy underlying this approach is that allocation of resources to leaves (especially to leaf area) accelerates growth, whereas allocation to non-photosynthetic tissues (in this case, roots) has an opposing effect.  Allocation is an important determinant of growth rate, and this viewpoint is classically adopted by ecologists when considering the ecological strategies of plants </w:t>
      </w:r>
      <w:r w:rsidRPr="00531789">
        <w:rPr>
          <w:rFonts w:ascii="Cambria" w:hAnsi="Cambria"/>
        </w:rPr>
        <w:fldChar w:fldCharType="begin" w:fldLock="1"/>
      </w:r>
      <w:r w:rsidRPr="00531789">
        <w:rPr>
          <w:rFonts w:ascii="Cambria" w:hAnsi="Cambria"/>
        </w:rPr>
        <w:instrText>ADDIN CSL_CITATION { "citationItems" : [ { "id" : "ITEM-1", "itemData" : { "author" : [ { "dropping-particle" : "", "family" : "Grime", "given" : "J P", "non-dropping-particle" : "", "parse-names" : false, "suffix" : "" }, { "dropping-particle" : "", "family" : "Hunt", "given" : "Roderick", "non-dropping-particle" : "", "parse-names" : false, "suffix" : "" } ], "container-title" : "Journal of Ecology", "id" : "ITEM-1", "issue" : "2", "issued" : { "date-parts" : [ [ "1975" ] ] }, "page" : "393-422", "title" : "Relative Growth-Rate: Its range and adaptive significance in a local flora", "type" : "article-journal", "volume" : "63" }, "uris" : [ "http://www.mendeley.com/documents/?uuid=043fcecc-14f4-4c54-950c-5739c24be347" ] } ], "mendeley" : { "formattedCitation" : "(Grime and Hunt, 1975)", "plainTextFormattedCitation" : "(Grime and Hunt, 1975)", "previouslyFormattedCitation" : "(Grime and Hunt, 1975)"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(Grime and Hunt, 1975)</w:t>
      </w:r>
      <w:r w:rsidRPr="00531789">
        <w:rPr>
          <w:rFonts w:ascii="Cambria" w:hAnsi="Cambria"/>
        </w:rPr>
        <w:fldChar w:fldCharType="end"/>
      </w:r>
      <w:r w:rsidRPr="00531789">
        <w:rPr>
          <w:rFonts w:ascii="Cambria" w:hAnsi="Cambria"/>
        </w:rPr>
        <w:t xml:space="preserve">, resource limitations on growth </w:t>
      </w:r>
      <w:r w:rsidRPr="00531789">
        <w:rPr>
          <w:rFonts w:ascii="Cambria" w:hAnsi="Cambria"/>
        </w:rPr>
        <w:fldChar w:fldCharType="begin" w:fldLock="1"/>
      </w:r>
      <w:r w:rsidRPr="00531789">
        <w:rPr>
          <w:rFonts w:ascii="Cambria" w:hAnsi="Cambria"/>
        </w:rPr>
        <w:instrText>ADDIN CSL_CITATION { "citationItems" : [ { "id" : "ITEM-1", "itemData" : { "author" : [ { "dropping-particle" : "", "family" : "McConnaughay", "given" : "K. D. M.", "non-dropping-particle" : "", "parse-names" : false, "suffix" : "" }, { "dropping-particle" : "", "family" : "Coleman", "given" : "J. S.", "non-dropping-particle" : "", "parse-names" : false, "suffix" : "" } ], "container-title" : "Ecology", "id" : "ITEM-1", "issue" : "8", "issued" : { "date-parts" : [ [ "1999" ] ] }, "page" : "2581-2593", "title" : "Biomass allocation in plants: ontogeny or optimality? A test along three resource gradients", "type" : "article-journal", "volume" : "80" }, "uris" : [ "http://www.mendeley.com/documents/?uuid=f0b97fff-4871-4de1-8462-e0eb53a2c6d9" ] }, { "id" : "ITEM-2", "itemData" : { "DOI" : "10.1016/j.ecolmodel.2004.06.023", "ISSN" : "03043800", "author" : [ { "dropping-particle" : "", "family" : "Yang", "given" : "Zongjian", "non-dropping-particle" : "", "parse-names" : false, "suffix" : "" }, { "dropping-particle" : "", "family" : "Midmore", "given" : "David J.", "non-dropping-particle" : "", "parse-names" : false, "suffix" : "" } ], "container-title" : "Ecological Modelling", "id" : "ITEM-2", "issue" : "1", "issued" : { "date-parts" : [ [ "2005", "1" ] ] }, "page" : "59-77", "title" : "Modelling plant resource allocation and growth partitioning in response to environmental heterogeneity", "type" : "article-journal", "volume" : "181" }, "uris" : [ "http://www.mendeley.com/documents/?uuid=ffe3deff-7134-4bc0-bf03-752e3736c13d" ] } ], "mendeley" : { "formattedCitation" : "(McConnaughay and Coleman, 1999; Yang and Midmore, 2005)", "plainTextFormattedCitation" : "(McConnaughay and Coleman, 1999; Yang and Midmore, 2005)", "previouslyFormattedCitation" : "(McConnaughay and Coleman, 1999; Yang and Midmore, 2005)"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(McConnaughay and Coleman, 1999; Yang and Midmore, 2005)</w:t>
      </w:r>
      <w:r w:rsidRPr="00531789">
        <w:rPr>
          <w:rFonts w:ascii="Cambria" w:hAnsi="Cambria"/>
        </w:rPr>
        <w:fldChar w:fldCharType="end"/>
      </w:r>
      <w:r w:rsidRPr="00531789">
        <w:rPr>
          <w:rFonts w:ascii="Cambria" w:hAnsi="Cambria"/>
        </w:rPr>
        <w:t xml:space="preserve">, and the growth-allocation trade-off as a constraint on life history decisions </w:t>
      </w:r>
      <w:r w:rsidRPr="00531789">
        <w:rPr>
          <w:rFonts w:ascii="Cambria" w:hAnsi="Cambria"/>
        </w:rPr>
        <w:fldChar w:fldCharType="begin" w:fldLock="1"/>
      </w:r>
      <w:r>
        <w:rPr>
          <w:rFonts w:ascii="Cambria" w:hAnsi="Cambria"/>
        </w:rPr>
        <w:instrText>ADDIN CSL_CITATION { "citationItems" : [ { "id" : "ITEM-1", "itemData" : { "author" : [ { "dropping-particle" : "", "family" : "Bazzaz", "given" : "Fakhri A", "non-dropping-particle" : "", "parse-names" : false, "suffix" : "" }, { "dropping-particle" : "", "family" : "Chiariello", "given" : "Nona R", "non-dropping-particle" : "", "parse-names" : false, "suffix" : "" }, { "dropping-particle" : "", "family" : "Coley", "given" : "Phyllis D", "non-dropping-particle" : "", "parse-names" : false, "suffix" : "" }, { "dropping-particle" : "", "family" : "Pitelka", "given" : "Louis F", "non-dropping-particle" : "", "parse-names" : false, "suffix" : "" } ], "container-title" : "BioScience", "id" : "ITEM-1", "issue" : "1", "issued" : { "date-parts" : [ [ "1987" ] ] }, "page" : "58-67", "title" : "Allocating Resources to Reproduction and Defense", "type" : "article-journal", "volume" : "37" }, "uris" : [ "http://www.mendeley.com/documents/?uuid=ebc9ff3e-0f6e-449a-97d3-92138c8a16a7" ] } ], "mendeley" : { "formattedCitation" : "(Bazzaz &lt;i&gt;et al.&lt;/i&gt;, 1987)", "plainTextFormattedCitation" : "(Bazzaz et al., 1987)", "previouslyFormattedCitation" : "(Bazzaz &lt;i&gt;et al.&lt;/i&gt;, 1987)"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(Bazzaz </w:t>
      </w:r>
      <w:r w:rsidRPr="002C5907">
        <w:rPr>
          <w:rFonts w:ascii="Cambria" w:hAnsi="Cambria"/>
          <w:i/>
          <w:noProof/>
        </w:rPr>
        <w:t>et al.</w:t>
      </w:r>
      <w:r w:rsidRPr="002C5907">
        <w:rPr>
          <w:rFonts w:ascii="Cambria" w:hAnsi="Cambria"/>
          <w:noProof/>
        </w:rPr>
        <w:t>, 1987)</w:t>
      </w:r>
      <w:r w:rsidRPr="00531789">
        <w:rPr>
          <w:rFonts w:ascii="Cambria" w:hAnsi="Cambria"/>
        </w:rPr>
        <w:fldChar w:fldCharType="end"/>
      </w:r>
      <w:r w:rsidRPr="00531789">
        <w:rPr>
          <w:rFonts w:ascii="Cambria" w:hAnsi="Cambria"/>
        </w:rPr>
        <w:t xml:space="preserve">.  It is also considered dynamically in relation to resource limitation in global vegetation models </w:t>
      </w:r>
      <w:r w:rsidRPr="00531789">
        <w:rPr>
          <w:rFonts w:ascii="Cambria" w:hAnsi="Cambria"/>
        </w:rPr>
        <w:fldChar w:fldCharType="begin" w:fldLock="1"/>
      </w:r>
      <w:r w:rsidRPr="00531789">
        <w:rPr>
          <w:rFonts w:ascii="Cambria" w:hAnsi="Cambria"/>
        </w:rPr>
        <w:instrText>ADDIN CSL_CITATION { "citationItems" : [ { "id" : "ITEM-1", "itemData" : { "DOI" : "10.1038/nature11238", "ISSN" : "1476-4687", "PMID" : "22763447", "abstract" : "It is possible that anthropogenic climate change will drive the Earth system into a qualitatively different state. Although different types of uncertainty limit our capacity to assess this risk, Earth system scientists are particularly concerned about tipping elements, large-scale components of the Earth system that can be switched into qualitatively different states by small perturbations. Despite growing evidence that tipping elements exist in the climate system, whether large-scale vegetation systems can tip into alternative states is poorly understood. Here we show that tropical grassland, savanna and forest ecosystems, areas large enough to have powerful impacts on the Earth system, are likely to shift to alternative states. Specifically, we show that increasing atmospheric CO2 concentration will force transitions to vegetation states characterized by higher biomass and/or woody-plant dominance. The timing of these critical transitions varies as a result of between-site variance in the rate of temperature increase, as well as a dependence on stochastic variation in fire severity and rainfall. We further show that the locations of bistable vegetation zones (zones where alternative vegetation states can exist) will shift as climate changes. We conclude that even though large-scale directional regime shifts in terrestrial ecosystems are likely, asynchrony in the timing of these shifts may serve to dampen, but not nullify, the shock that these changes may represent to the Earth system.", "author" : [ { "dropping-particle" : "", "family" : "Higgins", "given" : "Steven I", "non-dropping-particle" : "", "parse-names" : false, "suffix" : "" }, { "dropping-particle" : "", "family" : "Scheiter", "given" : "Simon", "non-dropping-particle" : "", "parse-names" : false, "suffix" : "" } ], "container-title" : "Nature", "id" : "ITEM-1", "issue" : "7410", "issued" : { "date-parts" : [ [ "2012", "8", "9" ] ] }, "page" : "209-12", "title" : "Atmospheric CO2 forces abrupt vegetation shifts locally, but not globally.", "type" : "article-journal", "volume" : "488" }, "uris" : [ "http://www.mendeley.com/documents/?uuid=420f2f44-05c9-4b08-bd81-34dc06a6736d" ] } ], "mendeley" : { "formattedCitation" : "(Higgins and Scheiter, 2012)", "manualFormatting" : "(e.g. Higgins and Scheiter, 2012)", "plainTextFormattedCitation" : "(Higgins and Scheiter, 2012)", "previouslyFormattedCitation" : "(Higgins and Scheiter, 2012)"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(e.g. Higgins and Scheiter, 2012)</w:t>
      </w:r>
      <w:r w:rsidRPr="00531789">
        <w:rPr>
          <w:rFonts w:ascii="Cambria" w:hAnsi="Cambria"/>
        </w:rPr>
        <w:fldChar w:fldCharType="end"/>
      </w:r>
      <w:r w:rsidRPr="00531789">
        <w:rPr>
          <w:rFonts w:ascii="Cambria" w:hAnsi="Cambria"/>
        </w:rPr>
        <w:t xml:space="preserve"> and in crop simulation models </w:t>
      </w:r>
      <w:r w:rsidRPr="00531789">
        <w:rPr>
          <w:rFonts w:ascii="Cambria" w:hAnsi="Cambria"/>
        </w:rPr>
        <w:fldChar w:fldCharType="begin" w:fldLock="1"/>
      </w:r>
      <w:r>
        <w:rPr>
          <w:rFonts w:ascii="Cambria" w:hAnsi="Cambria"/>
        </w:rPr>
        <w:instrText>ADDIN CSL_CITATION { "citationItems" : [ { "id" : "ITEM-1", "itemData" : { "author" : [ { "dropping-particle" : "", "family" : "Weir", "given" : "A H", "non-dropping-particle" : "", "parse-names" : false, "suffix" : "" }, { "dropping-particle" : "", "family" : "Bragg", "given" : "P L", "non-dropping-particle" : "", "parse-names" : false, "suffix" : "" }, { "dropping-particle" : "", "family" : "Porter", "given" : "J R", "non-dropping-particle" : "", "parse-names" : false, "suffix" : "" }, { "dropping-particle" : "", "family" : "Rayner", "given" : "J H", "non-dropping-particle" : "", "parse-names" : false, "suffix" : "" } ], "container-title" : "Journal of Agricultural Science", "id" : "ITEM-1", "issued" : { "date-parts" : [ [ "1984" ] ] }, "page" : "371-382", "title" : "A winter wheat crop simulation model without water or nutrient limitations", "type" : "article-journal", "volume" : "102" }, "uris" : [ "http://www.mendeley.com/documents/?uuid=1075f9f3-a78d-48e3-ac8d-c9b3f24b3445" ] }, { "id" : "ITEM-2", "itemData" : { "author" : [ { "dropping-particle" : "", "family" : "Brisson", "given" : "Nadine", "non-dropping-particle" : "", "parse-names" : false, "suffix" : "" }, { "dropping-particle" : "", "family" : "Mary", "given" : "Bruno", "non-dropping-particle" : "", "parse-names" : false, "suffix" : "" }, { "dropping-particle" : "", "family" : "Ripoche", "given" : "Dominique", "non-dropping-particle" : "", "parse-names" : false, "suffix" : "" }, { "dropping-particle" : "", "family" : "Jeuffroy", "given" : "Marie Helene", "non-dropping-particle" : "", "parse-names" : false, "suffix" : "" }, { "dropping-particle" : "", "family" : "Ruget", "given" : "Francoise", "non-dropping-particle" : "", "parse-names" : false, "suffix" : "" }, { "dropping-particle" : "", "family" : "Nicoullaud", "given" : "Bernard", "non-dropping-particle" : "", "parse-names" : false, "suffix" : "" }, { "dropping-particle" : "", "family" : "Gate", "given" : "Philippe", "non-dropping-particle" : "", "parse-names" : false, "suffix" : "" }, { "dropping-particle" : "", "family" : "Devienne-Barret", "given" : "Florence", "non-dropping-particle" : "", "parse-names" : false, "suffix" : "" }, { "dropping-particle" : "", "family" : "Antonioletti", "given" : "Rodrigo", "non-dropping-particle" : "", "parse-names" : false, "suffix" : "" }, { "dropping-particle" : "", "family" : "Durr", "given" : "Carolyne", "non-dropping-particle" : "", "parse-names" : false, "suffix" : "" }, { "dropping-particle" : "", "family" : "Richard", "given" : "Guy", "non-dropping-particle" : "", "parse-names" : false, "suffix" : "" }, { "dropping-particle" : "", "family" : "Beaudoin", "given" : "Nicolas", "non-dropping-particle" : "", "parse-names" : false, "suffix" : "" }, { "dropping-particle" : "", "family" : "Recous", "given" : "Sylvie", "non-dropping-particle" : "", "parse-names" : false, "suffix" : "" }, { "dropping-particle" : "", "family" : "Tayot", "given" : "Xavier", "non-dropping-particle" : "", "parse-names" : false, "suffix" : "" }, { "dropping-particle" : "", "family" : "Plenet", "given" : "Daniel", "non-dropping-particle" : "", "parse-names" : false, "suffix" : "" }, { "dropping-particle" : "", "family" : "Cellier", "given" : "Pierre", "non-dropping-particle" : "", "parse-names" : false, "suffix" : "" }, { "dropping-particle" : "", "family" : "Machet", "given" : "Jean-Marie", "non-dropping-particle" : "", "parse-names" : false, "suffix" : "" }, { "dropping-particle" : "", "family" : "Meynard", "given" : "Jean Marc", "non-dropping-particle" : "", "parse-names" : false, "suffix" : "" }, { "dropping-particle" : "", "family" : "Del\u00e9colle", "given" : "Richard", "non-dropping-particle" : "", "parse-names" : false, "suffix" : "" } ], "container-title" : "Agronomie", "id" : "ITEM-2", "issued" : { "date-parts" : [ [ "1998" ] ] }, "page" : "311-346", "title" : "STICS : a generic model for the simulation of crops and their water and nitrogen balances. 1. Theory and parameterization applied to wheat and corn", "type" : "article-journal", "volume" : "18" }, "uris" : [ "http://www.mendeley.com/documents/?uuid=1a518eeb-1df8-4695-b051-2cbb3604a456" ] }, { "id" : "ITEM-3", "itemData" : { "author" : [ { "dropping-particle" : "", "family" : "Jamieson", "given" : "PD", "non-dropping-particle" : "", "parse-names" : false, "suffix" : "" }, { "dropping-particle" : "", "family" : "Semenov", "given" : "MA", "non-dropping-particle" : "", "parse-names" : false, "suffix" : "" }, { "dropping-particle" : "", "family" : "Brooking", "given" : "IR", "non-dropping-particle" : "", "parse-names" : false, "suffix" : "" }, { "dropping-particle" : "", "family" : "Francis", "given" : "GS", "non-dropping-particle" : "", "parse-names" : false, "suffix" : "" } ], "container-title" : "European Journal of Agronomy", "id" : "ITEM-3", "issued" : { "date-parts" : [ [ "1998" ] ] }, "page" : "161-179", "title" : "Sirius: a mechanistic model of wheat response to environmental variation", "type" : "article-journal", "volume" : "8" }, "uris" : [ "http://www.mendeley.com/documents/?uuid=66eb7682-b4c6-4114-992e-e1ebe8560ad0" ] } ], "mendeley" : { "formattedCitation" : "(Weir &lt;i&gt;et al.&lt;/i&gt;, 1984; Brisson &lt;i&gt;et al.&lt;/i&gt;, 1998; Jamieson &lt;i&gt;et al.&lt;/i&gt;, 1998)", "manualFormatting" : "(e.g. Weir et al., 1984; Brisson et al., 1998; Jamieson et al., 1998)", "plainTextFormattedCitation" : "(Weir et al., 1984; Brisson et al., 1998; Jamieson et al., 1998)", "previouslyFormattedCitation" : "(Weir &lt;i&gt;et al.&lt;/i&gt;, 1984; Brisson &lt;i&gt;et al.&lt;/i&gt;, 1998; Jamieson &lt;i&gt;et al.&lt;/i&gt;, 1998)"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 xml:space="preserve">(e.g. Weir </w:t>
      </w:r>
      <w:r w:rsidRPr="00531789">
        <w:rPr>
          <w:rFonts w:ascii="Cambria" w:hAnsi="Cambria"/>
          <w:i/>
          <w:noProof/>
        </w:rPr>
        <w:t>et al</w:t>
      </w:r>
      <w:r w:rsidRPr="00531789">
        <w:rPr>
          <w:rFonts w:ascii="Cambria" w:hAnsi="Cambria"/>
          <w:noProof/>
        </w:rPr>
        <w:t xml:space="preserve">., 1984; Brisson </w:t>
      </w:r>
      <w:r w:rsidRPr="00531789">
        <w:rPr>
          <w:rFonts w:ascii="Cambria" w:hAnsi="Cambria"/>
          <w:i/>
          <w:noProof/>
        </w:rPr>
        <w:t>et al</w:t>
      </w:r>
      <w:r w:rsidRPr="00531789">
        <w:rPr>
          <w:rFonts w:ascii="Cambria" w:hAnsi="Cambria"/>
          <w:noProof/>
        </w:rPr>
        <w:t xml:space="preserve">., 1998; Jamieson </w:t>
      </w:r>
      <w:r w:rsidRPr="00531789">
        <w:rPr>
          <w:rFonts w:ascii="Cambria" w:hAnsi="Cambria"/>
          <w:i/>
          <w:noProof/>
        </w:rPr>
        <w:t>et al</w:t>
      </w:r>
      <w:r w:rsidRPr="00531789">
        <w:rPr>
          <w:rFonts w:ascii="Cambria" w:hAnsi="Cambria"/>
          <w:noProof/>
        </w:rPr>
        <w:t>., 1998)</w:t>
      </w:r>
      <w:r w:rsidRPr="00531789">
        <w:rPr>
          <w:rFonts w:ascii="Cambria" w:hAnsi="Cambria"/>
        </w:rPr>
        <w:fldChar w:fldCharType="end"/>
      </w:r>
      <w:r w:rsidRPr="00531789">
        <w:rPr>
          <w:rFonts w:ascii="Cambria" w:hAnsi="Cambria"/>
        </w:rPr>
        <w:t>.</w:t>
      </w:r>
    </w:p>
    <w:p w14:paraId="4494F8F3" w14:textId="77777777" w:rsidR="00DF4522" w:rsidRPr="00531789" w:rsidRDefault="00DF4522" w:rsidP="00DF4522">
      <w:pPr>
        <w:spacing w:line="360" w:lineRule="auto"/>
        <w:jc w:val="both"/>
        <w:rPr>
          <w:rFonts w:ascii="Cambria" w:hAnsi="Cambria"/>
        </w:rPr>
      </w:pPr>
    </w:p>
    <w:p w14:paraId="221F5839" w14:textId="77777777" w:rsidR="00DF4522" w:rsidRPr="00531789" w:rsidRDefault="00DF4522" w:rsidP="00DF4522">
      <w:pPr>
        <w:spacing w:line="360" w:lineRule="auto"/>
        <w:jc w:val="both"/>
        <w:rPr>
          <w:rFonts w:ascii="Cambria" w:hAnsi="Cambria" w:cs="Arial"/>
        </w:rPr>
      </w:pPr>
      <w:r w:rsidRPr="00531789">
        <w:rPr>
          <w:rFonts w:ascii="Cambria" w:hAnsi="Cambria"/>
        </w:rPr>
        <w:t>The change in plant mass over time is the product of leaf area ratio, net assimilation rate and plant mass</w:t>
      </w:r>
      <w:r w:rsidRPr="00531789">
        <w:rPr>
          <w:rFonts w:ascii="Cambria" w:hAnsi="Cambria" w:cs="Arial"/>
        </w:rPr>
        <w:t>:</w:t>
      </w:r>
    </w:p>
    <w:p w14:paraId="27885A4D" w14:textId="77777777" w:rsidR="00DF4522" w:rsidRPr="00DB5763" w:rsidRDefault="00DF4522" w:rsidP="00DF4522">
      <w:pPr>
        <w:spacing w:before="240" w:line="360" w:lineRule="auto"/>
        <w:jc w:val="both"/>
        <w:rPr>
          <w:rFonts w:ascii="Cambria" w:hAnsi="Cambria" w:cs="Arial"/>
          <w:iCs/>
          <w:vertAlign w:val="subscript"/>
        </w:rPr>
      </w:pPr>
      <w:r>
        <w:rPr>
          <w:rFonts w:ascii="Cambria" w:hAnsi="Cambria" w:cs="Arial"/>
        </w:rPr>
        <w:tab/>
      </w:r>
      <w:r>
        <w:rPr>
          <w:rFonts w:ascii="Cambria" w:hAnsi="Cambria" w:cs="Arial"/>
        </w:rPr>
        <w:tab/>
      </w:r>
      <w:r>
        <w:rPr>
          <w:rFonts w:ascii="Cambria" w:hAnsi="Cambria" w:cs="Arial"/>
        </w:rPr>
        <w:tab/>
      </w:r>
      <m:oMath>
        <m:f>
          <m:fPr>
            <m:ctrlPr>
              <w:rPr>
                <w:rFonts w:ascii="Cambria Math" w:hAnsi="Cambria Math" w:cs="Arial"/>
                <w:i/>
              </w:rPr>
            </m:ctrlPr>
          </m:fPr>
          <m:num>
            <m:r>
              <w:rPr>
                <w:rFonts w:ascii="Cambria Math" w:hAnsi="Cambria Math" w:cs="Arial"/>
              </w:rPr>
              <m:t>d</m:t>
            </m:r>
            <m:sSub>
              <m:sSubPr>
                <m:ctrlPr>
                  <w:rPr>
                    <w:rFonts w:ascii="Cambria Math" w:hAnsi="Cambria Math" w:cs="Arial"/>
                    <w:i/>
                  </w:rPr>
                </m:ctrlPr>
              </m:sSubPr>
              <m:e>
                <m:r>
                  <w:rPr>
                    <w:rFonts w:ascii="Cambria Math" w:hAnsi="Cambria Math" w:cs="Arial"/>
                  </w:rPr>
                  <m:t>W</m:t>
                </m:r>
              </m:e>
              <m:sub>
                <m:r>
                  <w:rPr>
                    <w:rFonts w:ascii="Cambria Math" w:hAnsi="Cambria Math" w:cs="Arial"/>
                  </w:rPr>
                  <m:t>P</m:t>
                </m:r>
              </m:sub>
            </m:sSub>
          </m:num>
          <m:den>
            <m:r>
              <w:rPr>
                <w:rFonts w:ascii="Cambria Math" w:hAnsi="Cambria Math" w:cs="Arial"/>
              </w:rPr>
              <m:t>dt</m:t>
            </m:r>
          </m:den>
        </m:f>
        <m:r>
          <w:rPr>
            <w:rFonts w:ascii="Cambria Math" w:hAnsi="Cambria Math" w:cs="Arial"/>
          </w:rPr>
          <m:t xml:space="preserve">=LAR . NAR . </m:t>
        </m:r>
        <m:sSub>
          <m:sSubPr>
            <m:ctrlPr>
              <w:rPr>
                <w:rFonts w:ascii="Cambria Math" w:hAnsi="Cambria Math" w:cs="Arial"/>
                <w:i/>
              </w:rPr>
            </m:ctrlPr>
          </m:sSubPr>
          <m:e>
            <m:r>
              <w:rPr>
                <w:rFonts w:ascii="Cambria Math" w:hAnsi="Cambria Math" w:cs="Arial"/>
              </w:rPr>
              <m:t>W</m:t>
            </m:r>
          </m:e>
          <m:sub>
            <m:r>
              <w:rPr>
                <w:rFonts w:ascii="Cambria Math" w:hAnsi="Cambria Math" w:cs="Arial"/>
              </w:rPr>
              <m:t>P</m:t>
            </m:r>
          </m:sub>
        </m:sSub>
      </m:oMath>
    </w:p>
    <w:p w14:paraId="34FCFC69" w14:textId="77777777" w:rsidR="00DF4522" w:rsidRDefault="00DF4522" w:rsidP="00DF4522">
      <w:pPr>
        <w:spacing w:line="360" w:lineRule="auto"/>
        <w:ind w:left="5760" w:firstLine="720"/>
        <w:jc w:val="both"/>
        <w:rPr>
          <w:rFonts w:ascii="Cambria" w:hAnsi="Cambria" w:cs="Arial"/>
        </w:rPr>
      </w:pPr>
      <w:r>
        <w:rPr>
          <w:rFonts w:ascii="Cambria" w:hAnsi="Cambria" w:cs="Arial"/>
        </w:rPr>
        <w:t xml:space="preserve">    </w:t>
      </w:r>
      <w:r w:rsidRPr="00531789">
        <w:rPr>
          <w:rFonts w:ascii="Cambria" w:hAnsi="Cambria" w:cs="Arial"/>
        </w:rPr>
        <w:t>(Equation 5a)</w:t>
      </w:r>
      <w:r>
        <w:rPr>
          <w:rFonts w:ascii="Cambria" w:hAnsi="Cambria" w:cs="Arial"/>
        </w:rPr>
        <w:t>,</w:t>
      </w:r>
    </w:p>
    <w:p w14:paraId="686C2A13" w14:textId="77777777" w:rsidR="00DF4522" w:rsidRPr="00531789" w:rsidRDefault="00DF4522" w:rsidP="00DF4522">
      <w:pPr>
        <w:spacing w:line="360" w:lineRule="auto"/>
        <w:ind w:left="5760" w:firstLine="720"/>
        <w:jc w:val="both"/>
        <w:rPr>
          <w:rFonts w:ascii="Cambria" w:hAnsi="Cambria" w:cs="Arial"/>
        </w:rPr>
      </w:pPr>
    </w:p>
    <w:p w14:paraId="18970441"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where </w:t>
      </w:r>
      <w:r w:rsidRPr="00531789">
        <w:rPr>
          <w:rFonts w:ascii="Cambria" w:hAnsi="Cambria" w:cs="Arial"/>
          <w:i/>
        </w:rPr>
        <w:t xml:space="preserve">LAR </w:t>
      </w:r>
      <w:r w:rsidRPr="00531789">
        <w:rPr>
          <w:rFonts w:ascii="Cambria" w:hAnsi="Cambria" w:cs="Arial"/>
        </w:rPr>
        <w:t>is leaf area ratio (</w:t>
      </w:r>
      <w:r w:rsidRPr="00531789">
        <w:rPr>
          <w:rFonts w:ascii="Cambria" w:hAnsi="Cambria"/>
        </w:rPr>
        <w:t>m</w:t>
      </w:r>
      <w:r w:rsidRPr="00531789">
        <w:rPr>
          <w:rFonts w:ascii="Cambria" w:hAnsi="Cambria"/>
          <w:vertAlign w:val="superscript"/>
        </w:rPr>
        <w:t>2</w:t>
      </w:r>
      <w:r w:rsidRPr="00531789">
        <w:rPr>
          <w:rFonts w:ascii="Cambria" w:hAnsi="Cambria"/>
        </w:rPr>
        <w:t xml:space="preserve"> leaf area g</w:t>
      </w:r>
      <w:r w:rsidRPr="00531789">
        <w:rPr>
          <w:rFonts w:ascii="Cambria" w:hAnsi="Cambria"/>
          <w:vertAlign w:val="superscript"/>
        </w:rPr>
        <w:t>-1</w:t>
      </w:r>
      <w:r w:rsidRPr="00531789">
        <w:rPr>
          <w:rFonts w:ascii="Cambria" w:hAnsi="Cambria"/>
        </w:rPr>
        <w:t xml:space="preserve"> plant mass) and </w:t>
      </w:r>
      <w:r w:rsidRPr="00531789">
        <w:rPr>
          <w:rFonts w:ascii="Cambria" w:hAnsi="Cambria"/>
          <w:i/>
        </w:rPr>
        <w:t xml:space="preserve">NAR </w:t>
      </w:r>
      <w:r w:rsidRPr="00531789">
        <w:rPr>
          <w:rFonts w:ascii="Cambria" w:hAnsi="Cambria"/>
        </w:rPr>
        <w:t>is net assimilation rate (g plant mass m</w:t>
      </w:r>
      <w:r w:rsidRPr="00531789">
        <w:rPr>
          <w:rFonts w:ascii="Cambria" w:hAnsi="Cambria"/>
          <w:vertAlign w:val="superscript"/>
        </w:rPr>
        <w:t>-2</w:t>
      </w:r>
      <w:r w:rsidRPr="00531789">
        <w:rPr>
          <w:rFonts w:ascii="Cambria" w:hAnsi="Cambria"/>
        </w:rPr>
        <w:t xml:space="preserve"> leaf area day</w:t>
      </w:r>
      <w:r w:rsidRPr="00531789">
        <w:rPr>
          <w:rFonts w:ascii="Cambria" w:hAnsi="Cambria"/>
          <w:vertAlign w:val="superscript"/>
        </w:rPr>
        <w:t>-1</w:t>
      </w:r>
      <w:r w:rsidRPr="00531789">
        <w:rPr>
          <w:rFonts w:ascii="Cambria" w:hAnsi="Cambria"/>
        </w:rPr>
        <w:t>).</w:t>
      </w:r>
    </w:p>
    <w:p w14:paraId="748AF3EC" w14:textId="77777777" w:rsidR="00DF4522" w:rsidRPr="00531789" w:rsidRDefault="00DF4522" w:rsidP="00DF4522">
      <w:pPr>
        <w:spacing w:line="360" w:lineRule="auto"/>
        <w:jc w:val="both"/>
        <w:rPr>
          <w:rFonts w:ascii="Cambria" w:hAnsi="Cambria" w:cs="Arial"/>
        </w:rPr>
      </w:pPr>
    </w:p>
    <w:p w14:paraId="11BC9B6D" w14:textId="77777777" w:rsidR="00DF4522" w:rsidRPr="00531789" w:rsidRDefault="00DF4522" w:rsidP="00DF4522">
      <w:pPr>
        <w:spacing w:line="360" w:lineRule="auto"/>
        <w:jc w:val="both"/>
        <w:rPr>
          <w:rFonts w:ascii="Cambria" w:hAnsi="Cambria"/>
        </w:rPr>
      </w:pPr>
      <w:r w:rsidRPr="00531789">
        <w:rPr>
          <w:rFonts w:ascii="Cambria" w:hAnsi="Cambria"/>
        </w:rPr>
        <w:t xml:space="preserve">Viewed through the lens of carbon allocation, growth depends critically on the availability of photosynthetic tissue, expressed as the </w:t>
      </w:r>
      <w:r w:rsidRPr="00531789">
        <w:rPr>
          <w:rFonts w:ascii="Cambria" w:hAnsi="Cambria"/>
          <w:i/>
        </w:rPr>
        <w:t>LAR</w:t>
      </w:r>
      <w:r w:rsidRPr="00531789">
        <w:rPr>
          <w:rFonts w:ascii="Cambria" w:hAnsi="Cambria"/>
        </w:rPr>
        <w:t xml:space="preserve">.  The </w:t>
      </w:r>
      <w:r w:rsidRPr="00531789">
        <w:rPr>
          <w:rFonts w:ascii="Cambria" w:hAnsi="Cambria"/>
          <w:i/>
        </w:rPr>
        <w:t xml:space="preserve">LAR </w:t>
      </w:r>
      <w:r w:rsidRPr="00531789">
        <w:rPr>
          <w:rFonts w:ascii="Cambria" w:hAnsi="Cambria"/>
        </w:rPr>
        <w:t xml:space="preserve">is in turn a product of </w:t>
      </w:r>
      <w:r w:rsidRPr="00531789">
        <w:rPr>
          <w:rFonts w:ascii="Cambria" w:hAnsi="Cambria"/>
          <w:i/>
        </w:rPr>
        <w:t>SLA</w:t>
      </w:r>
      <w:r w:rsidRPr="00531789">
        <w:rPr>
          <w:rFonts w:ascii="Cambria" w:hAnsi="Cambria"/>
        </w:rPr>
        <w:t>, the ratio of leaf area to leaf mass (efficiency of leaf area deployment, m</w:t>
      </w:r>
      <w:r w:rsidRPr="00531789">
        <w:rPr>
          <w:rFonts w:ascii="Cambria" w:hAnsi="Cambria"/>
          <w:vertAlign w:val="superscript"/>
        </w:rPr>
        <w:t>2</w:t>
      </w:r>
      <w:r w:rsidRPr="00531789">
        <w:rPr>
          <w:rFonts w:ascii="Cambria" w:hAnsi="Cambria"/>
        </w:rPr>
        <w:t xml:space="preserve"> g</w:t>
      </w:r>
      <w:r w:rsidRPr="00531789">
        <w:rPr>
          <w:rFonts w:ascii="Cambria" w:hAnsi="Cambria"/>
          <w:vertAlign w:val="superscript"/>
        </w:rPr>
        <w:t>-1</w:t>
      </w:r>
      <w:r w:rsidRPr="00531789">
        <w:rPr>
          <w:rFonts w:ascii="Cambria" w:hAnsi="Cambria"/>
        </w:rPr>
        <w:t xml:space="preserve"> leaf mass), and </w:t>
      </w:r>
      <w:r w:rsidRPr="00531789">
        <w:rPr>
          <w:rFonts w:ascii="Cambria" w:hAnsi="Cambria"/>
          <w:i/>
        </w:rPr>
        <w:t>LMR</w:t>
      </w:r>
      <w:r w:rsidRPr="00531789">
        <w:rPr>
          <w:rFonts w:ascii="Cambria" w:hAnsi="Cambria"/>
        </w:rPr>
        <w:t xml:space="preserve">, the ratio of </w:t>
      </w:r>
      <w:r w:rsidRPr="00531789">
        <w:rPr>
          <w:rFonts w:ascii="Cambria" w:hAnsi="Cambria"/>
          <w:i/>
        </w:rPr>
        <w:t>W</w:t>
      </w:r>
      <w:r w:rsidRPr="00531789">
        <w:rPr>
          <w:rFonts w:ascii="Cambria" w:hAnsi="Cambria"/>
          <w:i/>
          <w:vertAlign w:val="subscript"/>
        </w:rPr>
        <w:t>L</w:t>
      </w:r>
      <w:r w:rsidRPr="00531789">
        <w:rPr>
          <w:rFonts w:ascii="Cambria" w:hAnsi="Cambria"/>
        </w:rPr>
        <w:t xml:space="preserve"> to </w:t>
      </w:r>
      <w:r w:rsidRPr="00531789">
        <w:rPr>
          <w:rFonts w:ascii="Cambria" w:hAnsi="Cambria"/>
          <w:i/>
        </w:rPr>
        <w:t>W</w:t>
      </w:r>
      <w:r w:rsidRPr="00531789">
        <w:rPr>
          <w:rFonts w:ascii="Cambria" w:hAnsi="Cambria"/>
          <w:i/>
          <w:vertAlign w:val="subscript"/>
        </w:rPr>
        <w:t>P</w:t>
      </w:r>
      <w:r w:rsidRPr="00531789">
        <w:rPr>
          <w:rFonts w:ascii="Cambria" w:hAnsi="Cambria"/>
        </w:rPr>
        <w:t xml:space="preserve"> (dimensionless):</w:t>
      </w:r>
    </w:p>
    <w:p w14:paraId="0BA34D4A" w14:textId="77777777" w:rsidR="00DF4522" w:rsidRPr="00531789" w:rsidRDefault="00DF4522" w:rsidP="00DF4522">
      <w:pPr>
        <w:spacing w:line="360" w:lineRule="auto"/>
        <w:jc w:val="both"/>
        <w:rPr>
          <w:rFonts w:ascii="Cambria" w:hAnsi="Cambria"/>
        </w:rPr>
      </w:pPr>
    </w:p>
    <w:p w14:paraId="12D8B533" w14:textId="77777777" w:rsidR="00DF4522" w:rsidRPr="00531789" w:rsidRDefault="00DF4522" w:rsidP="00DF4522">
      <w:pPr>
        <w:spacing w:line="360" w:lineRule="auto"/>
        <w:jc w:val="right"/>
        <w:rPr>
          <w:rFonts w:ascii="Cambria" w:hAnsi="Cambria" w:cs="Arial"/>
        </w:rPr>
      </w:pPr>
      <m:oMath>
        <m:r>
          <w:rPr>
            <w:rFonts w:ascii="Cambria Math" w:hAnsi="Cambria Math" w:cs="Arial"/>
          </w:rPr>
          <m:t>LAR=SLA . LMR</m:t>
        </m:r>
      </m:oMath>
      <w:r w:rsidRPr="00531789">
        <w:rPr>
          <w:rFonts w:ascii="Cambria" w:hAnsi="Cambria" w:cs="Arial"/>
          <w:i/>
        </w:rPr>
        <w:tab/>
      </w:r>
      <w:r w:rsidRPr="00531789">
        <w:rPr>
          <w:rFonts w:ascii="Cambria" w:hAnsi="Cambria" w:cs="Arial"/>
          <w:i/>
        </w:rPr>
        <w:tab/>
      </w:r>
      <w:r w:rsidRPr="00531789">
        <w:rPr>
          <w:rFonts w:ascii="Cambria" w:hAnsi="Cambria" w:cs="Arial"/>
          <w:i/>
        </w:rPr>
        <w:tab/>
      </w:r>
      <w:r w:rsidRPr="00531789">
        <w:rPr>
          <w:rFonts w:ascii="Cambria" w:hAnsi="Cambria" w:cs="Arial"/>
          <w:i/>
        </w:rPr>
        <w:tab/>
      </w:r>
      <w:r w:rsidRPr="00531789">
        <w:rPr>
          <w:rFonts w:ascii="Cambria" w:hAnsi="Cambria" w:cs="Arial"/>
        </w:rPr>
        <w:t>(Equation 5b).</w:t>
      </w:r>
    </w:p>
    <w:p w14:paraId="1EAC2A8A" w14:textId="77777777" w:rsidR="00DF4522" w:rsidRPr="00531789" w:rsidRDefault="00DF4522" w:rsidP="00DF4522">
      <w:pPr>
        <w:spacing w:line="360" w:lineRule="auto"/>
        <w:jc w:val="both"/>
        <w:rPr>
          <w:rFonts w:ascii="Cambria" w:hAnsi="Cambria" w:cs="Arial"/>
        </w:rPr>
      </w:pPr>
    </w:p>
    <w:p w14:paraId="4DE8AEC6" w14:textId="77777777" w:rsidR="00DF4522" w:rsidRPr="00531789" w:rsidRDefault="00DF4522" w:rsidP="00DF4522">
      <w:pPr>
        <w:spacing w:line="360" w:lineRule="auto"/>
        <w:jc w:val="both"/>
        <w:rPr>
          <w:rFonts w:ascii="Cambria" w:hAnsi="Cambria" w:cs="Arial"/>
        </w:rPr>
      </w:pPr>
    </w:p>
    <w:p w14:paraId="7285B612"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Both </w:t>
      </w:r>
      <w:r w:rsidRPr="00531789">
        <w:rPr>
          <w:rFonts w:ascii="Cambria" w:hAnsi="Cambria" w:cs="Arial"/>
          <w:i/>
        </w:rPr>
        <w:t xml:space="preserve">SLA </w:t>
      </w:r>
      <w:r w:rsidRPr="00531789">
        <w:rPr>
          <w:rFonts w:ascii="Cambria" w:hAnsi="Cambria" w:cs="Arial"/>
        </w:rPr>
        <w:t xml:space="preserve">and </w:t>
      </w:r>
      <w:r w:rsidRPr="00531789">
        <w:rPr>
          <w:rFonts w:ascii="Cambria" w:hAnsi="Cambria" w:cs="Arial"/>
          <w:i/>
        </w:rPr>
        <w:t>LMR</w:t>
      </w:r>
      <w:r w:rsidRPr="00531789">
        <w:rPr>
          <w:rFonts w:ascii="Cambria" w:hAnsi="Cambria" w:cs="Arial"/>
        </w:rPr>
        <w:t xml:space="preserve"> vary with</w:t>
      </w:r>
      <w:r w:rsidRPr="00531789">
        <w:rPr>
          <w:rFonts w:ascii="Cambria" w:hAnsi="Cambria" w:cs="Arial"/>
          <w:i/>
        </w:rPr>
        <w:t xml:space="preserve"> W</w:t>
      </w:r>
      <w:r w:rsidRPr="00531789">
        <w:rPr>
          <w:rFonts w:ascii="Cambria" w:hAnsi="Cambria" w:cs="Arial"/>
          <w:i/>
          <w:vertAlign w:val="subscript"/>
        </w:rPr>
        <w:t>P</w:t>
      </w:r>
      <w:r w:rsidRPr="00531789">
        <w:rPr>
          <w:rFonts w:ascii="Cambria" w:hAnsi="Cambria" w:cs="Arial"/>
        </w:rPr>
        <w:t>.  At any point in time, by definition, leaf area (</w:t>
      </w:r>
      <w:r w:rsidRPr="00531789">
        <w:rPr>
          <w:rFonts w:ascii="Cambria" w:hAnsi="Cambria" w:cs="Arial"/>
          <w:i/>
        </w:rPr>
        <w:t>L</w:t>
      </w:r>
      <w:r w:rsidRPr="00531789">
        <w:rPr>
          <w:rFonts w:ascii="Cambria" w:hAnsi="Cambria" w:cs="Arial"/>
        </w:rPr>
        <w:t>, in m</w:t>
      </w:r>
      <w:r w:rsidRPr="00531789">
        <w:rPr>
          <w:rFonts w:ascii="Cambria" w:hAnsi="Cambria" w:cs="Arial"/>
          <w:vertAlign w:val="superscript"/>
        </w:rPr>
        <w:t>2</w:t>
      </w:r>
      <w:r w:rsidRPr="00531789">
        <w:rPr>
          <w:rFonts w:ascii="Cambria" w:hAnsi="Cambria" w:cs="Arial"/>
        </w:rPr>
        <w:t>) is therefore given by the following equation:</w:t>
      </w:r>
    </w:p>
    <w:p w14:paraId="0EA6D012" w14:textId="77777777" w:rsidR="00DF4522" w:rsidRPr="00531789" w:rsidRDefault="00DF4522" w:rsidP="00DF4522">
      <w:pPr>
        <w:spacing w:line="360" w:lineRule="auto"/>
        <w:jc w:val="both"/>
        <w:rPr>
          <w:rFonts w:ascii="Cambria" w:hAnsi="Cambria" w:cs="Arial"/>
        </w:rPr>
      </w:pPr>
    </w:p>
    <w:p w14:paraId="3088FC03" w14:textId="77777777" w:rsidR="00DF4522" w:rsidRPr="00531789" w:rsidRDefault="00DF4522" w:rsidP="00DF4522">
      <w:pPr>
        <w:spacing w:line="360" w:lineRule="auto"/>
        <w:jc w:val="right"/>
        <w:rPr>
          <w:rFonts w:ascii="Cambria" w:hAnsi="Cambria" w:cs="Arial"/>
        </w:rPr>
      </w:pPr>
      <w:r>
        <w:rPr>
          <w:rFonts w:ascii="Cambria" w:hAnsi="Cambria" w:cs="Arial"/>
        </w:rPr>
        <w:t xml:space="preserve">                        </w:t>
      </w:r>
      <m:oMath>
        <m:r>
          <w:rPr>
            <w:rFonts w:ascii="Cambria Math" w:hAnsi="Cambria Math" w:cs="Arial"/>
          </w:rPr>
          <m:t xml:space="preserve">L=SLA </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W</m:t>
                </m:r>
              </m:e>
              <m:sub>
                <m:r>
                  <w:rPr>
                    <w:rFonts w:ascii="Cambria Math" w:hAnsi="Cambria Math" w:cs="Arial"/>
                  </w:rPr>
                  <m:t>P</m:t>
                </m:r>
              </m:sub>
            </m:sSub>
          </m:e>
        </m:d>
        <m:r>
          <w:rPr>
            <w:rFonts w:ascii="Cambria Math" w:hAnsi="Cambria Math" w:cs="Arial"/>
          </w:rPr>
          <m:t>. L</m:t>
        </m:r>
        <m:r>
          <w:rPr>
            <w:rFonts w:ascii="Cambria Math" w:hAnsi="Cambria Math" w:cs="Cambria Math"/>
          </w:rPr>
          <m:t>M</m:t>
        </m:r>
        <m:r>
          <w:rPr>
            <w:rFonts w:ascii="Cambria Math" w:hAnsi="Cambria Math" w:cs="Arial"/>
          </w:rPr>
          <m:t xml:space="preserve">R </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W</m:t>
                </m:r>
              </m:e>
              <m:sub>
                <m:r>
                  <w:rPr>
                    <w:rFonts w:ascii="Cambria Math" w:hAnsi="Cambria Math" w:cs="Arial"/>
                  </w:rPr>
                  <m:t>P</m:t>
                </m:r>
              </m:sub>
            </m:sSub>
          </m:e>
        </m:d>
        <m:r>
          <w:rPr>
            <w:rFonts w:ascii="Cambria Math" w:hAnsi="Cambria Math" w:cs="Arial"/>
          </w:rPr>
          <m:t xml:space="preserve"> . </m:t>
        </m:r>
        <m:sSub>
          <m:sSubPr>
            <m:ctrlPr>
              <w:rPr>
                <w:rFonts w:ascii="Cambria Math" w:hAnsi="Cambria Math" w:cs="Arial"/>
                <w:i/>
              </w:rPr>
            </m:ctrlPr>
          </m:sSubPr>
          <m:e>
            <m:r>
              <w:rPr>
                <w:rFonts w:ascii="Cambria Math" w:hAnsi="Cambria Math" w:cs="Arial"/>
              </w:rPr>
              <m:t>W</m:t>
            </m:r>
          </m:e>
          <m:sub>
            <m:r>
              <w:rPr>
                <w:rFonts w:ascii="Cambria Math" w:hAnsi="Cambria Math" w:cs="Arial"/>
              </w:rPr>
              <m:t>P</m:t>
            </m:r>
          </m:sub>
        </m:sSub>
      </m:oMath>
      <w:r>
        <w:rPr>
          <w:rFonts w:ascii="Cambria" w:hAnsi="Cambria" w:cs="Arial"/>
        </w:rPr>
        <w:tab/>
      </w:r>
      <w:r>
        <w:rPr>
          <w:rFonts w:ascii="Cambria" w:hAnsi="Cambria" w:cs="Arial"/>
        </w:rPr>
        <w:tab/>
      </w:r>
      <w:r>
        <w:rPr>
          <w:rFonts w:ascii="Cambria" w:hAnsi="Cambria" w:cs="Arial"/>
        </w:rPr>
        <w:tab/>
        <w:t>(Equation 5c),</w:t>
      </w:r>
    </w:p>
    <w:p w14:paraId="1238BEC8" w14:textId="77777777" w:rsidR="00DF4522" w:rsidRPr="00531789" w:rsidRDefault="00DF4522" w:rsidP="00DF4522">
      <w:pPr>
        <w:spacing w:line="360" w:lineRule="auto"/>
        <w:jc w:val="both"/>
        <w:rPr>
          <w:rFonts w:ascii="Cambria" w:hAnsi="Cambria" w:cs="Arial"/>
        </w:rPr>
      </w:pPr>
    </w:p>
    <w:p w14:paraId="25FBC145"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where </w:t>
      </w:r>
      <w:r w:rsidRPr="00531789">
        <w:rPr>
          <w:rFonts w:ascii="Cambria" w:hAnsi="Cambria" w:cs="Arial"/>
          <w:i/>
        </w:rPr>
        <w:t>SLA(W</w:t>
      </w:r>
      <w:r w:rsidRPr="00531789">
        <w:rPr>
          <w:rFonts w:ascii="Cambria" w:hAnsi="Cambria" w:cs="Arial"/>
          <w:i/>
          <w:vertAlign w:val="subscript"/>
        </w:rPr>
        <w:t>P</w:t>
      </w:r>
      <w:r w:rsidRPr="00531789">
        <w:rPr>
          <w:rFonts w:ascii="Cambria" w:hAnsi="Cambria" w:cs="Arial"/>
          <w:i/>
        </w:rPr>
        <w:t>)</w:t>
      </w:r>
      <w:r w:rsidRPr="00531789">
        <w:rPr>
          <w:rFonts w:ascii="Cambria" w:hAnsi="Cambria" w:cs="Arial"/>
        </w:rPr>
        <w:t xml:space="preserve"> and </w:t>
      </w:r>
      <w:r w:rsidRPr="00531789">
        <w:rPr>
          <w:rFonts w:ascii="Cambria" w:hAnsi="Cambria" w:cs="Arial"/>
          <w:i/>
        </w:rPr>
        <w:t>LMR(W</w:t>
      </w:r>
      <w:r w:rsidRPr="00531789">
        <w:rPr>
          <w:rFonts w:ascii="Cambria" w:hAnsi="Cambria" w:cs="Arial"/>
          <w:i/>
          <w:vertAlign w:val="subscript"/>
        </w:rPr>
        <w:t>P</w:t>
      </w:r>
      <w:r w:rsidRPr="00531789">
        <w:rPr>
          <w:rFonts w:ascii="Cambria" w:hAnsi="Cambria" w:cs="Arial"/>
          <w:i/>
        </w:rPr>
        <w:t>)</w:t>
      </w:r>
      <w:r w:rsidRPr="00531789">
        <w:rPr>
          <w:rFonts w:ascii="Cambria" w:hAnsi="Cambria" w:cs="Arial"/>
        </w:rPr>
        <w:t xml:space="preserve"> denote </w:t>
      </w:r>
      <w:r w:rsidRPr="00531789">
        <w:rPr>
          <w:rFonts w:ascii="Cambria" w:hAnsi="Cambria" w:cs="Arial"/>
          <w:i/>
        </w:rPr>
        <w:t>W</w:t>
      </w:r>
      <w:r w:rsidRPr="00531789">
        <w:rPr>
          <w:rFonts w:ascii="Cambria" w:hAnsi="Cambria" w:cs="Arial"/>
          <w:i/>
          <w:vertAlign w:val="subscript"/>
        </w:rPr>
        <w:t>P</w:t>
      </w:r>
      <w:r w:rsidRPr="00531789">
        <w:rPr>
          <w:rFonts w:ascii="Cambria" w:hAnsi="Cambria" w:cs="Arial"/>
        </w:rPr>
        <w:t xml:space="preserve">-dependent values of </w:t>
      </w:r>
      <w:r w:rsidRPr="00531789">
        <w:rPr>
          <w:rFonts w:ascii="Cambria" w:hAnsi="Cambria" w:cs="Arial"/>
          <w:i/>
        </w:rPr>
        <w:t>SLA</w:t>
      </w:r>
      <w:r w:rsidRPr="00531789">
        <w:rPr>
          <w:rFonts w:ascii="Cambria" w:hAnsi="Cambria" w:cs="Arial"/>
        </w:rPr>
        <w:t xml:space="preserve"> and </w:t>
      </w:r>
      <w:r w:rsidRPr="00531789">
        <w:rPr>
          <w:rFonts w:ascii="Cambria" w:hAnsi="Cambria" w:cs="Arial"/>
          <w:i/>
        </w:rPr>
        <w:t>LMR</w:t>
      </w:r>
      <w:r w:rsidRPr="00531789">
        <w:rPr>
          <w:rFonts w:ascii="Cambria" w:hAnsi="Cambria" w:cs="Arial"/>
        </w:rPr>
        <w:t xml:space="preserve">.  The </w:t>
      </w:r>
      <w:r w:rsidRPr="00531789">
        <w:rPr>
          <w:rFonts w:ascii="Cambria" w:hAnsi="Cambria" w:cs="Arial"/>
          <w:i/>
        </w:rPr>
        <w:t>LAR</w:t>
      </w:r>
      <w:r w:rsidRPr="00531789">
        <w:rPr>
          <w:rFonts w:ascii="Cambria" w:hAnsi="Cambria" w:cs="Arial"/>
        </w:rPr>
        <w:t xml:space="preserve"> changes over time in accordance with changes in allocation during growth, and the components of </w:t>
      </w:r>
      <w:r w:rsidRPr="00531789">
        <w:rPr>
          <w:rFonts w:ascii="Cambria" w:hAnsi="Cambria" w:cs="Arial"/>
          <w:i/>
        </w:rPr>
        <w:t xml:space="preserve">LAR </w:t>
      </w:r>
      <w:r w:rsidRPr="00531789">
        <w:rPr>
          <w:rFonts w:ascii="Cambria" w:hAnsi="Cambria" w:cs="Arial"/>
        </w:rPr>
        <w:t xml:space="preserve">therefore vary with plant mass, </w:t>
      </w:r>
      <w:r w:rsidRPr="00531789">
        <w:rPr>
          <w:rFonts w:ascii="Cambria" w:hAnsi="Cambria" w:cs="Arial"/>
          <w:i/>
        </w:rPr>
        <w:t>W</w:t>
      </w:r>
      <w:r w:rsidRPr="00531789">
        <w:rPr>
          <w:rFonts w:ascii="Cambria" w:hAnsi="Cambria" w:cs="Arial"/>
          <w:i/>
          <w:vertAlign w:val="subscript"/>
        </w:rPr>
        <w:t>P</w:t>
      </w:r>
      <w:r w:rsidRPr="00531789">
        <w:rPr>
          <w:rFonts w:ascii="Cambria" w:hAnsi="Cambria" w:cs="Arial"/>
        </w:rPr>
        <w:t xml:space="preserve">:  </w:t>
      </w:r>
    </w:p>
    <w:p w14:paraId="463239E6" w14:textId="77777777" w:rsidR="00DF4522" w:rsidRPr="00531789" w:rsidRDefault="00DF4522" w:rsidP="00DF4522">
      <w:pPr>
        <w:spacing w:line="360" w:lineRule="auto"/>
        <w:jc w:val="both"/>
        <w:rPr>
          <w:rFonts w:ascii="Cambria" w:hAnsi="Cambria" w:cs="Arial"/>
        </w:rPr>
      </w:pPr>
    </w:p>
    <w:p w14:paraId="0FE4117D" w14:textId="77777777" w:rsidR="00DF4522" w:rsidRPr="00531789" w:rsidRDefault="00E104AE" w:rsidP="00DF4522">
      <w:pPr>
        <w:spacing w:line="360" w:lineRule="auto"/>
        <w:jc w:val="both"/>
        <w:rPr>
          <w:rFonts w:ascii="Cambria" w:hAnsi="Cambria" w:cs="Arial"/>
        </w:rPr>
      </w:pPr>
      <m:oMathPara>
        <m:oMath>
          <m:f>
            <m:fPr>
              <m:ctrlPr>
                <w:rPr>
                  <w:rFonts w:ascii="Cambria Math" w:hAnsi="Cambria Math" w:cs="Arial"/>
                  <w:i/>
                </w:rPr>
              </m:ctrlPr>
            </m:fPr>
            <m:num>
              <m:r>
                <w:rPr>
                  <w:rFonts w:ascii="Cambria Math" w:hAnsi="Cambria Math" w:cs="Arial"/>
                </w:rPr>
                <m:t>dL</m:t>
              </m:r>
            </m:num>
            <m:den>
              <m:r>
                <w:rPr>
                  <w:rFonts w:ascii="Cambria Math" w:hAnsi="Cambria Math" w:cs="Arial"/>
                </w:rPr>
                <m:t>dt</m:t>
              </m:r>
            </m:den>
          </m:f>
          <m:r>
            <w:rPr>
              <w:rFonts w:ascii="Cambria Math" w:hAnsi="Cambria Math" w:cs="Arial"/>
            </w:rPr>
            <m:t>=</m:t>
          </m:r>
          <m:f>
            <m:fPr>
              <m:ctrlPr>
                <w:rPr>
                  <w:rFonts w:ascii="Cambria Math" w:hAnsi="Cambria Math" w:cs="Arial"/>
                  <w:i/>
                </w:rPr>
              </m:ctrlPr>
            </m:fPr>
            <m:num>
              <m:r>
                <w:rPr>
                  <w:rFonts w:ascii="Cambria Math" w:hAnsi="Cambria Math" w:cs="Arial"/>
                </w:rPr>
                <m:t>∂SLA</m:t>
              </m:r>
            </m:num>
            <m:den>
              <m:r>
                <w:rPr>
                  <w:rFonts w:ascii="Cambria Math" w:hAnsi="Cambria Math" w:cs="Arial"/>
                </w:rPr>
                <m:t>∂</m:t>
              </m:r>
              <m:sSub>
                <m:sSubPr>
                  <m:ctrlPr>
                    <w:rPr>
                      <w:rFonts w:ascii="Cambria Math" w:hAnsi="Cambria Math" w:cs="Arial"/>
                      <w:i/>
                    </w:rPr>
                  </m:ctrlPr>
                </m:sSubPr>
                <m:e>
                  <m:r>
                    <w:rPr>
                      <w:rFonts w:ascii="Cambria Math" w:hAnsi="Cambria Math" w:cs="Arial"/>
                    </w:rPr>
                    <m:t>W</m:t>
                  </m:r>
                </m:e>
                <m:sub>
                  <m:r>
                    <w:rPr>
                      <w:rFonts w:ascii="Cambria Math" w:hAnsi="Cambria Math" w:cs="Arial"/>
                    </w:rPr>
                    <m:t>P</m:t>
                  </m:r>
                </m:sub>
              </m:sSub>
            </m:den>
          </m:f>
          <m:f>
            <m:fPr>
              <m:ctrlPr>
                <w:rPr>
                  <w:rFonts w:ascii="Cambria Math" w:hAnsi="Cambria Math" w:cs="Arial"/>
                  <w:i/>
                </w:rPr>
              </m:ctrlPr>
            </m:fPr>
            <m:num>
              <m:r>
                <w:rPr>
                  <w:rFonts w:ascii="Cambria Math" w:hAnsi="Cambria Math" w:cs="Arial"/>
                </w:rPr>
                <m:t>∂</m:t>
              </m:r>
              <m:sSub>
                <m:sSubPr>
                  <m:ctrlPr>
                    <w:rPr>
                      <w:rFonts w:ascii="Cambria Math" w:hAnsi="Cambria Math" w:cs="Arial"/>
                      <w:i/>
                    </w:rPr>
                  </m:ctrlPr>
                </m:sSubPr>
                <m:e>
                  <m:r>
                    <w:rPr>
                      <w:rFonts w:ascii="Cambria Math" w:hAnsi="Cambria Math" w:cs="Arial"/>
                    </w:rPr>
                    <m:t>W</m:t>
                  </m:r>
                </m:e>
                <m:sub>
                  <m:r>
                    <w:rPr>
                      <w:rFonts w:ascii="Cambria Math" w:hAnsi="Cambria Math" w:cs="Arial"/>
                    </w:rPr>
                    <m:t>P</m:t>
                  </m:r>
                </m:sub>
              </m:sSub>
            </m:num>
            <m:den>
              <m:r>
                <w:rPr>
                  <w:rFonts w:ascii="Cambria Math" w:hAnsi="Cambria Math" w:cs="Arial"/>
                </w:rPr>
                <m:t>∂t</m:t>
              </m:r>
            </m:den>
          </m:f>
          <m:r>
            <w:rPr>
              <w:rFonts w:ascii="Cambria Math" w:hAnsi="Cambria Math" w:cs="Arial"/>
            </w:rPr>
            <m:t>LMR.</m:t>
          </m:r>
          <m:sSub>
            <m:sSubPr>
              <m:ctrlPr>
                <w:rPr>
                  <w:rFonts w:ascii="Cambria Math" w:hAnsi="Cambria Math" w:cs="Arial"/>
                  <w:i/>
                </w:rPr>
              </m:ctrlPr>
            </m:sSubPr>
            <m:e>
              <m:r>
                <w:rPr>
                  <w:rFonts w:ascii="Cambria Math" w:hAnsi="Cambria Math" w:cs="Arial"/>
                </w:rPr>
                <m:t>W</m:t>
              </m:r>
            </m:e>
            <m:sub>
              <m:r>
                <w:rPr>
                  <w:rFonts w:ascii="Cambria Math" w:hAnsi="Cambria Math" w:cs="Arial"/>
                </w:rPr>
                <m:t>P</m:t>
              </m:r>
            </m:sub>
          </m:sSub>
          <m:r>
            <w:rPr>
              <w:rFonts w:ascii="Cambria Math" w:hAnsi="Cambria Math" w:cs="Arial"/>
            </w:rPr>
            <m:t>+</m:t>
          </m:r>
          <m:f>
            <m:fPr>
              <m:ctrlPr>
                <w:rPr>
                  <w:rFonts w:ascii="Cambria Math" w:hAnsi="Cambria Math" w:cs="Arial"/>
                  <w:i/>
                </w:rPr>
              </m:ctrlPr>
            </m:fPr>
            <m:num>
              <m:r>
                <w:rPr>
                  <w:rFonts w:ascii="Cambria Math" w:hAnsi="Cambria Math" w:cs="Arial"/>
                </w:rPr>
                <m:t>∂LMR</m:t>
              </m:r>
            </m:num>
            <m:den>
              <m:r>
                <w:rPr>
                  <w:rFonts w:ascii="Cambria Math" w:hAnsi="Cambria Math" w:cs="Arial"/>
                </w:rPr>
                <m:t>∂</m:t>
              </m:r>
              <m:sSub>
                <m:sSubPr>
                  <m:ctrlPr>
                    <w:rPr>
                      <w:rFonts w:ascii="Cambria Math" w:hAnsi="Cambria Math" w:cs="Arial"/>
                      <w:i/>
                    </w:rPr>
                  </m:ctrlPr>
                </m:sSubPr>
                <m:e>
                  <m:r>
                    <w:rPr>
                      <w:rFonts w:ascii="Cambria Math" w:hAnsi="Cambria Math" w:cs="Arial"/>
                    </w:rPr>
                    <m:t>W</m:t>
                  </m:r>
                </m:e>
                <m:sub>
                  <m:r>
                    <w:rPr>
                      <w:rFonts w:ascii="Cambria Math" w:hAnsi="Cambria Math" w:cs="Arial"/>
                    </w:rPr>
                    <m:t>P</m:t>
                  </m:r>
                </m:sub>
              </m:sSub>
            </m:den>
          </m:f>
          <m:f>
            <m:fPr>
              <m:ctrlPr>
                <w:rPr>
                  <w:rFonts w:ascii="Cambria Math" w:hAnsi="Cambria Math" w:cs="Arial"/>
                  <w:i/>
                </w:rPr>
              </m:ctrlPr>
            </m:fPr>
            <m:num>
              <m:r>
                <w:rPr>
                  <w:rFonts w:ascii="Cambria Math" w:hAnsi="Cambria Math" w:cs="Arial"/>
                </w:rPr>
                <m:t>∂</m:t>
              </m:r>
              <m:sSub>
                <m:sSubPr>
                  <m:ctrlPr>
                    <w:rPr>
                      <w:rFonts w:ascii="Cambria Math" w:hAnsi="Cambria Math" w:cs="Arial"/>
                      <w:i/>
                    </w:rPr>
                  </m:ctrlPr>
                </m:sSubPr>
                <m:e>
                  <m:r>
                    <w:rPr>
                      <w:rFonts w:ascii="Cambria Math" w:hAnsi="Cambria Math" w:cs="Arial"/>
                    </w:rPr>
                    <m:t>W</m:t>
                  </m:r>
                </m:e>
                <m:sub>
                  <m:r>
                    <w:rPr>
                      <w:rFonts w:ascii="Cambria Math" w:hAnsi="Cambria Math" w:cs="Arial"/>
                    </w:rPr>
                    <m:t>P</m:t>
                  </m:r>
                </m:sub>
              </m:sSub>
            </m:num>
            <m:den>
              <m:r>
                <w:rPr>
                  <w:rFonts w:ascii="Cambria Math" w:hAnsi="Cambria Math" w:cs="Arial"/>
                </w:rPr>
                <m:t>∂t</m:t>
              </m:r>
            </m:den>
          </m:f>
          <m:r>
            <w:rPr>
              <w:rFonts w:ascii="Cambria Math" w:hAnsi="Cambria Math" w:cs="Arial"/>
            </w:rPr>
            <m:t>SLA.</m:t>
          </m:r>
          <m:sSub>
            <m:sSubPr>
              <m:ctrlPr>
                <w:rPr>
                  <w:rFonts w:ascii="Cambria Math" w:hAnsi="Cambria Math" w:cs="Arial"/>
                  <w:i/>
                </w:rPr>
              </m:ctrlPr>
            </m:sSubPr>
            <m:e>
              <m:r>
                <w:rPr>
                  <w:rFonts w:ascii="Cambria Math" w:hAnsi="Cambria Math" w:cs="Arial"/>
                </w:rPr>
                <m:t>W</m:t>
              </m:r>
            </m:e>
            <m:sub>
              <m:r>
                <w:rPr>
                  <w:rFonts w:ascii="Cambria Math" w:hAnsi="Cambria Math" w:cs="Arial"/>
                </w:rPr>
                <m:t>P</m:t>
              </m:r>
            </m:sub>
          </m:sSub>
          <m:r>
            <w:rPr>
              <w:rFonts w:ascii="Cambria Math" w:hAnsi="Cambria Math" w:cs="Arial"/>
            </w:rPr>
            <m:t>+</m:t>
          </m:r>
          <m:f>
            <m:fPr>
              <m:ctrlPr>
                <w:rPr>
                  <w:rFonts w:ascii="Cambria Math" w:hAnsi="Cambria Math" w:cs="Arial"/>
                  <w:i/>
                </w:rPr>
              </m:ctrlPr>
            </m:fPr>
            <m:num>
              <m:r>
                <w:rPr>
                  <w:rFonts w:ascii="Cambria Math" w:hAnsi="Cambria Math" w:cs="Arial"/>
                </w:rPr>
                <m:t>∂</m:t>
              </m:r>
              <m:sSub>
                <m:sSubPr>
                  <m:ctrlPr>
                    <w:rPr>
                      <w:rFonts w:ascii="Cambria Math" w:hAnsi="Cambria Math" w:cs="Arial"/>
                      <w:i/>
                    </w:rPr>
                  </m:ctrlPr>
                </m:sSubPr>
                <m:e>
                  <m:r>
                    <w:rPr>
                      <w:rFonts w:ascii="Cambria Math" w:hAnsi="Cambria Math" w:cs="Arial"/>
                    </w:rPr>
                    <m:t>W</m:t>
                  </m:r>
                </m:e>
                <m:sub>
                  <m:r>
                    <w:rPr>
                      <w:rFonts w:ascii="Cambria Math" w:hAnsi="Cambria Math" w:cs="Arial"/>
                    </w:rPr>
                    <m:t>P</m:t>
                  </m:r>
                </m:sub>
              </m:sSub>
            </m:num>
            <m:den>
              <m:r>
                <w:rPr>
                  <w:rFonts w:ascii="Cambria Math" w:hAnsi="Cambria Math" w:cs="Arial"/>
                </w:rPr>
                <m:t>∂t</m:t>
              </m:r>
            </m:den>
          </m:f>
          <m:r>
            <w:rPr>
              <w:rFonts w:ascii="Cambria Math" w:hAnsi="Cambria Math" w:cs="Arial"/>
            </w:rPr>
            <m:t>SLA.LMR</m:t>
          </m:r>
        </m:oMath>
      </m:oMathPara>
    </w:p>
    <w:p w14:paraId="3B7F8F39" w14:textId="77777777" w:rsidR="00DF4522" w:rsidRPr="00531789" w:rsidRDefault="00DF4522" w:rsidP="00DF4522">
      <w:pPr>
        <w:spacing w:line="360" w:lineRule="auto"/>
        <w:ind w:left="6480"/>
        <w:jc w:val="both"/>
        <w:rPr>
          <w:rFonts w:ascii="Cambria" w:hAnsi="Cambria" w:cs="Arial"/>
        </w:rPr>
      </w:pPr>
      <w:r>
        <w:rPr>
          <w:rFonts w:ascii="Cambria" w:hAnsi="Cambria" w:cs="Arial"/>
        </w:rPr>
        <w:t xml:space="preserve">  </w:t>
      </w:r>
      <w:r w:rsidRPr="00531789">
        <w:rPr>
          <w:rFonts w:ascii="Cambria" w:hAnsi="Cambria" w:cs="Arial"/>
        </w:rPr>
        <w:t xml:space="preserve">  (Equation 5d),</w:t>
      </w:r>
    </w:p>
    <w:p w14:paraId="27A65AFF" w14:textId="77777777" w:rsidR="00DF4522" w:rsidRPr="00531789" w:rsidRDefault="00DF4522" w:rsidP="00DF4522">
      <w:pPr>
        <w:spacing w:line="360" w:lineRule="auto"/>
        <w:ind w:left="6480"/>
        <w:jc w:val="both"/>
        <w:rPr>
          <w:rFonts w:ascii="Cambria" w:hAnsi="Cambria" w:cs="Arial"/>
        </w:rPr>
      </w:pPr>
    </w:p>
    <w:p w14:paraId="33FDA195"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where </w:t>
      </w:r>
      <m:oMath>
        <m:r>
          <w:rPr>
            <w:rFonts w:ascii="Cambria Math" w:hAnsi="Cambria Math" w:cs="Arial"/>
          </w:rPr>
          <m:t>∂SLA/∂</m:t>
        </m:r>
        <m:sSub>
          <m:sSubPr>
            <m:ctrlPr>
              <w:rPr>
                <w:rFonts w:ascii="Cambria Math" w:hAnsi="Cambria Math" w:cs="Arial"/>
                <w:i/>
              </w:rPr>
            </m:ctrlPr>
          </m:sSubPr>
          <m:e>
            <m:r>
              <w:rPr>
                <w:rFonts w:ascii="Cambria Math" w:hAnsi="Cambria Math" w:cs="Arial"/>
              </w:rPr>
              <m:t>W</m:t>
            </m:r>
          </m:e>
          <m:sub>
            <m:r>
              <w:rPr>
                <w:rFonts w:ascii="Cambria Math" w:hAnsi="Cambria Math" w:cs="Arial"/>
              </w:rPr>
              <m:t>P</m:t>
            </m:r>
          </m:sub>
        </m:sSub>
      </m:oMath>
      <w:r w:rsidRPr="00531789">
        <w:rPr>
          <w:rFonts w:ascii="Cambria" w:hAnsi="Cambria" w:cs="Arial"/>
        </w:rPr>
        <w:t xml:space="preserve"> and </w:t>
      </w:r>
      <m:oMath>
        <m:r>
          <w:rPr>
            <w:rFonts w:ascii="Cambria Math" w:hAnsi="Cambria Math" w:cs="Arial"/>
          </w:rPr>
          <m:t>∂LMR/∂</m:t>
        </m:r>
        <m:sSub>
          <m:sSubPr>
            <m:ctrlPr>
              <w:rPr>
                <w:rFonts w:ascii="Cambria Math" w:hAnsi="Cambria Math" w:cs="Arial"/>
                <w:i/>
              </w:rPr>
            </m:ctrlPr>
          </m:sSubPr>
          <m:e>
            <m:r>
              <w:rPr>
                <w:rFonts w:ascii="Cambria Math" w:hAnsi="Cambria Math" w:cs="Arial"/>
              </w:rPr>
              <m:t>W</m:t>
            </m:r>
          </m:e>
          <m:sub>
            <m:r>
              <w:rPr>
                <w:rFonts w:ascii="Cambria Math" w:hAnsi="Cambria Math" w:cs="Arial"/>
              </w:rPr>
              <m:t>P</m:t>
            </m:r>
          </m:sub>
        </m:sSub>
      </m:oMath>
      <w:r w:rsidRPr="00531789">
        <w:rPr>
          <w:rFonts w:ascii="Cambria" w:hAnsi="Cambria" w:cs="Arial"/>
        </w:rPr>
        <w:t xml:space="preserve"> describe the effects of allocation changing over time. </w:t>
      </w:r>
    </w:p>
    <w:p w14:paraId="242CACC5" w14:textId="77777777" w:rsidR="00DF4522" w:rsidRPr="00531789" w:rsidRDefault="00DF4522" w:rsidP="00DF4522">
      <w:pPr>
        <w:spacing w:line="360" w:lineRule="auto"/>
        <w:jc w:val="both"/>
        <w:rPr>
          <w:rFonts w:ascii="Cambria" w:hAnsi="Cambria" w:cs="Arial"/>
        </w:rPr>
      </w:pPr>
    </w:p>
    <w:p w14:paraId="60ECBAA9"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The allocation perspective on growth, like the physiological perspective, can be interpreted in terms of source-sink interactions.  For carbon, leaves constitute a net source whilst roots constitute a net sink.  Thus Equation 5d describes the change in the carbon source over time, and equivalent equations for roots would describe the change in the carbon sink.  </w:t>
      </w:r>
    </w:p>
    <w:p w14:paraId="74C1CEF7" w14:textId="77777777" w:rsidR="00DF4522" w:rsidRPr="00531789" w:rsidRDefault="00DF4522" w:rsidP="00DF4522">
      <w:pPr>
        <w:spacing w:line="360" w:lineRule="auto"/>
        <w:jc w:val="both"/>
        <w:rPr>
          <w:rFonts w:ascii="Cambria" w:hAnsi="Cambria" w:cs="Arial"/>
        </w:rPr>
      </w:pPr>
    </w:p>
    <w:p w14:paraId="4A2DD74F"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These first two perspectives, which look at growth through the lenses of physiology and allocation, are ultimately resource-driven.  The physiological perspective defines growth as being driven by carbon acquisition from, and losses to, the external environment, although in reality sink feedbacks are also important here.  The allocation perspective is driven by the allocation of carbon to structures that are responsible for its net acquisition or consumption.  </w:t>
      </w:r>
    </w:p>
    <w:p w14:paraId="5BA9DC05" w14:textId="77777777" w:rsidR="00DF4522" w:rsidRPr="00531789" w:rsidRDefault="00DF4522" w:rsidP="00DF4522">
      <w:pPr>
        <w:spacing w:line="360" w:lineRule="auto"/>
        <w:jc w:val="both"/>
        <w:rPr>
          <w:rFonts w:ascii="Cambria" w:hAnsi="Cambria" w:cs="Arial"/>
          <w:b/>
        </w:rPr>
      </w:pPr>
    </w:p>
    <w:p w14:paraId="1E6AA25B" w14:textId="77777777" w:rsidR="00DF4522" w:rsidRPr="00531789" w:rsidRDefault="00DF4522" w:rsidP="00DF4522">
      <w:pPr>
        <w:spacing w:line="360" w:lineRule="auto"/>
        <w:jc w:val="both"/>
        <w:rPr>
          <w:rFonts w:ascii="Cambria" w:hAnsi="Cambria" w:cs="Arial"/>
          <w:b/>
        </w:rPr>
      </w:pPr>
      <w:r w:rsidRPr="00531789">
        <w:rPr>
          <w:rFonts w:ascii="Cambria" w:hAnsi="Cambria" w:cs="Arial"/>
          <w:b/>
        </w:rPr>
        <w:t>Development</w:t>
      </w:r>
    </w:p>
    <w:p w14:paraId="7BE33E2B" w14:textId="77777777" w:rsidR="00DF4522" w:rsidRPr="00531789" w:rsidRDefault="00DF4522" w:rsidP="00DF4522">
      <w:pPr>
        <w:spacing w:line="360" w:lineRule="auto"/>
        <w:jc w:val="both"/>
        <w:rPr>
          <w:rFonts w:ascii="Cambria" w:hAnsi="Cambria" w:cs="Arial"/>
          <w:b/>
        </w:rPr>
      </w:pPr>
    </w:p>
    <w:p w14:paraId="57D4F1E7"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The third perspective encompasses the developmental processes of organ initiation, growth and termination.  These processes represent carbon sinks.  </w:t>
      </w:r>
    </w:p>
    <w:p w14:paraId="1F51158B" w14:textId="77777777" w:rsidR="00DF4522" w:rsidRPr="00531789" w:rsidRDefault="00DF4522" w:rsidP="00DF4522">
      <w:pPr>
        <w:spacing w:line="360" w:lineRule="auto"/>
        <w:jc w:val="both"/>
        <w:rPr>
          <w:rFonts w:ascii="Cambria" w:hAnsi="Cambria" w:cs="Arial"/>
        </w:rPr>
      </w:pPr>
    </w:p>
    <w:p w14:paraId="04B43B2F" w14:textId="77777777" w:rsidR="00DF4522" w:rsidRPr="00531789" w:rsidRDefault="00DF4522" w:rsidP="00DF4522">
      <w:pPr>
        <w:spacing w:line="360" w:lineRule="auto"/>
        <w:jc w:val="both"/>
        <w:rPr>
          <w:rFonts w:ascii="Cambria" w:hAnsi="Cambria"/>
        </w:rPr>
      </w:pPr>
      <w:r w:rsidRPr="00531789">
        <w:rPr>
          <w:rFonts w:ascii="Cambria" w:hAnsi="Cambria" w:cs="Arial"/>
        </w:rPr>
        <w:t xml:space="preserve">In contrast to the first two approaches, which are resource-driven, the third perspective considers the developmental process explicitly, and this is the approach applied by developmental biologists working on growth in </w:t>
      </w:r>
      <w:r w:rsidRPr="00531789">
        <w:rPr>
          <w:rFonts w:ascii="Cambria" w:hAnsi="Cambria" w:cs="Arial"/>
          <w:i/>
        </w:rPr>
        <w:t xml:space="preserve">Arabidopsis </w:t>
      </w:r>
      <w:r w:rsidRPr="00531789">
        <w:rPr>
          <w:rFonts w:ascii="Cambria" w:hAnsi="Cambria" w:cs="Arial"/>
        </w:rPr>
        <w:t xml:space="preserve">and crop plants. </w:t>
      </w:r>
      <w:r w:rsidRPr="00531789">
        <w:rPr>
          <w:rFonts w:ascii="Cambria" w:hAnsi="Cambria"/>
        </w:rPr>
        <w:t xml:space="preserve">This perspective also impinges on large-scale </w:t>
      </w:r>
      <w:proofErr w:type="spellStart"/>
      <w:r w:rsidRPr="00531789">
        <w:rPr>
          <w:rFonts w:ascii="Cambria" w:hAnsi="Cambria"/>
        </w:rPr>
        <w:t>macroevolutionary</w:t>
      </w:r>
      <w:proofErr w:type="spellEnd"/>
      <w:r w:rsidRPr="00531789">
        <w:rPr>
          <w:rFonts w:ascii="Cambria" w:hAnsi="Cambria"/>
        </w:rPr>
        <w:t xml:space="preserve"> comparisons among species, since the evolution of development must inevitably drive changes in potential growth rate, for example in transitions between woody and herbaceous life forms </w:t>
      </w:r>
      <w:r w:rsidRPr="00531789">
        <w:rPr>
          <w:rFonts w:ascii="Cambria" w:hAnsi="Cambria"/>
        </w:rPr>
        <w:fldChar w:fldCharType="begin" w:fldLock="1"/>
      </w:r>
      <w:r>
        <w:rPr>
          <w:rFonts w:ascii="Cambria" w:hAnsi="Cambria"/>
        </w:rPr>
        <w:instrText>ADDIN CSL_CITATION { "citationItems" : [ { "id" : "ITEM-1", "itemData" : { "author" : [ { "dropping-particle" : "", "family" : "Dodd", "given" : "Michael E", "non-dropping-particle" : "", "parse-names" : false, "suffix" : "" }, { "dropping-particle" : "", "family" : "Silvertown", "given" : "Jonathan", "non-dropping-particle" : "", "parse-names" : false, "suffix" : "" }, { "dropping-particle" : "", "family" : "Chase", "given" : "Mark W", "non-dropping-particle" : "", "parse-names" : false, "suffix" : "" } ], "container-title" : "Evolution", "id" : "ITEM-1", "issue" : "3", "issued" : { "date-parts" : [ [ "1999" ] ] }, "page" : "732-744", "title" : "Phylogenetic analysis of trait evolution and species diversity variation among angiosperm families", "type" : "article-journal", "volume" : "53" }, "uris" : [ "http://www.mendeley.com/documents/?uuid=e4d3e64b-3bca-423f-8936-5a3d8cf64efe" ] } ], "mendeley" : { "formattedCitation" : "(Dodd &lt;i&gt;et al.&lt;/i&gt;, 1999)", "plainTextFormattedCitation" : "(Dodd et al., 1999)", "previouslyFormattedCitation" : "(Dodd &lt;i&gt;et al.&lt;/i&gt;, 1999)"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(Dodd </w:t>
      </w:r>
      <w:r w:rsidRPr="002C5907">
        <w:rPr>
          <w:rFonts w:ascii="Cambria" w:hAnsi="Cambria"/>
          <w:i/>
          <w:noProof/>
        </w:rPr>
        <w:t>et al.</w:t>
      </w:r>
      <w:r w:rsidRPr="002C5907">
        <w:rPr>
          <w:rFonts w:ascii="Cambria" w:hAnsi="Cambria"/>
          <w:noProof/>
        </w:rPr>
        <w:t>, 1999)</w:t>
      </w:r>
      <w:r w:rsidRPr="00531789">
        <w:rPr>
          <w:rFonts w:ascii="Cambria" w:hAnsi="Cambria"/>
        </w:rPr>
        <w:fldChar w:fldCharType="end"/>
      </w:r>
      <w:r w:rsidRPr="00531789">
        <w:rPr>
          <w:rFonts w:ascii="Cambria" w:hAnsi="Cambria"/>
        </w:rPr>
        <w:t xml:space="preserve"> or in transitions between determinate and indeterminate growth </w:t>
      </w:r>
      <w:r w:rsidRPr="00531789">
        <w:rPr>
          <w:rFonts w:ascii="Cambria" w:hAnsi="Cambria"/>
        </w:rPr>
        <w:fldChar w:fldCharType="begin" w:fldLock="1"/>
      </w:r>
      <w:r>
        <w:rPr>
          <w:rFonts w:ascii="Cambria" w:hAnsi="Cambria"/>
        </w:rPr>
        <w:instrText>ADDIN CSL_CITATION { "citationItems" : [ { "id" : "ITEM-1", "itemData" : { "DOI" : "10.1093/aob/mcm251", "ISSN" : "1095-8290", "PMID" : "17954472", "abstract" : "BACKGROUND: The difference between indeterminate and determinate growth in plants consists of the presence or absence of an active meristem in the fully developed organ. Determinate root growth implies that the root apical meristem (RAM) becomes exhausted. As a consequence, all cells in the root tip differentiate. This type of growth is widely found in roots of many angiosperm taxa and might have evolved as a developmental adaptation to water deficit (in desert Cactaceae), or low mineral content in the soil (proteoid roots in various taxa). SCOPE AND CONCLUSIONS: This review considers the mechanisms of determinate root growth to better understand how the RAM is maintained, how it functions, and the cellular and genetic bases of these processes. The role of the quiescent centre in RAM maintenance and exhaustion will be analysed. During root ageing, the RAM becomes smaller and its organization changes; however, it remains unknown whether every root is truly determinate in the sense that its RAM becomes exhausted before senescence. We define two types of determinate growth: constitutive where determinacy is a natural part of root development; and non-constitutive where determinacy is induced usually by an environmental factor. Determinate root growth is proposed to include two phases: the indeterminate growth phase, when the RAM continuously produces new cells; and the termination growth phase, when cell production gradually decreases and eventually ceases. Finally, new concepts regarding stem cells and a stem cell niche are discussed to help comprehend how the meristem is maintained in a broad taxonomic context.", "author" : [ { "dropping-particle" : "", "family" : "Shishkova", "given" : "S", "non-dropping-particle" : "", "parse-names" : false, "suffix" : "" }, { "dropping-particle" : "", "family" : "Rost", "given" : "T L", "non-dropping-particle" : "", "parse-names" : false, "suffix" : "" }, { "dropping-particle" : "", "family" : "Dubrovsky", "given" : "J G", "non-dropping-particle" : "", "parse-names" : false, "suffix" : "" } ], "container-title" : "Annals of Botany", "id" : "ITEM-1", "issue" : "3", "issued" : { "date-parts" : [ [ "2008", "2" ] ] }, "page" : "319-40", "title" : "Determinate root growth and meristem maintenance in angiosperms.", "type" : "article-journal", "volume" : "101" }, "uris" : [ "http://www.mendeley.com/documents/?uuid=68e67d36-30ce-4f5d-8863-e92cf8e1e7c6" ] } ], "mendeley" : { "formattedCitation" : "(Shishkova &lt;i&gt;et al.&lt;/i&gt;, 2008)", "plainTextFormattedCitation" : "(Shishkova et al., 2008)", "previouslyFormattedCitation" : "(Shishkova &lt;i&gt;et al.&lt;/i&gt;, 2008)"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(Shishkova </w:t>
      </w:r>
      <w:r w:rsidRPr="002C5907">
        <w:rPr>
          <w:rFonts w:ascii="Cambria" w:hAnsi="Cambria"/>
          <w:i/>
          <w:noProof/>
        </w:rPr>
        <w:t>et al.</w:t>
      </w:r>
      <w:r w:rsidRPr="002C5907">
        <w:rPr>
          <w:rFonts w:ascii="Cambria" w:hAnsi="Cambria"/>
          <w:noProof/>
        </w:rPr>
        <w:t>, 2008)</w:t>
      </w:r>
      <w:r w:rsidRPr="00531789">
        <w:rPr>
          <w:rFonts w:ascii="Cambria" w:hAnsi="Cambria"/>
        </w:rPr>
        <w:fldChar w:fldCharType="end"/>
      </w:r>
      <w:r w:rsidRPr="00531789">
        <w:rPr>
          <w:rFonts w:ascii="Cambria" w:hAnsi="Cambria"/>
        </w:rPr>
        <w:t>.</w:t>
      </w:r>
    </w:p>
    <w:p w14:paraId="114F2AB5" w14:textId="77777777" w:rsidR="00DF4522" w:rsidRPr="00531789" w:rsidRDefault="00DF4522" w:rsidP="00DF4522">
      <w:pPr>
        <w:spacing w:line="360" w:lineRule="auto"/>
        <w:jc w:val="both"/>
        <w:rPr>
          <w:rFonts w:ascii="Cambria" w:hAnsi="Cambria" w:cs="Arial"/>
        </w:rPr>
      </w:pPr>
    </w:p>
    <w:p w14:paraId="252610D0"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Cells divide and expand at a rate that is ultimately limited not by the speed of resource acquisition from the external environment </w:t>
      </w:r>
      <w:r w:rsidRPr="00531789">
        <w:rPr>
          <w:rFonts w:ascii="Cambria" w:hAnsi="Cambria" w:cs="Arial"/>
        </w:rPr>
        <w:fldChar w:fldCharType="begin" w:fldLock="1"/>
      </w:r>
      <w:r>
        <w:rPr>
          <w:rFonts w:ascii="Cambria" w:hAnsi="Cambria" w:cs="Arial"/>
        </w:rPr>
        <w:instrText>ADDIN CSL_CITATION { "citationItems" : [ { "id" : "ITEM-1", "itemData" : { "author" : [ { "dropping-particle" : "", "family" : "Pritchard", "given" : "Seth G.", "non-dropping-particle" : "", "parse-names" : false, "suffix" : "" }, { "dropping-particle" : "", "family" : "Rogers", "given" : "Hugo H.", "non-dropping-particle" : "", "parse-names" : false, "suffix" : "" }, { "dropping-particle" : "", "family" : "Prior", "given" : "Stephen A.", "non-dropping-particle" : "", "parse-names" : false, "suffix" : "" }, { "dropping-particle" : "", "family" : "Peterson", "given" : "Curt M.", "non-dropping-particle" : "", "parse-names" : false, "suffix" : "" } ], "container-title" : "Global Change Biology", "id" : "ITEM-1", "issued" : { "date-parts" : [ [ "1999" ] ] }, "page" : "807-837", "title" : "Elevated CO2 and plant structure: a review", "type" : "article-journal", "volume" : "5" }, "uris" : [ "http://www.mendeley.com/documents/?uuid=3fea1754-17f2-45bd-a880-934704242c46" ] }, { "id" : "ITEM-2", "itemData" : { "author" : [ { "dropping-particle" : "", "family" : "Granier", "given" : "Christine", "non-dropping-particle" : "", "parse-names" : false, "suffix" : "" }, { "dropping-particle" : "", "family" : "Cookson", "given" : "Sarah Jane", "non-dropping-particle" : "", "parse-names" : false, "suffix" : "" }, { "dropping-particle" : "", "family" : "Tardieu", "given" : "Francois", "non-dropping-particle" : "", "parse-names" : false, "suffix" : "" }, { "dropping-particle" : "", "family" : "Muller", "given" : "Bertrand", "non-dropping-particle" : "", "parse-names" : false, "suffix" : "" } ], "chapter-number" : "15", "container-title" : "Annual Plant Reviews Volume 32: Cell Cycle Control and Plant Development", "editor" : [ { "dropping-particle" : "", "family" : "Inze", "given" : "D", "non-dropping-particle" : "", "parse-names" : false, "suffix" : "" } ], "id" : "ITEM-2", "issued" : { "date-parts" : [ [ "2007" ] ] }, "page" : "335-355", "publisher" : "Blackwell", "title" : "Cell cycle and environmental stresses", "type" : "chapter" }, "uris" : [ "http://www.mendeley.com/documents/?uuid=e4a08bbd-920d-4cb4-8ef6-b628d7feb83e" ] } ], "mendeley" : { "formattedCitation" : "(Pritchard &lt;i&gt;et al.&lt;/i&gt;, 1999; Granier &lt;i&gt;et al.&lt;/i&gt;, 2007)", "manualFormatting" : "(although this does influence meristem activity, e.g. Pritchard et al., 1999; Granier et al., 2007)", "plainTextFormattedCitation" : "(Pritchard et al., 1999; Granier et al., 2007)", "previouslyFormattedCitation" : "(Pritchard &lt;i&gt;et al.&lt;/i&gt;, 1999; Granier &lt;i&gt;et al.&lt;/i&gt;, 2007)"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 xml:space="preserve">(although this does influence meristem activity, e.g. Pritchard </w:t>
      </w:r>
      <w:r w:rsidRPr="00531789">
        <w:rPr>
          <w:rFonts w:ascii="Cambria" w:hAnsi="Cambria" w:cs="Arial"/>
          <w:i/>
          <w:noProof/>
        </w:rPr>
        <w:t>et al</w:t>
      </w:r>
      <w:r w:rsidRPr="00531789">
        <w:rPr>
          <w:rFonts w:ascii="Cambria" w:hAnsi="Cambria" w:cs="Arial"/>
          <w:noProof/>
        </w:rPr>
        <w:t xml:space="preserve">., 1999; Granier </w:t>
      </w:r>
      <w:r w:rsidRPr="00531789">
        <w:rPr>
          <w:rFonts w:ascii="Cambria" w:hAnsi="Cambria" w:cs="Arial"/>
          <w:i/>
          <w:noProof/>
        </w:rPr>
        <w:t>et al</w:t>
      </w:r>
      <w:r w:rsidRPr="00531789">
        <w:rPr>
          <w:rFonts w:ascii="Cambria" w:hAnsi="Cambria" w:cs="Arial"/>
          <w:noProof/>
        </w:rPr>
        <w:t>., 2007)</w:t>
      </w:r>
      <w:r w:rsidRPr="00531789">
        <w:rPr>
          <w:rFonts w:ascii="Cambria" w:hAnsi="Cambria" w:cs="Arial"/>
        </w:rPr>
        <w:fldChar w:fldCharType="end"/>
      </w:r>
      <w:r w:rsidRPr="00531789">
        <w:rPr>
          <w:rFonts w:ascii="Cambria" w:hAnsi="Cambria" w:cs="Arial"/>
        </w:rPr>
        <w:t xml:space="preserve"> but by intrinsic constraints set by the internal resource balance, the cell cycle and developmental programme.  Again, internal source-sink interactions underpin these processes.  Because cell division and expansion, and the creation of new meristems through branching constitute sinks for carbon, modelling growth from a developmental perspective places greater emphasis on the limitation of growth by sink rather than source activity.  Ultimately, cell division rate is limited by molecular constraints: for example, plant genome size is negatively correlated with cell cycle time </w:t>
      </w:r>
      <w:r w:rsidRPr="00531789">
        <w:rPr>
          <w:rFonts w:ascii="Cambria" w:hAnsi="Cambria" w:cs="Arial"/>
        </w:rPr>
        <w:fldChar w:fldCharType="begin" w:fldLock="1"/>
      </w:r>
      <w:r>
        <w:rPr>
          <w:rFonts w:ascii="Cambria" w:hAnsi="Cambria" w:cs="Arial"/>
        </w:rPr>
        <w:instrText>ADDIN CSL_CITATION { "citationItems" : [ { "id" : "ITEM-1", "itemData" : { "DOI" : "10.1093/aob/mcn038", "ISSN" : "1095-8290", "PMID" : "18339642", "abstract" : "BACKGROUND AND AIMS: In published studies, positive relationships between nucleotype and the duration of the mitotic cell cycle in angiosperms have been reported but the highest number of species analyzed was approx. 60. Here an analysis is presented of DNA C-values and cell cycle times in root apical meristems of angiosperms comprising 110 measurements, including monocots and eudicots within a set temperature range, and encompassing an approx. 290-fold variation in DNA C-values. METHODS: Data for 110 published cell cycle times of seedlings grown at temperatures between 20-25 degrees C were compared with DNA C-values (58 values for monocots and 52 for eudicots). Regression analyses were undertaken for all species, and separately for monocots and eudicots, diploids and polyploids, and annuals and perennials. Cell cycle times were plotted against the nuclear DNA C-values. KEY RESULTS: A positive relationship was observed between DNA C-value and cell cycle time for all species and for eudicots and monocots separately, regardless of the presence or absence of polyploid values. In this sample, among 52 eudicots the maximum cell cycle length was 18 h, whereas the 58 monocot values ranged from 8-120 h. There was a striking additional increase in cell cycle duration in perennial monocots with C-values greater than 25 pg. Indeed, the most powerful relationship between DNA C-value and cell cycle time and the widest range of cell cycle times was in perennials regardless of ploidy level. CONCLUSIONS: DNA replication is identified as a rate limiting step in the cell cycle, the flexibility of DNA replication is explored, and we speculate on how the licensing of initiation points of DNA replication may be a responsive component of the positive nucleotypic effect of C-value on the duration of the mitotic cell cycle.", "author" : [ { "dropping-particle" : "", "family" : "Francis", "given" : "Dennis", "non-dropping-particle" : "", "parse-names" : false, "suffix" : "" }, { "dropping-particle" : "", "family" : "Davies", "given" : "M Stuart", "non-dropping-particle" : "", "parse-names" : false, "suffix" : "" }, { "dropping-particle" : "", "family" : "Barlow", "given" : "Peter W", "non-dropping-particle" : "", "parse-names" : false, "suffix" : "" } ], "container-title" : "Annals of Botany", "id" : "ITEM-1", "issue" : "6", "issued" : { "date-parts" : [ [ "2008", "4" ] ] }, "page" : "747-57", "title" : "A strong nucleotypic effect on the cell cycle regardless of ploidy level.", "type" : "article-journal", "volume" : "101" }, "uris" : [ "http://www.mendeley.com/documents/?uuid=19a1530c-306f-4a12-b802-496464d13f81" ] } ], "mendeley" : { "formattedCitation" : "(Francis &lt;i&gt;et al.&lt;/i&gt;, 2008)", "plainTextFormattedCitation" : "(Francis et al., 2008)", "previouslyFormattedCitation" : "(Francis &lt;i&gt;et al.&lt;/i&gt;, 2008)"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(Francis </w:t>
      </w:r>
      <w:r w:rsidRPr="002C5907">
        <w:rPr>
          <w:rFonts w:ascii="Cambria" w:hAnsi="Cambria" w:cs="Arial"/>
          <w:i/>
          <w:noProof/>
        </w:rPr>
        <w:t>et al.</w:t>
      </w:r>
      <w:r w:rsidRPr="002C5907">
        <w:rPr>
          <w:rFonts w:ascii="Cambria" w:hAnsi="Cambria" w:cs="Arial"/>
          <w:noProof/>
        </w:rPr>
        <w:t>, 2008)</w:t>
      </w:r>
      <w:r w:rsidRPr="00531789">
        <w:rPr>
          <w:rFonts w:ascii="Cambria" w:hAnsi="Cambria" w:cs="Arial"/>
        </w:rPr>
        <w:fldChar w:fldCharType="end"/>
      </w:r>
      <w:r w:rsidRPr="00531789">
        <w:rPr>
          <w:rFonts w:ascii="Cambria" w:hAnsi="Cambria" w:cs="Arial"/>
        </w:rPr>
        <w:t xml:space="preserve"> and with root meristem growth rate </w:t>
      </w:r>
      <w:r w:rsidRPr="00531789">
        <w:rPr>
          <w:rFonts w:ascii="Cambria" w:hAnsi="Cambria" w:cs="Arial"/>
        </w:rPr>
        <w:fldChar w:fldCharType="begin" w:fldLock="1"/>
      </w:r>
      <w:r>
        <w:rPr>
          <w:rFonts w:ascii="Cambria" w:hAnsi="Cambria" w:cs="Arial"/>
        </w:rPr>
        <w:instrText>ADDIN CSL_CITATION { "citationItems" : [ { "id" : "ITEM-1", "itemData" : { "DOI" : "10.1155/2010/390414", "ISSN" : "2090-0120", "author" : [ { "dropping-particle" : "", "family" : "Gruner", "given" : "Adam", "non-dropping-particle" : "", "parse-names" : false, "suffix" : "" }, { "dropping-particle" : "", "family" : "Hoverter", "given" : "Nathan", "non-dropping-particle" : "", "parse-names" : false, "suffix" : "" }, { "dropping-particle" : "", "family" : "Smith", "given" : "Tylia", "non-dropping-particle" : "", "parse-names" : false, "suffix" : "" }, { "dropping-particle" : "", "family" : "Knight", "given" : "Charles a.", "non-dropping-particle" : "", "parse-names" : false, "suffix" : "" } ], "container-title" : "Journal of Botany", "id" : "ITEM-1", "issued" : { "date-parts" : [ [ "2010" ] ] }, "page" : "Article ID 390414", "title" : "Genome size is a strong predictor of root meristem growth rate", "type" : "article-journal" }, "uris" : [ "http://www.mendeley.com/documents/?uuid=9a237512-e132-4117-8c60-dc6a877bb909" ] } ], "mendeley" : { "formattedCitation" : "(Gruner &lt;i&gt;et al.&lt;/i&gt;, 2010)", "plainTextFormattedCitation" : "(Gruner et al., 2010)", "previouslyFormattedCitation" : "(Gruner &lt;i&gt;et al.&lt;/i&gt;, 2010)"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(Gruner </w:t>
      </w:r>
      <w:r w:rsidRPr="002C5907">
        <w:rPr>
          <w:rFonts w:ascii="Cambria" w:hAnsi="Cambria" w:cs="Arial"/>
          <w:i/>
          <w:noProof/>
        </w:rPr>
        <w:t>et al.</w:t>
      </w:r>
      <w:r w:rsidRPr="002C5907">
        <w:rPr>
          <w:rFonts w:ascii="Cambria" w:hAnsi="Cambria" w:cs="Arial"/>
          <w:noProof/>
        </w:rPr>
        <w:t>, 2010)</w:t>
      </w:r>
      <w:r w:rsidRPr="00531789">
        <w:rPr>
          <w:rFonts w:ascii="Cambria" w:hAnsi="Cambria" w:cs="Arial"/>
        </w:rPr>
        <w:fldChar w:fldCharType="end"/>
      </w:r>
      <w:r w:rsidRPr="00531789">
        <w:rPr>
          <w:rFonts w:ascii="Cambria" w:hAnsi="Cambria" w:cs="Arial"/>
        </w:rPr>
        <w:t>.</w:t>
      </w:r>
    </w:p>
    <w:p w14:paraId="405FB1BC" w14:textId="77777777" w:rsidR="00DF4522" w:rsidRPr="00531789" w:rsidRDefault="00DF4522" w:rsidP="00DF4522">
      <w:pPr>
        <w:spacing w:line="360" w:lineRule="auto"/>
        <w:jc w:val="both"/>
        <w:rPr>
          <w:rFonts w:ascii="Cambria" w:hAnsi="Cambria" w:cs="Arial"/>
        </w:rPr>
      </w:pPr>
    </w:p>
    <w:p w14:paraId="32325FA6" w14:textId="77777777" w:rsidR="00DF4522" w:rsidRPr="00531789" w:rsidRDefault="00DF4522" w:rsidP="00DF4522">
      <w:pPr>
        <w:spacing w:line="360" w:lineRule="auto"/>
        <w:jc w:val="both"/>
        <w:rPr>
          <w:rFonts w:ascii="Cambria" w:hAnsi="Cambria" w:cs="Arial"/>
        </w:rPr>
      </w:pPr>
      <w:r w:rsidRPr="00531789">
        <w:rPr>
          <w:rFonts w:ascii="Cambria" w:hAnsi="Cambria" w:cs="Arial"/>
        </w:rPr>
        <w:t>Complex formulations for organ initiation, expansion and termination have been developed, but a simple case is considered, for illustrative purposes.  If growth is considered in terms of morphogenetic constraints and development, without taking into account environmental parameters, it can be expressed as a function of the number and mass of cells:</w:t>
      </w:r>
    </w:p>
    <w:p w14:paraId="518C41CA" w14:textId="77777777" w:rsidR="00DF4522" w:rsidRPr="00531789" w:rsidRDefault="00E104AE" w:rsidP="00DF4522">
      <w:pPr>
        <w:spacing w:before="240" w:line="360" w:lineRule="auto"/>
        <w:jc w:val="both"/>
        <w:rPr>
          <w:rFonts w:ascii="Cambria" w:hAnsi="Cambria" w:cs="Arial"/>
        </w:rPr>
      </w:pPr>
      <m:oMathPara>
        <m:oMath>
          <m:f>
            <m:fPr>
              <m:ctrlPr>
                <w:rPr>
                  <w:rFonts w:ascii="Cambria Math" w:hAnsi="Cambria Math" w:cs="Arial"/>
                  <w:i/>
                </w:rPr>
              </m:ctrlPr>
            </m:fPr>
            <m:num>
              <m:r>
                <w:rPr>
                  <w:rFonts w:ascii="Cambria Math" w:hAnsi="Cambria Math" w:cs="Arial"/>
                </w:rPr>
                <m:t>d</m:t>
              </m:r>
              <m:sSub>
                <m:sSubPr>
                  <m:ctrlPr>
                    <w:rPr>
                      <w:rFonts w:ascii="Cambria Math" w:hAnsi="Cambria Math" w:cs="Arial"/>
                      <w:i/>
                    </w:rPr>
                  </m:ctrlPr>
                </m:sSubPr>
                <m:e>
                  <m:r>
                    <w:rPr>
                      <w:rFonts w:ascii="Cambria Math" w:hAnsi="Cambria Math" w:cs="Arial"/>
                    </w:rPr>
                    <m:t>W</m:t>
                  </m:r>
                </m:e>
                <m:sub>
                  <m:r>
                    <w:rPr>
                      <w:rFonts w:ascii="Cambria Math" w:hAnsi="Cambria Math" w:cs="Arial"/>
                    </w:rPr>
                    <m:t>P</m:t>
                  </m:r>
                </m:sub>
              </m:sSub>
            </m:num>
            <m:den>
              <m:r>
                <w:rPr>
                  <w:rFonts w:ascii="Cambria Math" w:hAnsi="Cambria Math" w:cs="Arial"/>
                </w:rPr>
                <m:t>dt</m:t>
              </m:r>
            </m:den>
          </m:f>
          <m:r>
            <w:rPr>
              <w:rFonts w:ascii="Cambria Math" w:hAnsi="Cambria Math" w:cs="Arial"/>
            </w:rPr>
            <m:t>=</m:t>
          </m:r>
          <m:f>
            <m:fPr>
              <m:ctrlPr>
                <w:rPr>
                  <w:rFonts w:ascii="Cambria Math" w:hAnsi="Cambria Math" w:cs="Arial"/>
                  <w:i/>
                </w:rPr>
              </m:ctrlPr>
            </m:fPr>
            <m:num>
              <m:r>
                <w:rPr>
                  <w:rFonts w:ascii="Cambria Math" w:hAnsi="Cambria Math" w:cs="Arial"/>
                </w:rPr>
                <m:t>d</m:t>
              </m:r>
              <m:r>
                <w:rPr>
                  <w:rFonts w:ascii="Cambria Math" w:hAnsi="Cambria Math" w:cs="Cambria Math"/>
                </w:rPr>
                <m:t>C</m:t>
              </m:r>
            </m:num>
            <m:den>
              <m:r>
                <w:rPr>
                  <w:rFonts w:ascii="Cambria Math" w:hAnsi="Cambria Math" w:cs="Arial"/>
                </w:rPr>
                <m:t>dt</m:t>
              </m:r>
            </m:den>
          </m:f>
          <m:r>
            <w:rPr>
              <w:rFonts w:ascii="Cambria Math" w:hAnsi="Cambria Math" w:cs="Arial"/>
            </w:rPr>
            <m:t xml:space="preserve"> .m</m:t>
          </m:r>
        </m:oMath>
      </m:oMathPara>
    </w:p>
    <w:p w14:paraId="0CC4BE19" w14:textId="77777777" w:rsidR="00DF4522" w:rsidRPr="00531789" w:rsidRDefault="00DF4522" w:rsidP="00DF4522">
      <w:pPr>
        <w:spacing w:line="360" w:lineRule="auto"/>
        <w:jc w:val="right"/>
        <w:rPr>
          <w:rFonts w:ascii="Cambria" w:hAnsi="Cambria" w:cs="Arial"/>
        </w:rPr>
      </w:pPr>
      <w:r w:rsidRPr="00531789">
        <w:rPr>
          <w:rFonts w:ascii="Cambria" w:hAnsi="Cambria" w:cs="Arial"/>
        </w:rPr>
        <w:tab/>
      </w:r>
      <w:r w:rsidRPr="00531789">
        <w:rPr>
          <w:rFonts w:ascii="Cambria" w:hAnsi="Cambria" w:cs="Arial"/>
        </w:rPr>
        <w:tab/>
      </w:r>
      <w:r w:rsidRPr="00531789">
        <w:rPr>
          <w:rFonts w:ascii="Cambria" w:hAnsi="Cambria" w:cs="Arial"/>
        </w:rPr>
        <w:tab/>
      </w:r>
      <w:r w:rsidRPr="00531789">
        <w:rPr>
          <w:rFonts w:ascii="Cambria" w:hAnsi="Cambria" w:cs="Arial"/>
        </w:rPr>
        <w:tab/>
        <w:t>(Equation 6a),</w:t>
      </w:r>
    </w:p>
    <w:p w14:paraId="72BD8525" w14:textId="77777777" w:rsidR="00DF4522" w:rsidRPr="00531789" w:rsidRDefault="00DF4522" w:rsidP="00DF4522">
      <w:pPr>
        <w:spacing w:line="360" w:lineRule="auto"/>
        <w:jc w:val="right"/>
        <w:rPr>
          <w:rFonts w:ascii="Cambria" w:hAnsi="Cambria" w:cs="Arial"/>
        </w:rPr>
      </w:pPr>
    </w:p>
    <w:p w14:paraId="6BA9C1E4" w14:textId="77777777" w:rsidR="00DF4522" w:rsidRPr="00531789" w:rsidRDefault="00DF4522" w:rsidP="00DF4522">
      <w:pPr>
        <w:spacing w:line="360" w:lineRule="auto"/>
        <w:rPr>
          <w:rFonts w:ascii="Cambria" w:hAnsi="Cambria" w:cs="Arial"/>
          <w:i/>
        </w:rPr>
      </w:pPr>
      <w:r w:rsidRPr="00531789">
        <w:rPr>
          <w:rFonts w:ascii="Cambria" w:hAnsi="Cambria" w:cs="Arial"/>
        </w:rPr>
        <w:t xml:space="preserve">where </w:t>
      </w:r>
      <w:r w:rsidRPr="00531789">
        <w:rPr>
          <w:rFonts w:ascii="Cambria" w:hAnsi="Cambria" w:cs="Arial"/>
          <w:i/>
        </w:rPr>
        <w:t>C</w:t>
      </w:r>
      <w:r w:rsidRPr="00531789">
        <w:rPr>
          <w:rFonts w:ascii="Cambria" w:hAnsi="Cambria" w:cs="Arial"/>
          <w:i/>
          <w:vertAlign w:val="subscript"/>
        </w:rPr>
        <w:t xml:space="preserve">  </w:t>
      </w:r>
      <w:r w:rsidRPr="00531789">
        <w:rPr>
          <w:rFonts w:ascii="Cambria" w:hAnsi="Cambria" w:cs="Arial"/>
        </w:rPr>
        <w:t xml:space="preserve">is the number of cells in the plant, dependent on the division rate </w:t>
      </w:r>
      <w:proofErr w:type="spellStart"/>
      <w:r w:rsidRPr="00531789">
        <w:rPr>
          <w:rFonts w:ascii="Cambria" w:hAnsi="Cambria" w:cs="Arial"/>
          <w:i/>
        </w:rPr>
        <w:t>dC</w:t>
      </w:r>
      <w:proofErr w:type="spellEnd"/>
      <w:r w:rsidRPr="00531789">
        <w:rPr>
          <w:rFonts w:ascii="Cambria" w:hAnsi="Cambria" w:cs="Arial"/>
          <w:i/>
        </w:rPr>
        <w:t>/</w:t>
      </w:r>
      <w:proofErr w:type="spellStart"/>
      <w:r w:rsidRPr="00531789">
        <w:rPr>
          <w:rFonts w:ascii="Cambria" w:hAnsi="Cambria" w:cs="Arial"/>
          <w:i/>
        </w:rPr>
        <w:t>dt</w:t>
      </w:r>
      <w:proofErr w:type="spellEnd"/>
      <w:r w:rsidRPr="00531789">
        <w:rPr>
          <w:rFonts w:ascii="Cambria" w:hAnsi="Cambria" w:cs="Arial"/>
        </w:rPr>
        <w:t xml:space="preserve"> in cells day</w:t>
      </w:r>
      <w:r w:rsidRPr="00531789">
        <w:rPr>
          <w:rFonts w:ascii="Cambria" w:hAnsi="Cambria" w:cs="Arial"/>
          <w:vertAlign w:val="superscript"/>
        </w:rPr>
        <w:t>-1</w:t>
      </w:r>
      <w:r w:rsidRPr="00531789">
        <w:rPr>
          <w:rFonts w:ascii="Cambria" w:hAnsi="Cambria" w:cs="Arial"/>
        </w:rPr>
        <w:t xml:space="preserve">, and </w:t>
      </w:r>
      <w:r w:rsidRPr="00531789">
        <w:rPr>
          <w:rFonts w:ascii="Cambria" w:hAnsi="Cambria" w:cs="Arial"/>
          <w:i/>
        </w:rPr>
        <w:t>m</w:t>
      </w:r>
      <w:r w:rsidRPr="00531789">
        <w:rPr>
          <w:rFonts w:ascii="Cambria" w:hAnsi="Cambria" w:cs="Arial"/>
        </w:rPr>
        <w:t xml:space="preserve"> is the mass of organic carbon in each cell, g cell</w:t>
      </w:r>
      <w:r w:rsidRPr="00531789">
        <w:rPr>
          <w:rFonts w:ascii="Cambria" w:hAnsi="Cambria" w:cs="Arial"/>
          <w:vertAlign w:val="superscript"/>
        </w:rPr>
        <w:t>-1</w:t>
      </w:r>
      <w:r w:rsidRPr="00531789">
        <w:rPr>
          <w:rFonts w:ascii="Cambria" w:hAnsi="Cambria" w:cs="Arial"/>
          <w:i/>
        </w:rPr>
        <w:t>.</w:t>
      </w:r>
    </w:p>
    <w:p w14:paraId="6A8045EE" w14:textId="77777777" w:rsidR="00DF4522" w:rsidRPr="00531789" w:rsidRDefault="00DF4522" w:rsidP="00DF4522">
      <w:pPr>
        <w:spacing w:line="360" w:lineRule="auto"/>
        <w:rPr>
          <w:rFonts w:ascii="Cambria" w:hAnsi="Cambria" w:cs="Arial"/>
        </w:rPr>
      </w:pPr>
    </w:p>
    <w:p w14:paraId="5607B046" w14:textId="77777777" w:rsidR="00DF4522" w:rsidRPr="00531789" w:rsidRDefault="00DF4522" w:rsidP="00DF4522">
      <w:pPr>
        <w:spacing w:before="240" w:line="360" w:lineRule="auto"/>
        <w:jc w:val="both"/>
        <w:rPr>
          <w:rFonts w:ascii="Cambria" w:hAnsi="Cambria" w:cs="Arial"/>
        </w:rPr>
      </w:pPr>
      <w:r w:rsidRPr="00531789">
        <w:rPr>
          <w:rFonts w:ascii="Cambria" w:hAnsi="Cambria" w:cs="Arial"/>
        </w:rPr>
        <w:t xml:space="preserve">As in Equation 4b, this can be partitioned into developmental processes occurring in leaves and in roots, where </w:t>
      </w:r>
      <w:r w:rsidRPr="00531789">
        <w:rPr>
          <w:rFonts w:ascii="Cambria" w:hAnsi="Cambria" w:cs="Arial"/>
          <w:i/>
        </w:rPr>
        <w:t>W</w:t>
      </w:r>
      <w:r w:rsidRPr="00531789">
        <w:rPr>
          <w:rFonts w:ascii="Cambria" w:hAnsi="Cambria" w:cs="Arial"/>
          <w:i/>
          <w:vertAlign w:val="subscript"/>
        </w:rPr>
        <w:t>L</w:t>
      </w:r>
      <w:r w:rsidRPr="00531789">
        <w:rPr>
          <w:rFonts w:ascii="Cambria" w:hAnsi="Cambria" w:cs="Arial"/>
          <w:i/>
        </w:rPr>
        <w:t xml:space="preserve"> </w:t>
      </w:r>
      <w:r w:rsidRPr="00531789">
        <w:rPr>
          <w:rFonts w:ascii="Cambria" w:hAnsi="Cambria" w:cs="Arial"/>
        </w:rPr>
        <w:t xml:space="preserve">and </w:t>
      </w:r>
      <w:r w:rsidRPr="00531789">
        <w:rPr>
          <w:rFonts w:ascii="Cambria" w:hAnsi="Cambria" w:cs="Arial"/>
          <w:i/>
        </w:rPr>
        <w:t>W</w:t>
      </w:r>
      <w:r w:rsidRPr="00531789">
        <w:rPr>
          <w:rFonts w:ascii="Cambria" w:hAnsi="Cambria" w:cs="Arial"/>
          <w:i/>
          <w:vertAlign w:val="subscript"/>
        </w:rPr>
        <w:t>R</w:t>
      </w:r>
      <w:r w:rsidRPr="00531789">
        <w:rPr>
          <w:rFonts w:ascii="Cambria" w:hAnsi="Cambria" w:cs="Arial"/>
          <w:i/>
        </w:rPr>
        <w:t xml:space="preserve"> </w:t>
      </w:r>
      <w:r w:rsidRPr="00531789">
        <w:rPr>
          <w:rFonts w:ascii="Cambria" w:hAnsi="Cambria" w:cs="Arial"/>
        </w:rPr>
        <w:t>refer to the dry mass of organic carbon in the leaf and root respectively:</w:t>
      </w:r>
    </w:p>
    <w:p w14:paraId="00024E17" w14:textId="77777777" w:rsidR="00DF4522" w:rsidRPr="00531789" w:rsidRDefault="00DF4522" w:rsidP="00DF4522">
      <w:pPr>
        <w:spacing w:line="360" w:lineRule="auto"/>
        <w:rPr>
          <w:rFonts w:ascii="Cambria" w:hAnsi="Cambria" w:cs="Arial"/>
        </w:rPr>
      </w:pPr>
    </w:p>
    <w:p w14:paraId="737A87F7" w14:textId="77777777" w:rsidR="00DF4522" w:rsidRPr="00531789" w:rsidRDefault="00E104AE" w:rsidP="00DF4522">
      <w:pPr>
        <w:spacing w:before="240" w:line="360" w:lineRule="auto"/>
        <w:jc w:val="both"/>
        <w:rPr>
          <w:rFonts w:ascii="Cambria" w:hAnsi="Cambria" w:cs="Arial"/>
        </w:rPr>
      </w:pPr>
      <m:oMathPara>
        <m:oMath>
          <m:f>
            <m:fPr>
              <m:ctrlPr>
                <w:rPr>
                  <w:rFonts w:ascii="Cambria Math" w:hAnsi="Cambria Math" w:cs="Arial"/>
                  <w:i/>
                </w:rPr>
              </m:ctrlPr>
            </m:fPr>
            <m:num>
              <m:r>
                <w:rPr>
                  <w:rFonts w:ascii="Cambria Math" w:hAnsi="Cambria Math" w:cs="Arial"/>
                </w:rPr>
                <m:t>d</m:t>
              </m:r>
              <m:sSub>
                <m:sSubPr>
                  <m:ctrlPr>
                    <w:rPr>
                      <w:rFonts w:ascii="Cambria Math" w:hAnsi="Cambria Math" w:cs="Arial"/>
                      <w:i/>
                    </w:rPr>
                  </m:ctrlPr>
                </m:sSubPr>
                <m:e>
                  <m:r>
                    <w:rPr>
                      <w:rFonts w:ascii="Cambria Math" w:hAnsi="Cambria Math" w:cs="Arial"/>
                    </w:rPr>
                    <m:t>W</m:t>
                  </m:r>
                </m:e>
                <m:sub>
                  <m:r>
                    <w:rPr>
                      <w:rFonts w:ascii="Cambria Math" w:hAnsi="Cambria Math" w:cs="Arial"/>
                    </w:rPr>
                    <m:t>P</m:t>
                  </m:r>
                </m:sub>
              </m:sSub>
            </m:num>
            <m:den>
              <m:r>
                <w:rPr>
                  <w:rFonts w:ascii="Cambria Math" w:hAnsi="Cambria Math" w:cs="Arial"/>
                </w:rPr>
                <m:t>dt</m:t>
              </m:r>
            </m:den>
          </m:f>
          <m:r>
            <w:rPr>
              <w:rFonts w:ascii="Cambria Math" w:hAnsi="Cambria Math" w:cs="Arial"/>
            </w:rPr>
            <m:t>=</m:t>
          </m:r>
          <m:f>
            <m:fPr>
              <m:ctrlPr>
                <w:rPr>
                  <w:rFonts w:ascii="Cambria Math" w:hAnsi="Cambria Math" w:cs="Arial"/>
                  <w:i/>
                </w:rPr>
              </m:ctrlPr>
            </m:fPr>
            <m:num>
              <m:r>
                <w:rPr>
                  <w:rFonts w:ascii="Cambria Math" w:hAnsi="Cambria Math" w:cs="Arial"/>
                </w:rPr>
                <m:t>d</m:t>
              </m:r>
              <m:sSub>
                <m:sSubPr>
                  <m:ctrlPr>
                    <w:rPr>
                      <w:rFonts w:ascii="Cambria Math" w:hAnsi="Cambria Math" w:cs="Arial"/>
                      <w:i/>
                    </w:rPr>
                  </m:ctrlPr>
                </m:sSubPr>
                <m:e>
                  <m:r>
                    <w:rPr>
                      <w:rFonts w:ascii="Cambria Math" w:hAnsi="Cambria Math" w:cs="Arial"/>
                    </w:rPr>
                    <m:t>W</m:t>
                  </m:r>
                </m:e>
                <m:sub>
                  <m:r>
                    <w:rPr>
                      <w:rFonts w:ascii="Cambria Math" w:hAnsi="Cambria Math" w:cs="Arial"/>
                    </w:rPr>
                    <m:t>L</m:t>
                  </m:r>
                </m:sub>
              </m:sSub>
            </m:num>
            <m:den>
              <m:r>
                <w:rPr>
                  <w:rFonts w:ascii="Cambria Math" w:hAnsi="Cambria Math" w:cs="Arial"/>
                </w:rPr>
                <m:t>dt</m:t>
              </m:r>
            </m:den>
          </m:f>
          <m:r>
            <w:rPr>
              <w:rFonts w:ascii="Cambria Math" w:hAnsi="Cambria Math" w:cs="Arial"/>
            </w:rPr>
            <m:t xml:space="preserve"> + </m:t>
          </m:r>
          <m:f>
            <m:fPr>
              <m:ctrlPr>
                <w:rPr>
                  <w:rFonts w:ascii="Cambria Math" w:hAnsi="Cambria Math" w:cs="Arial"/>
                  <w:i/>
                </w:rPr>
              </m:ctrlPr>
            </m:fPr>
            <m:num>
              <m:r>
                <w:rPr>
                  <w:rFonts w:ascii="Cambria Math" w:hAnsi="Cambria Math" w:cs="Arial"/>
                </w:rPr>
                <m:t>d</m:t>
              </m:r>
              <m:sSub>
                <m:sSubPr>
                  <m:ctrlPr>
                    <w:rPr>
                      <w:rFonts w:ascii="Cambria Math" w:hAnsi="Cambria Math" w:cs="Arial"/>
                      <w:i/>
                    </w:rPr>
                  </m:ctrlPr>
                </m:sSubPr>
                <m:e>
                  <m:r>
                    <w:rPr>
                      <w:rFonts w:ascii="Cambria Math" w:hAnsi="Cambria Math" w:cs="Arial"/>
                    </w:rPr>
                    <m:t>W</m:t>
                  </m:r>
                </m:e>
                <m:sub>
                  <m:r>
                    <w:rPr>
                      <w:rFonts w:ascii="Cambria Math" w:hAnsi="Cambria Math" w:cs="Arial"/>
                    </w:rPr>
                    <m:t>R</m:t>
                  </m:r>
                </m:sub>
              </m:sSub>
            </m:num>
            <m:den>
              <m:r>
                <w:rPr>
                  <w:rFonts w:ascii="Cambria Math" w:hAnsi="Cambria Math" w:cs="Arial"/>
                </w:rPr>
                <m:t>dt</m:t>
              </m:r>
            </m:den>
          </m:f>
          <m:r>
            <w:rPr>
              <w:rFonts w:ascii="Cambria Math" w:hAnsi="Cambria Math" w:cs="Arial"/>
            </w:rPr>
            <m:t>=</m:t>
          </m:r>
          <m:f>
            <m:fPr>
              <m:ctrlPr>
                <w:rPr>
                  <w:rFonts w:ascii="Cambria Math" w:hAnsi="Cambria Math" w:cs="Arial"/>
                  <w:i/>
                </w:rPr>
              </m:ctrlPr>
            </m:fPr>
            <m:num>
              <m:r>
                <w:rPr>
                  <w:rFonts w:ascii="Cambria Math" w:hAnsi="Cambria Math" w:cs="Arial"/>
                </w:rPr>
                <m:t>d</m:t>
              </m:r>
              <m:sSub>
                <m:sSubPr>
                  <m:ctrlPr>
                    <w:rPr>
                      <w:rFonts w:ascii="Cambria Math" w:hAnsi="Cambria Math" w:cs="Arial"/>
                      <w:i/>
                    </w:rPr>
                  </m:ctrlPr>
                </m:sSubPr>
                <m:e>
                  <m:r>
                    <w:rPr>
                      <w:rFonts w:ascii="Cambria Math" w:hAnsi="Cambria Math" w:cs="Arial"/>
                    </w:rPr>
                    <m:t>C</m:t>
                  </m:r>
                </m:e>
                <m:sub>
                  <m:r>
                    <w:rPr>
                      <w:rFonts w:ascii="Cambria Math" w:hAnsi="Cambria Math" w:cs="Arial"/>
                    </w:rPr>
                    <m:t>L</m:t>
                  </m:r>
                </m:sub>
              </m:sSub>
            </m:num>
            <m:den>
              <m:r>
                <w:rPr>
                  <w:rFonts w:ascii="Cambria Math" w:hAnsi="Cambria Math" w:cs="Arial"/>
                </w:rPr>
                <m:t>dt</m:t>
              </m:r>
            </m:den>
          </m:f>
          <m:r>
            <w:rPr>
              <w:rFonts w:ascii="Cambria Math" w:hAnsi="Cambria Math" w:cs="Arial"/>
            </w:rPr>
            <m:t xml:space="preserve"> .  </m:t>
          </m:r>
          <m:sSub>
            <m:sSubPr>
              <m:ctrlPr>
                <w:rPr>
                  <w:rFonts w:ascii="Cambria Math" w:hAnsi="Cambria Math" w:cs="Arial"/>
                  <w:i/>
                </w:rPr>
              </m:ctrlPr>
            </m:sSubPr>
            <m:e>
              <m:r>
                <w:rPr>
                  <w:rFonts w:ascii="Cambria Math" w:hAnsi="Cambria Math" w:cs="Arial"/>
                </w:rPr>
                <m:t>m</m:t>
              </m:r>
            </m:e>
            <m:sub>
              <m:r>
                <w:rPr>
                  <w:rFonts w:ascii="Cambria Math" w:hAnsi="Cambria Math" w:cs="Arial"/>
                </w:rPr>
                <m:t>L</m:t>
              </m:r>
            </m:sub>
          </m:sSub>
          <m:r>
            <w:rPr>
              <w:rFonts w:ascii="Cambria Math" w:hAnsi="Cambria Math" w:cs="Arial"/>
            </w:rPr>
            <m:t xml:space="preserve">+ </m:t>
          </m:r>
          <m:f>
            <m:fPr>
              <m:ctrlPr>
                <w:rPr>
                  <w:rFonts w:ascii="Cambria Math" w:hAnsi="Cambria Math" w:cs="Arial"/>
                  <w:i/>
                </w:rPr>
              </m:ctrlPr>
            </m:fPr>
            <m:num>
              <m:r>
                <w:rPr>
                  <w:rFonts w:ascii="Cambria Math" w:hAnsi="Cambria Math" w:cs="Arial"/>
                </w:rPr>
                <m:t>d</m:t>
              </m:r>
              <m:sSub>
                <m:sSubPr>
                  <m:ctrlPr>
                    <w:rPr>
                      <w:rFonts w:ascii="Cambria Math" w:hAnsi="Cambria Math" w:cs="Arial"/>
                      <w:i/>
                    </w:rPr>
                  </m:ctrlPr>
                </m:sSubPr>
                <m:e>
                  <m:r>
                    <w:rPr>
                      <w:rFonts w:ascii="Cambria Math" w:hAnsi="Cambria Math" w:cs="Cambria Math"/>
                    </w:rPr>
                    <m:t>C</m:t>
                  </m:r>
                </m:e>
                <m:sub>
                  <m:r>
                    <w:rPr>
                      <w:rFonts w:ascii="Cambria Math" w:hAnsi="Cambria Math" w:cs="Arial"/>
                    </w:rPr>
                    <m:t>R</m:t>
                  </m:r>
                </m:sub>
              </m:sSub>
            </m:num>
            <m:den>
              <m:r>
                <w:rPr>
                  <w:rFonts w:ascii="Cambria Math" w:hAnsi="Cambria Math" w:cs="Arial"/>
                </w:rPr>
                <m:t>dt</m:t>
              </m:r>
            </m:den>
          </m:f>
          <m:r>
            <w:rPr>
              <w:rFonts w:ascii="Cambria Math" w:hAnsi="Cambria Math" w:cs="Arial"/>
            </w:rPr>
            <m:t xml:space="preserve">.  </m:t>
          </m:r>
          <m:sSub>
            <m:sSubPr>
              <m:ctrlPr>
                <w:rPr>
                  <w:rFonts w:ascii="Cambria Math" w:hAnsi="Cambria Math" w:cs="Arial"/>
                  <w:i/>
                </w:rPr>
              </m:ctrlPr>
            </m:sSubPr>
            <m:e>
              <m:r>
                <w:rPr>
                  <w:rFonts w:ascii="Cambria Math" w:hAnsi="Cambria Math" w:cs="Arial"/>
                </w:rPr>
                <m:t>m</m:t>
              </m:r>
            </m:e>
            <m:sub>
              <m:r>
                <w:rPr>
                  <w:rFonts w:ascii="Cambria Math" w:hAnsi="Cambria Math" w:cs="Arial"/>
                </w:rPr>
                <m:t>R</m:t>
              </m:r>
            </m:sub>
          </m:sSub>
        </m:oMath>
      </m:oMathPara>
    </w:p>
    <w:p w14:paraId="3EBF171A" w14:textId="77777777" w:rsidR="00DF4522" w:rsidRPr="00531789" w:rsidRDefault="00DF4522" w:rsidP="00DF4522">
      <w:pPr>
        <w:spacing w:line="360" w:lineRule="auto"/>
        <w:jc w:val="right"/>
        <w:rPr>
          <w:rFonts w:ascii="Cambria" w:hAnsi="Cambria" w:cs="Arial"/>
        </w:rPr>
      </w:pPr>
      <w:r w:rsidRPr="00531789">
        <w:rPr>
          <w:rFonts w:ascii="Cambria" w:hAnsi="Cambria" w:cs="Arial"/>
        </w:rPr>
        <w:tab/>
        <w:t>(Equation 6b).</w:t>
      </w:r>
    </w:p>
    <w:p w14:paraId="43E61856" w14:textId="77777777" w:rsidR="00DF4522" w:rsidRPr="00531789" w:rsidRDefault="00DF4522" w:rsidP="00DF4522">
      <w:pPr>
        <w:spacing w:line="360" w:lineRule="auto"/>
        <w:rPr>
          <w:rFonts w:ascii="Cambria" w:hAnsi="Cambria" w:cs="Arial"/>
        </w:rPr>
      </w:pPr>
    </w:p>
    <w:p w14:paraId="6D40778D" w14:textId="77777777" w:rsidR="00DF4522" w:rsidRDefault="00DF4522" w:rsidP="00DF4522">
      <w:pPr>
        <w:spacing w:line="360" w:lineRule="auto"/>
        <w:jc w:val="both"/>
        <w:rPr>
          <w:rFonts w:ascii="Cambria" w:hAnsi="Cambria" w:cs="Arial"/>
          <w:b/>
        </w:rPr>
      </w:pPr>
    </w:p>
    <w:p w14:paraId="5D375408" w14:textId="77777777" w:rsidR="00DF4522" w:rsidRDefault="00DF4522" w:rsidP="00DF4522">
      <w:pPr>
        <w:spacing w:line="360" w:lineRule="auto"/>
        <w:jc w:val="both"/>
        <w:rPr>
          <w:rFonts w:ascii="Cambria" w:hAnsi="Cambria" w:cs="Arial"/>
          <w:b/>
        </w:rPr>
      </w:pPr>
    </w:p>
    <w:p w14:paraId="2E9FA1D5" w14:textId="77777777" w:rsidR="00DF4522" w:rsidRDefault="00DF4522" w:rsidP="00DF4522">
      <w:pPr>
        <w:spacing w:line="360" w:lineRule="auto"/>
        <w:jc w:val="both"/>
        <w:rPr>
          <w:rFonts w:ascii="Cambria" w:hAnsi="Cambria" w:cs="Arial"/>
          <w:b/>
        </w:rPr>
      </w:pPr>
    </w:p>
    <w:p w14:paraId="3D102393" w14:textId="77777777" w:rsidR="00DF4522" w:rsidRPr="00531789" w:rsidRDefault="00DF4522" w:rsidP="00DF4522">
      <w:pPr>
        <w:spacing w:line="360" w:lineRule="auto"/>
        <w:jc w:val="both"/>
        <w:rPr>
          <w:rFonts w:ascii="Cambria" w:hAnsi="Cambria" w:cs="Arial"/>
          <w:b/>
        </w:rPr>
      </w:pPr>
      <w:r w:rsidRPr="00531789">
        <w:rPr>
          <w:rFonts w:ascii="Cambria" w:hAnsi="Cambria" w:cs="Arial"/>
          <w:b/>
        </w:rPr>
        <w:t>Unification</w:t>
      </w:r>
    </w:p>
    <w:p w14:paraId="2F3184E9" w14:textId="77777777" w:rsidR="00DF4522" w:rsidRPr="00531789" w:rsidRDefault="00DF4522" w:rsidP="00DF4522">
      <w:pPr>
        <w:spacing w:line="360" w:lineRule="auto"/>
        <w:jc w:val="both"/>
        <w:rPr>
          <w:rFonts w:ascii="Cambria" w:hAnsi="Cambria" w:cs="Arial"/>
          <w:b/>
        </w:rPr>
      </w:pPr>
    </w:p>
    <w:p w14:paraId="19C4B590"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The three perspectives on growth can be unified to show their interrelated nature, and to illustrate the overarching dependence of growth on source-sink relationships.  Whilst the physiological perspective focuses on metabolic processes which exchange carbon with the external environment, the allocation perspective focuses on the tissues which carry out net acquisition and drawdown of carbon, and the developmental perspective focuses on the rate of cell division in these tissues, all three perspectives are underpinned by </w:t>
      </w:r>
      <w:proofErr w:type="spellStart"/>
      <w:r w:rsidRPr="00531789">
        <w:rPr>
          <w:rFonts w:ascii="Cambria" w:hAnsi="Cambria" w:cs="Arial"/>
        </w:rPr>
        <w:t>source:sink</w:t>
      </w:r>
      <w:proofErr w:type="spellEnd"/>
      <w:r w:rsidRPr="00531789">
        <w:rPr>
          <w:rFonts w:ascii="Cambria" w:hAnsi="Cambria" w:cs="Arial"/>
        </w:rPr>
        <w:t xml:space="preserve"> interactions.</w:t>
      </w:r>
    </w:p>
    <w:p w14:paraId="2A7623C4" w14:textId="77777777" w:rsidR="00DF4522" w:rsidRPr="00531789" w:rsidRDefault="00DF4522" w:rsidP="00DF4522">
      <w:pPr>
        <w:spacing w:line="360" w:lineRule="auto"/>
        <w:jc w:val="both"/>
        <w:rPr>
          <w:rFonts w:ascii="Cambria" w:hAnsi="Cambria" w:cs="Arial"/>
        </w:rPr>
      </w:pPr>
    </w:p>
    <w:p w14:paraId="1146D080" w14:textId="77777777" w:rsidR="00DF4522" w:rsidRDefault="00DF4522" w:rsidP="00DF4522">
      <w:pPr>
        <w:spacing w:line="360" w:lineRule="auto"/>
        <w:jc w:val="both"/>
        <w:rPr>
          <w:rFonts w:ascii="Cambria" w:hAnsi="Cambria" w:cs="Arial"/>
        </w:rPr>
      </w:pPr>
      <w:r w:rsidRPr="00531789">
        <w:rPr>
          <w:rFonts w:ascii="Cambria" w:hAnsi="Cambria" w:cs="Arial"/>
        </w:rPr>
        <w:t>The mass of leaf and root tissues, seen in Equations 4b and 6b (relating to physiology and development respectively), are dependent on allocation and can be expressed as follows:</w:t>
      </w:r>
    </w:p>
    <w:p w14:paraId="64B97E1D" w14:textId="77777777" w:rsidR="00DF4522" w:rsidRDefault="00DF4522" w:rsidP="00DF4522">
      <w:pPr>
        <w:spacing w:line="360" w:lineRule="auto"/>
        <w:jc w:val="both"/>
        <w:rPr>
          <w:rFonts w:ascii="Cambria" w:hAnsi="Cambria" w:cs="Arial"/>
        </w:rPr>
      </w:pPr>
    </w:p>
    <w:p w14:paraId="3B28008B" w14:textId="77777777" w:rsidR="00DF4522" w:rsidRPr="00531789" w:rsidRDefault="00DF4522" w:rsidP="00DF4522">
      <w:pPr>
        <w:spacing w:line="360" w:lineRule="auto"/>
        <w:jc w:val="both"/>
        <w:rPr>
          <w:rFonts w:ascii="Cambria" w:hAnsi="Cambria" w:cs="Arial"/>
        </w:rPr>
      </w:pPr>
    </w:p>
    <w:p w14:paraId="08A99E74" w14:textId="77777777" w:rsidR="00DF4522" w:rsidRPr="00531789" w:rsidRDefault="00E104AE" w:rsidP="00DF4522">
      <w:pPr>
        <w:spacing w:line="360" w:lineRule="auto"/>
        <w:jc w:val="right"/>
        <w:rPr>
          <w:rFonts w:ascii="Cambria" w:hAnsi="Cambria" w:cs="Arial"/>
        </w:rPr>
      </w:pPr>
      <m:oMath>
        <m:sSub>
          <m:sSubPr>
            <m:ctrlPr>
              <w:rPr>
                <w:rFonts w:ascii="Cambria Math" w:hAnsi="Cambria Math" w:cs="Arial"/>
                <w:i/>
              </w:rPr>
            </m:ctrlPr>
          </m:sSubPr>
          <m:e>
            <m:r>
              <w:rPr>
                <w:rFonts w:ascii="Cambria Math" w:hAnsi="Cambria Math" w:cs="Arial"/>
              </w:rPr>
              <m:t>W</m:t>
            </m:r>
          </m:e>
          <m:sub>
            <m:r>
              <w:rPr>
                <w:rFonts w:ascii="Cambria Math" w:hAnsi="Cambria Math" w:cs="Arial"/>
              </w:rPr>
              <m:t>L</m:t>
            </m:r>
          </m:sub>
        </m:sSub>
        <m:r>
          <w:rPr>
            <w:rFonts w:ascii="Cambria Math" w:hAnsi="Cambria Math" w:cs="Arial"/>
          </w:rPr>
          <m:t xml:space="preserve">= LMR . </m:t>
        </m:r>
        <m:sSub>
          <m:sSubPr>
            <m:ctrlPr>
              <w:rPr>
                <w:rFonts w:ascii="Cambria Math" w:hAnsi="Cambria Math" w:cs="Arial"/>
                <w:i/>
              </w:rPr>
            </m:ctrlPr>
          </m:sSubPr>
          <m:e>
            <m:r>
              <w:rPr>
                <w:rFonts w:ascii="Cambria Math" w:hAnsi="Cambria Math" w:cs="Arial"/>
              </w:rPr>
              <m:t>W</m:t>
            </m:r>
          </m:e>
          <m:sub>
            <m:r>
              <w:rPr>
                <w:rFonts w:ascii="Cambria Math" w:hAnsi="Cambria Math" w:cs="Arial"/>
              </w:rPr>
              <m:t>P</m:t>
            </m:r>
          </m:sub>
        </m:sSub>
      </m:oMath>
      <w:r w:rsidR="00DF4522" w:rsidRPr="00531789">
        <w:rPr>
          <w:rFonts w:ascii="Cambria" w:hAnsi="Cambria" w:cs="Arial"/>
        </w:rPr>
        <w:tab/>
      </w:r>
      <w:r w:rsidR="00DF4522" w:rsidRPr="00531789">
        <w:rPr>
          <w:rFonts w:ascii="Cambria" w:hAnsi="Cambria" w:cs="Arial"/>
        </w:rPr>
        <w:tab/>
      </w:r>
      <w:r w:rsidR="00DF4522" w:rsidRPr="00531789">
        <w:rPr>
          <w:rFonts w:ascii="Cambria" w:hAnsi="Cambria" w:cs="Arial"/>
        </w:rPr>
        <w:tab/>
      </w:r>
      <w:r w:rsidR="00DF4522" w:rsidRPr="00531789">
        <w:rPr>
          <w:rFonts w:ascii="Cambria" w:hAnsi="Cambria" w:cs="Arial"/>
        </w:rPr>
        <w:tab/>
        <w:t>(Equation 7a),</w:t>
      </w:r>
    </w:p>
    <w:p w14:paraId="6E308654" w14:textId="77777777" w:rsidR="00DF4522" w:rsidRPr="00531789" w:rsidRDefault="00DF4522" w:rsidP="00DF4522">
      <w:pPr>
        <w:spacing w:before="240" w:line="360" w:lineRule="auto"/>
        <w:jc w:val="both"/>
        <w:rPr>
          <w:rFonts w:ascii="Cambria" w:hAnsi="Cambria" w:cs="Arial"/>
        </w:rPr>
      </w:pPr>
    </w:p>
    <w:p w14:paraId="569E3B93" w14:textId="77777777" w:rsidR="00DF4522" w:rsidRPr="00531789" w:rsidRDefault="00E104AE" w:rsidP="00DF4522">
      <w:pPr>
        <w:spacing w:line="360" w:lineRule="auto"/>
        <w:jc w:val="right"/>
        <w:rPr>
          <w:rFonts w:ascii="Cambria" w:hAnsi="Cambria" w:cs="Arial"/>
        </w:rPr>
      </w:pPr>
      <m:oMath>
        <m:sSub>
          <m:sSubPr>
            <m:ctrlPr>
              <w:rPr>
                <w:rFonts w:ascii="Cambria Math" w:hAnsi="Cambria Math" w:cs="Arial"/>
                <w:i/>
              </w:rPr>
            </m:ctrlPr>
          </m:sSubPr>
          <m:e>
            <m:r>
              <w:rPr>
                <w:rFonts w:ascii="Cambria Math" w:hAnsi="Cambria Math" w:cs="Arial"/>
              </w:rPr>
              <m:t>W</m:t>
            </m:r>
          </m:e>
          <m:sub>
            <m:r>
              <w:rPr>
                <w:rFonts w:ascii="Cambria Math" w:hAnsi="Cambria Math" w:cs="Arial"/>
              </w:rPr>
              <m:t>R</m:t>
            </m:r>
          </m:sub>
        </m:sSub>
        <m:r>
          <w:rPr>
            <w:rFonts w:ascii="Cambria Math" w:hAnsi="Cambria Math" w:cs="Arial"/>
          </w:rPr>
          <m:t xml:space="preserve">=(1-LMR) . </m:t>
        </m:r>
        <m:sSub>
          <m:sSubPr>
            <m:ctrlPr>
              <w:rPr>
                <w:rFonts w:ascii="Cambria Math" w:hAnsi="Cambria Math" w:cs="Arial"/>
                <w:i/>
              </w:rPr>
            </m:ctrlPr>
          </m:sSubPr>
          <m:e>
            <m:r>
              <w:rPr>
                <w:rFonts w:ascii="Cambria Math" w:hAnsi="Cambria Math" w:cs="Arial"/>
              </w:rPr>
              <m:t>W</m:t>
            </m:r>
          </m:e>
          <m:sub>
            <m:r>
              <w:rPr>
                <w:rFonts w:ascii="Cambria Math" w:hAnsi="Cambria Math" w:cs="Arial"/>
              </w:rPr>
              <m:t>P</m:t>
            </m:r>
          </m:sub>
        </m:sSub>
      </m:oMath>
      <w:r w:rsidR="00DF4522" w:rsidRPr="00531789">
        <w:rPr>
          <w:rFonts w:ascii="Cambria" w:hAnsi="Cambria" w:cs="Arial"/>
        </w:rPr>
        <w:tab/>
      </w:r>
      <w:r w:rsidR="00DF4522" w:rsidRPr="00531789">
        <w:rPr>
          <w:rFonts w:ascii="Cambria" w:hAnsi="Cambria" w:cs="Arial"/>
        </w:rPr>
        <w:tab/>
      </w:r>
      <w:r w:rsidR="00DF4522" w:rsidRPr="00531789">
        <w:rPr>
          <w:rFonts w:ascii="Cambria" w:hAnsi="Cambria" w:cs="Arial"/>
        </w:rPr>
        <w:tab/>
        <w:t>(Equation 7b).</w:t>
      </w:r>
    </w:p>
    <w:p w14:paraId="0F60685F" w14:textId="77777777" w:rsidR="00DF4522" w:rsidRPr="00531789" w:rsidRDefault="00DF4522" w:rsidP="00DF4522">
      <w:pPr>
        <w:spacing w:line="360" w:lineRule="auto"/>
        <w:rPr>
          <w:rFonts w:ascii="Cambria" w:hAnsi="Cambria" w:cs="Arial"/>
        </w:rPr>
      </w:pPr>
    </w:p>
    <w:p w14:paraId="0090C28E" w14:textId="77777777" w:rsidR="00DF4522" w:rsidRPr="00531789" w:rsidRDefault="00DF4522" w:rsidP="00DF4522">
      <w:pPr>
        <w:spacing w:line="360" w:lineRule="auto"/>
        <w:jc w:val="both"/>
        <w:rPr>
          <w:rFonts w:ascii="Cambria" w:hAnsi="Cambria" w:cs="Arial"/>
        </w:rPr>
      </w:pPr>
    </w:p>
    <w:p w14:paraId="4C848459"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Substituting for </w:t>
      </w:r>
      <w:proofErr w:type="spellStart"/>
      <w:r w:rsidRPr="00531789">
        <w:rPr>
          <w:rFonts w:ascii="Cambria" w:hAnsi="Cambria" w:cs="Arial"/>
          <w:i/>
        </w:rPr>
        <w:t>dW</w:t>
      </w:r>
      <w:r w:rsidRPr="00531789">
        <w:rPr>
          <w:rFonts w:ascii="Cambria" w:hAnsi="Cambria" w:cs="Arial"/>
          <w:i/>
          <w:vertAlign w:val="subscript"/>
        </w:rPr>
        <w:t>P</w:t>
      </w:r>
      <w:proofErr w:type="spellEnd"/>
      <w:r w:rsidRPr="00531789">
        <w:rPr>
          <w:rFonts w:ascii="Cambria" w:hAnsi="Cambria" w:cs="Arial"/>
          <w:i/>
        </w:rPr>
        <w:t>/</w:t>
      </w:r>
      <w:proofErr w:type="spellStart"/>
      <w:r w:rsidRPr="00531789">
        <w:rPr>
          <w:rFonts w:ascii="Cambria" w:hAnsi="Cambria" w:cs="Arial"/>
          <w:i/>
        </w:rPr>
        <w:t>dt</w:t>
      </w:r>
      <w:proofErr w:type="spellEnd"/>
      <w:r w:rsidRPr="00531789">
        <w:rPr>
          <w:rFonts w:ascii="Cambria" w:hAnsi="Cambria" w:cs="Arial"/>
        </w:rPr>
        <w:t xml:space="preserve"> in Equation 6b using Equation 4b unifies the physiological and developmental perspectives:</w:t>
      </w:r>
    </w:p>
    <w:p w14:paraId="12D61E1B" w14:textId="77777777" w:rsidR="00DF4522" w:rsidRPr="00531789" w:rsidRDefault="00DF4522" w:rsidP="00DF4522">
      <w:pPr>
        <w:spacing w:line="360" w:lineRule="auto"/>
        <w:jc w:val="both"/>
        <w:rPr>
          <w:rFonts w:ascii="Cambria" w:hAnsi="Cambria" w:cs="Arial"/>
        </w:rPr>
      </w:pPr>
    </w:p>
    <w:p w14:paraId="3B4DB399" w14:textId="77777777" w:rsidR="00DF4522" w:rsidRPr="00531789" w:rsidRDefault="00DF4522" w:rsidP="00DF4522">
      <w:pPr>
        <w:spacing w:before="240" w:line="360" w:lineRule="auto"/>
        <w:jc w:val="both"/>
        <w:rPr>
          <w:rFonts w:ascii="Cambria" w:hAnsi="Cambria" w:cs="Arial"/>
        </w:rPr>
      </w:pPr>
      <m:oMathPara>
        <m:oMath>
          <m:r>
            <w:rPr>
              <w:rFonts w:ascii="Cambria Math" w:hAnsi="Cambria Math" w:cs="Arial"/>
            </w:rPr>
            <m:t xml:space="preserve">A . </m:t>
          </m:r>
          <m:sSub>
            <m:sSubPr>
              <m:ctrlPr>
                <w:rPr>
                  <w:rFonts w:ascii="Cambria Math" w:hAnsi="Cambria Math" w:cs="Arial"/>
                  <w:i/>
                </w:rPr>
              </m:ctrlPr>
            </m:sSubPr>
            <m:e>
              <m:r>
                <w:rPr>
                  <w:rFonts w:ascii="Cambria Math" w:hAnsi="Cambria Math" w:cs="Arial"/>
                </w:rPr>
                <m:t>W</m:t>
              </m:r>
            </m:e>
            <m:sub>
              <m:r>
                <w:rPr>
                  <w:rFonts w:ascii="Cambria Math" w:hAnsi="Cambria Math" w:cs="Arial"/>
                </w:rPr>
                <m:t>L</m:t>
              </m:r>
            </m:sub>
          </m:sSub>
          <m:r>
            <w:rPr>
              <w:rFonts w:ascii="Cambria Math" w:hAnsi="Cambria Math" w:cs="Arial"/>
            </w:rPr>
            <m:t>-</m:t>
          </m:r>
          <m:sSub>
            <m:sSubPr>
              <m:ctrlPr>
                <w:rPr>
                  <w:rFonts w:ascii="Cambria Math" w:hAnsi="Cambria Math" w:cs="Arial"/>
                  <w:i/>
                </w:rPr>
              </m:ctrlPr>
            </m:sSubPr>
            <m:e>
              <m:r>
                <w:rPr>
                  <w:rFonts w:ascii="Cambria Math" w:hAnsi="Cambria Math" w:cs="Arial"/>
                </w:rPr>
                <m:t>R</m:t>
              </m:r>
            </m:e>
            <m:sub>
              <m:r>
                <w:rPr>
                  <w:rFonts w:ascii="Cambria Math" w:hAnsi="Cambria Math" w:cs="Arial"/>
                </w:rPr>
                <m:t>L</m:t>
              </m:r>
            </m:sub>
          </m:sSub>
          <m:r>
            <w:rPr>
              <w:rFonts w:ascii="Cambria Math" w:hAnsi="Cambria Math" w:cs="Arial"/>
            </w:rPr>
            <m:t>.</m:t>
          </m:r>
          <m:sSub>
            <m:sSubPr>
              <m:ctrlPr>
                <w:rPr>
                  <w:rFonts w:ascii="Cambria Math" w:hAnsi="Cambria Math" w:cs="Arial"/>
                  <w:i/>
                </w:rPr>
              </m:ctrlPr>
            </m:sSubPr>
            <m:e>
              <m:r>
                <w:rPr>
                  <w:rFonts w:ascii="Cambria Math" w:hAnsi="Cambria Math" w:cs="Arial"/>
                </w:rPr>
                <m:t>W</m:t>
              </m:r>
            </m:e>
            <m:sub>
              <m:r>
                <w:rPr>
                  <w:rFonts w:ascii="Cambria Math" w:hAnsi="Cambria Math" w:cs="Arial"/>
                </w:rPr>
                <m:t>L</m:t>
              </m:r>
            </m:sub>
          </m:sSub>
          <m:r>
            <w:rPr>
              <w:rFonts w:ascii="Cambria Math" w:hAnsi="Cambria Math" w:cs="Arial"/>
            </w:rPr>
            <m:t>-</m:t>
          </m:r>
          <m:sSub>
            <m:sSubPr>
              <m:ctrlPr>
                <w:rPr>
                  <w:rFonts w:ascii="Cambria Math" w:hAnsi="Cambria Math" w:cs="Arial"/>
                  <w:i/>
                </w:rPr>
              </m:ctrlPr>
            </m:sSubPr>
            <m:e>
              <m:r>
                <w:rPr>
                  <w:rFonts w:ascii="Cambria Math" w:hAnsi="Cambria Math" w:cs="Arial"/>
                </w:rPr>
                <m:t>R</m:t>
              </m:r>
            </m:e>
            <m:sub>
              <m:r>
                <w:rPr>
                  <w:rFonts w:ascii="Cambria Math" w:hAnsi="Cambria Math" w:cs="Arial"/>
                </w:rPr>
                <m:t>R</m:t>
              </m:r>
            </m:sub>
          </m:sSub>
          <m:sSub>
            <m:sSubPr>
              <m:ctrlPr>
                <w:rPr>
                  <w:rFonts w:ascii="Cambria Math" w:hAnsi="Cambria Math" w:cs="Arial"/>
                  <w:i/>
                </w:rPr>
              </m:ctrlPr>
            </m:sSubPr>
            <m:e>
              <m:r>
                <w:rPr>
                  <w:rFonts w:ascii="Cambria Math" w:hAnsi="Cambria Math" w:cs="Arial"/>
                </w:rPr>
                <m:t>. W</m:t>
              </m:r>
            </m:e>
            <m:sub>
              <m:r>
                <w:rPr>
                  <w:rFonts w:ascii="Cambria Math" w:hAnsi="Cambria Math" w:cs="Arial"/>
                </w:rPr>
                <m:t>R</m:t>
              </m:r>
            </m:sub>
          </m:sSub>
          <m:r>
            <w:rPr>
              <w:rFonts w:ascii="Cambria Math" w:hAnsi="Cambria Math" w:cs="Arial"/>
            </w:rPr>
            <m:t>=</m:t>
          </m:r>
          <m:f>
            <m:fPr>
              <m:ctrlPr>
                <w:rPr>
                  <w:rFonts w:ascii="Cambria Math" w:hAnsi="Cambria Math" w:cs="Arial"/>
                  <w:i/>
                </w:rPr>
              </m:ctrlPr>
            </m:fPr>
            <m:num>
              <m:r>
                <w:rPr>
                  <w:rFonts w:ascii="Cambria Math" w:hAnsi="Cambria Math" w:cs="Arial"/>
                </w:rPr>
                <m:t>d</m:t>
              </m:r>
              <m:sSub>
                <m:sSubPr>
                  <m:ctrlPr>
                    <w:rPr>
                      <w:rFonts w:ascii="Cambria Math" w:hAnsi="Cambria Math" w:cs="Arial"/>
                      <w:i/>
                    </w:rPr>
                  </m:ctrlPr>
                </m:sSubPr>
                <m:e>
                  <m:r>
                    <w:rPr>
                      <w:rFonts w:ascii="Cambria Math" w:hAnsi="Cambria Math" w:cs="Arial"/>
                    </w:rPr>
                    <m:t>C</m:t>
                  </m:r>
                </m:e>
                <m:sub>
                  <m:r>
                    <w:rPr>
                      <w:rFonts w:ascii="Cambria Math" w:hAnsi="Cambria Math" w:cs="Arial"/>
                    </w:rPr>
                    <m:t>L</m:t>
                  </m:r>
                </m:sub>
              </m:sSub>
            </m:num>
            <m:den>
              <m:r>
                <w:rPr>
                  <w:rFonts w:ascii="Cambria Math" w:hAnsi="Cambria Math" w:cs="Arial"/>
                </w:rPr>
                <m:t>dt</m:t>
              </m:r>
            </m:den>
          </m:f>
          <m:r>
            <w:rPr>
              <w:rFonts w:ascii="Cambria Math" w:hAnsi="Cambria Math" w:cs="Arial"/>
            </w:rPr>
            <m:t xml:space="preserve"> .  </m:t>
          </m:r>
          <m:sSub>
            <m:sSubPr>
              <m:ctrlPr>
                <w:rPr>
                  <w:rFonts w:ascii="Cambria Math" w:hAnsi="Cambria Math" w:cs="Arial"/>
                  <w:i/>
                </w:rPr>
              </m:ctrlPr>
            </m:sSubPr>
            <m:e>
              <m:r>
                <w:rPr>
                  <w:rFonts w:ascii="Cambria Math" w:hAnsi="Cambria Math" w:cs="Arial"/>
                </w:rPr>
                <m:t>m</m:t>
              </m:r>
            </m:e>
            <m:sub>
              <m:r>
                <w:rPr>
                  <w:rFonts w:ascii="Cambria Math" w:hAnsi="Cambria Math" w:cs="Arial"/>
                </w:rPr>
                <m:t>L</m:t>
              </m:r>
            </m:sub>
          </m:sSub>
          <m:r>
            <w:rPr>
              <w:rFonts w:ascii="Cambria Math" w:hAnsi="Cambria Math" w:cs="Arial"/>
            </w:rPr>
            <m:t xml:space="preserve">+ </m:t>
          </m:r>
          <m:f>
            <m:fPr>
              <m:ctrlPr>
                <w:rPr>
                  <w:rFonts w:ascii="Cambria Math" w:hAnsi="Cambria Math" w:cs="Arial"/>
                  <w:i/>
                </w:rPr>
              </m:ctrlPr>
            </m:fPr>
            <m:num>
              <m:r>
                <w:rPr>
                  <w:rFonts w:ascii="Cambria Math" w:hAnsi="Cambria Math" w:cs="Arial"/>
                </w:rPr>
                <m:t>d</m:t>
              </m:r>
              <m:sSub>
                <m:sSubPr>
                  <m:ctrlPr>
                    <w:rPr>
                      <w:rFonts w:ascii="Cambria Math" w:hAnsi="Cambria Math" w:cs="Arial"/>
                      <w:i/>
                    </w:rPr>
                  </m:ctrlPr>
                </m:sSubPr>
                <m:e>
                  <m:r>
                    <w:rPr>
                      <w:rFonts w:ascii="Cambria Math" w:hAnsi="Cambria Math" w:cs="Arial"/>
                    </w:rPr>
                    <m:t>C</m:t>
                  </m:r>
                </m:e>
                <m:sub>
                  <m:r>
                    <w:rPr>
                      <w:rFonts w:ascii="Cambria Math" w:hAnsi="Cambria Math" w:cs="Arial"/>
                    </w:rPr>
                    <m:t>R</m:t>
                  </m:r>
                </m:sub>
              </m:sSub>
            </m:num>
            <m:den>
              <m:r>
                <w:rPr>
                  <w:rFonts w:ascii="Cambria Math" w:hAnsi="Cambria Math" w:cs="Arial"/>
                </w:rPr>
                <m:t>dt</m:t>
              </m:r>
            </m:den>
          </m:f>
          <m:r>
            <w:rPr>
              <w:rFonts w:ascii="Cambria Math" w:hAnsi="Cambria Math" w:cs="Arial"/>
            </w:rPr>
            <m:t xml:space="preserve">.  </m:t>
          </m:r>
          <m:sSub>
            <m:sSubPr>
              <m:ctrlPr>
                <w:rPr>
                  <w:rFonts w:ascii="Cambria Math" w:hAnsi="Cambria Math" w:cs="Arial"/>
                  <w:i/>
                </w:rPr>
              </m:ctrlPr>
            </m:sSubPr>
            <m:e>
              <m:r>
                <w:rPr>
                  <w:rFonts w:ascii="Cambria Math" w:hAnsi="Cambria Math" w:cs="Arial"/>
                </w:rPr>
                <m:t>m</m:t>
              </m:r>
            </m:e>
            <m:sub>
              <m:r>
                <w:rPr>
                  <w:rFonts w:ascii="Cambria Math" w:hAnsi="Cambria Math" w:cs="Arial"/>
                </w:rPr>
                <m:t>R</m:t>
              </m:r>
            </m:sub>
          </m:sSub>
        </m:oMath>
      </m:oMathPara>
    </w:p>
    <w:p w14:paraId="2EEFBA7E" w14:textId="77777777" w:rsidR="00DF4522" w:rsidRPr="00531789" w:rsidRDefault="00DF4522" w:rsidP="00DF4522">
      <w:pPr>
        <w:spacing w:line="360" w:lineRule="auto"/>
        <w:jc w:val="right"/>
        <w:rPr>
          <w:rFonts w:ascii="Cambria" w:hAnsi="Cambria" w:cs="Arial"/>
        </w:rPr>
      </w:pPr>
      <w:r w:rsidRPr="00531789">
        <w:rPr>
          <w:rFonts w:ascii="Cambria" w:hAnsi="Cambria" w:cs="Arial"/>
        </w:rPr>
        <w:tab/>
      </w:r>
      <w:r w:rsidRPr="00531789">
        <w:rPr>
          <w:rFonts w:ascii="Cambria" w:hAnsi="Cambria" w:cs="Arial"/>
        </w:rPr>
        <w:tab/>
        <w:t>(Equation 8a),</w:t>
      </w:r>
    </w:p>
    <w:p w14:paraId="3DD2394F" w14:textId="77777777" w:rsidR="00DF4522" w:rsidRPr="00531789" w:rsidRDefault="00DF4522" w:rsidP="00DF4522">
      <w:pPr>
        <w:spacing w:line="360" w:lineRule="auto"/>
        <w:jc w:val="both"/>
        <w:rPr>
          <w:rFonts w:ascii="Cambria" w:hAnsi="Cambria" w:cs="Arial"/>
        </w:rPr>
      </w:pPr>
    </w:p>
    <w:p w14:paraId="44ED54C1"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and substituting in the definitions of </w:t>
      </w:r>
      <w:r w:rsidRPr="00531789">
        <w:rPr>
          <w:rFonts w:ascii="Cambria" w:hAnsi="Cambria" w:cs="Arial"/>
          <w:i/>
        </w:rPr>
        <w:t>W</w:t>
      </w:r>
      <w:r w:rsidRPr="00531789">
        <w:rPr>
          <w:rFonts w:ascii="Cambria" w:hAnsi="Cambria" w:cs="Arial"/>
          <w:i/>
          <w:vertAlign w:val="subscript"/>
        </w:rPr>
        <w:t xml:space="preserve">L </w:t>
      </w:r>
      <w:r w:rsidRPr="00531789">
        <w:rPr>
          <w:rFonts w:ascii="Cambria" w:hAnsi="Cambria" w:cs="Arial"/>
        </w:rPr>
        <w:t xml:space="preserve">and </w:t>
      </w:r>
      <w:r w:rsidRPr="00531789">
        <w:rPr>
          <w:rFonts w:ascii="Cambria" w:hAnsi="Cambria" w:cs="Arial"/>
          <w:i/>
        </w:rPr>
        <w:t>W</w:t>
      </w:r>
      <w:r w:rsidRPr="00531789">
        <w:rPr>
          <w:rFonts w:ascii="Cambria" w:hAnsi="Cambria" w:cs="Arial"/>
          <w:i/>
          <w:vertAlign w:val="subscript"/>
        </w:rPr>
        <w:t xml:space="preserve">R </w:t>
      </w:r>
      <w:r w:rsidRPr="00531789">
        <w:rPr>
          <w:rFonts w:ascii="Cambria" w:hAnsi="Cambria" w:cs="Arial"/>
        </w:rPr>
        <w:t xml:space="preserve"> seen in Equations  7 incorporates the allocation perspective, to give:</w:t>
      </w:r>
    </w:p>
    <w:p w14:paraId="5FD94DC6" w14:textId="77777777" w:rsidR="00DF4522" w:rsidRPr="00531789" w:rsidRDefault="00DF4522" w:rsidP="00DF4522">
      <w:pPr>
        <w:spacing w:line="360" w:lineRule="auto"/>
        <w:jc w:val="both"/>
        <w:rPr>
          <w:rFonts w:ascii="Cambria" w:hAnsi="Cambria" w:cs="Arial"/>
        </w:rPr>
      </w:pPr>
    </w:p>
    <w:p w14:paraId="2E8980B8" w14:textId="77777777" w:rsidR="00DF4522" w:rsidRPr="00531789" w:rsidRDefault="00DF4522" w:rsidP="00DF4522">
      <w:pPr>
        <w:spacing w:before="240" w:line="360" w:lineRule="auto"/>
        <w:jc w:val="both"/>
        <w:rPr>
          <w:rFonts w:ascii="Cambria" w:hAnsi="Cambria" w:cs="Arial"/>
        </w:rPr>
      </w:pPr>
      <m:oMathPara>
        <m:oMath>
          <m:r>
            <w:rPr>
              <w:rFonts w:ascii="Cambria Math" w:hAnsi="Cambria Math" w:cs="Arial"/>
            </w:rPr>
            <m:t xml:space="preserve">A . LMR . </m:t>
          </m:r>
          <m:sSub>
            <m:sSubPr>
              <m:ctrlPr>
                <w:rPr>
                  <w:rFonts w:ascii="Cambria Math" w:hAnsi="Cambria Math" w:cs="Arial"/>
                  <w:i/>
                </w:rPr>
              </m:ctrlPr>
            </m:sSubPr>
            <m:e>
              <m:r>
                <w:rPr>
                  <w:rFonts w:ascii="Cambria Math" w:hAnsi="Cambria Math" w:cs="Arial"/>
                </w:rPr>
                <m:t>W</m:t>
              </m:r>
            </m:e>
            <m:sub>
              <m:r>
                <w:rPr>
                  <w:rFonts w:ascii="Cambria Math" w:hAnsi="Cambria Math" w:cs="Arial"/>
                </w:rPr>
                <m:t>P</m:t>
              </m:r>
            </m:sub>
          </m:sSub>
          <m:r>
            <w:rPr>
              <w:rFonts w:ascii="Cambria Math" w:hAnsi="Cambria Math" w:cs="Arial"/>
            </w:rPr>
            <m:t>-</m:t>
          </m:r>
          <m:sSub>
            <m:sSubPr>
              <m:ctrlPr>
                <w:rPr>
                  <w:rFonts w:ascii="Cambria Math" w:hAnsi="Cambria Math" w:cs="Arial"/>
                  <w:i/>
                </w:rPr>
              </m:ctrlPr>
            </m:sSubPr>
            <m:e>
              <m:r>
                <w:rPr>
                  <w:rFonts w:ascii="Cambria Math" w:hAnsi="Cambria Math" w:cs="Arial"/>
                </w:rPr>
                <m:t>R</m:t>
              </m:r>
            </m:e>
            <m:sub>
              <m:r>
                <w:rPr>
                  <w:rFonts w:ascii="Cambria Math" w:hAnsi="Cambria Math" w:cs="Arial"/>
                </w:rPr>
                <m:t>L</m:t>
              </m:r>
            </m:sub>
          </m:sSub>
          <m:r>
            <w:rPr>
              <w:rFonts w:ascii="Cambria Math" w:hAnsi="Cambria Math" w:cs="Arial"/>
            </w:rPr>
            <m:t>.</m:t>
          </m:r>
          <m:sSub>
            <m:sSubPr>
              <m:ctrlPr>
                <w:rPr>
                  <w:rFonts w:ascii="Cambria Math" w:hAnsi="Cambria Math" w:cs="Arial"/>
                  <w:i/>
                </w:rPr>
              </m:ctrlPr>
            </m:sSubPr>
            <m:e>
              <m:r>
                <w:rPr>
                  <w:rFonts w:ascii="Cambria Math" w:hAnsi="Cambria Math" w:cs="Arial"/>
                </w:rPr>
                <m:t>LMR . W</m:t>
              </m:r>
            </m:e>
            <m:sub>
              <m:r>
                <w:rPr>
                  <w:rFonts w:ascii="Cambria Math" w:hAnsi="Cambria Math" w:cs="Arial"/>
                </w:rPr>
                <m:t>P</m:t>
              </m:r>
            </m:sub>
          </m:sSub>
          <m:r>
            <w:rPr>
              <w:rFonts w:ascii="Cambria Math" w:hAnsi="Cambria Math" w:cs="Arial"/>
            </w:rPr>
            <m:t>-</m:t>
          </m:r>
          <m:sSub>
            <m:sSubPr>
              <m:ctrlPr>
                <w:rPr>
                  <w:rFonts w:ascii="Cambria Math" w:hAnsi="Cambria Math" w:cs="Arial"/>
                  <w:i/>
                </w:rPr>
              </m:ctrlPr>
            </m:sSubPr>
            <m:e>
              <m:r>
                <w:rPr>
                  <w:rFonts w:ascii="Cambria Math" w:hAnsi="Cambria Math" w:cs="Arial"/>
                </w:rPr>
                <m:t>R</m:t>
              </m:r>
            </m:e>
            <m:sub>
              <m:r>
                <w:rPr>
                  <w:rFonts w:ascii="Cambria Math" w:hAnsi="Cambria Math" w:cs="Arial"/>
                </w:rPr>
                <m:t>R</m:t>
              </m:r>
            </m:sub>
          </m:sSub>
          <m:sSub>
            <m:sSubPr>
              <m:ctrlPr>
                <w:rPr>
                  <w:rFonts w:ascii="Cambria Math" w:hAnsi="Cambria Math" w:cs="Arial"/>
                  <w:i/>
                </w:rPr>
              </m:ctrlPr>
            </m:sSubPr>
            <m:e>
              <m:r>
                <w:rPr>
                  <w:rFonts w:ascii="Cambria Math" w:hAnsi="Cambria Math" w:cs="Arial"/>
                </w:rPr>
                <m:t xml:space="preserve">. </m:t>
              </m:r>
              <m:d>
                <m:dPr>
                  <m:ctrlPr>
                    <w:rPr>
                      <w:rFonts w:ascii="Cambria Math" w:hAnsi="Cambria Math" w:cs="Arial"/>
                      <w:i/>
                    </w:rPr>
                  </m:ctrlPr>
                </m:dPr>
                <m:e>
                  <m:r>
                    <w:rPr>
                      <w:rFonts w:ascii="Cambria Math" w:hAnsi="Cambria Math" w:cs="Arial"/>
                    </w:rPr>
                    <m:t>1-LMR</m:t>
                  </m:r>
                </m:e>
              </m:d>
              <m:r>
                <w:rPr>
                  <w:rFonts w:ascii="Cambria Math" w:hAnsi="Cambria Math" w:cs="Arial"/>
                </w:rPr>
                <m:t xml:space="preserve"> . W</m:t>
              </m:r>
            </m:e>
            <m:sub>
              <m:r>
                <w:rPr>
                  <w:rFonts w:ascii="Cambria Math" w:hAnsi="Cambria Math" w:cs="Arial"/>
                </w:rPr>
                <m:t>P</m:t>
              </m:r>
            </m:sub>
          </m:sSub>
          <m:r>
            <w:rPr>
              <w:rFonts w:ascii="Cambria Math" w:hAnsi="Cambria Math" w:cs="Arial"/>
            </w:rPr>
            <m:t>=</m:t>
          </m:r>
          <m:f>
            <m:fPr>
              <m:ctrlPr>
                <w:rPr>
                  <w:rFonts w:ascii="Cambria Math" w:hAnsi="Cambria Math" w:cs="Arial"/>
                  <w:i/>
                </w:rPr>
              </m:ctrlPr>
            </m:fPr>
            <m:num>
              <m:r>
                <w:rPr>
                  <w:rFonts w:ascii="Cambria Math" w:hAnsi="Cambria Math" w:cs="Arial"/>
                </w:rPr>
                <m:t>d</m:t>
              </m:r>
              <m:sSub>
                <m:sSubPr>
                  <m:ctrlPr>
                    <w:rPr>
                      <w:rFonts w:ascii="Cambria Math" w:hAnsi="Cambria Math" w:cs="Arial"/>
                      <w:i/>
                    </w:rPr>
                  </m:ctrlPr>
                </m:sSubPr>
                <m:e>
                  <m:r>
                    <w:rPr>
                      <w:rFonts w:ascii="Cambria Math" w:hAnsi="Cambria Math" w:cs="Arial"/>
                    </w:rPr>
                    <m:t>C</m:t>
                  </m:r>
                </m:e>
                <m:sub>
                  <m:r>
                    <w:rPr>
                      <w:rFonts w:ascii="Cambria Math" w:hAnsi="Cambria Math" w:cs="Arial"/>
                    </w:rPr>
                    <m:t>L</m:t>
                  </m:r>
                </m:sub>
              </m:sSub>
            </m:num>
            <m:den>
              <m:r>
                <w:rPr>
                  <w:rFonts w:ascii="Cambria Math" w:hAnsi="Cambria Math" w:cs="Arial"/>
                </w:rPr>
                <m:t>dt</m:t>
              </m:r>
            </m:den>
          </m:f>
          <m:r>
            <w:rPr>
              <w:rFonts w:ascii="Cambria Math" w:hAnsi="Cambria Math" w:cs="Arial"/>
            </w:rPr>
            <m:t xml:space="preserve"> .  </m:t>
          </m:r>
          <m:sSub>
            <m:sSubPr>
              <m:ctrlPr>
                <w:rPr>
                  <w:rFonts w:ascii="Cambria Math" w:hAnsi="Cambria Math" w:cs="Arial"/>
                  <w:i/>
                </w:rPr>
              </m:ctrlPr>
            </m:sSubPr>
            <m:e>
              <m:r>
                <w:rPr>
                  <w:rFonts w:ascii="Cambria Math" w:hAnsi="Cambria Math" w:cs="Arial"/>
                </w:rPr>
                <m:t>m</m:t>
              </m:r>
            </m:e>
            <m:sub>
              <m:r>
                <w:rPr>
                  <w:rFonts w:ascii="Cambria Math" w:hAnsi="Cambria Math" w:cs="Arial"/>
                </w:rPr>
                <m:t>L</m:t>
              </m:r>
            </m:sub>
          </m:sSub>
          <m:r>
            <w:rPr>
              <w:rFonts w:ascii="Cambria Math" w:hAnsi="Cambria Math" w:cs="Arial"/>
            </w:rPr>
            <m:t xml:space="preserve">+ </m:t>
          </m:r>
          <m:f>
            <m:fPr>
              <m:ctrlPr>
                <w:rPr>
                  <w:rFonts w:ascii="Cambria Math" w:hAnsi="Cambria Math" w:cs="Arial"/>
                  <w:i/>
                </w:rPr>
              </m:ctrlPr>
            </m:fPr>
            <m:num>
              <m:r>
                <w:rPr>
                  <w:rFonts w:ascii="Cambria Math" w:hAnsi="Cambria Math" w:cs="Arial"/>
                </w:rPr>
                <m:t>d</m:t>
              </m:r>
              <m:sSub>
                <m:sSubPr>
                  <m:ctrlPr>
                    <w:rPr>
                      <w:rFonts w:ascii="Cambria Math" w:hAnsi="Cambria Math" w:cs="Arial"/>
                      <w:i/>
                    </w:rPr>
                  </m:ctrlPr>
                </m:sSubPr>
                <m:e>
                  <m:r>
                    <w:rPr>
                      <w:rFonts w:ascii="Cambria Math" w:hAnsi="Cambria Math" w:cs="Arial"/>
                    </w:rPr>
                    <m:t>C</m:t>
                  </m:r>
                </m:e>
                <m:sub>
                  <m:r>
                    <w:rPr>
                      <w:rFonts w:ascii="Cambria Math" w:hAnsi="Cambria Math" w:cs="Arial"/>
                    </w:rPr>
                    <m:t>R</m:t>
                  </m:r>
                </m:sub>
              </m:sSub>
            </m:num>
            <m:den>
              <m:r>
                <w:rPr>
                  <w:rFonts w:ascii="Cambria Math" w:hAnsi="Cambria Math" w:cs="Arial"/>
                </w:rPr>
                <m:t>d</m:t>
              </m:r>
              <m:r>
                <w:rPr>
                  <w:rFonts w:ascii="Cambria Math" w:hAnsi="Cambria Math" w:cs="Cambria Math"/>
                </w:rPr>
                <m:t>t</m:t>
              </m:r>
            </m:den>
          </m:f>
          <m:r>
            <w:rPr>
              <w:rFonts w:ascii="Cambria Math" w:hAnsi="Cambria Math" w:cs="Arial"/>
            </w:rPr>
            <m:t xml:space="preserve">.  </m:t>
          </m:r>
          <m:sSub>
            <m:sSubPr>
              <m:ctrlPr>
                <w:rPr>
                  <w:rFonts w:ascii="Cambria Math" w:hAnsi="Cambria Math" w:cs="Arial"/>
                  <w:i/>
                </w:rPr>
              </m:ctrlPr>
            </m:sSubPr>
            <m:e>
              <m:r>
                <w:rPr>
                  <w:rFonts w:ascii="Cambria Math" w:hAnsi="Cambria Math" w:cs="Arial"/>
                </w:rPr>
                <m:t>m</m:t>
              </m:r>
            </m:e>
            <m:sub>
              <m:r>
                <w:rPr>
                  <w:rFonts w:ascii="Cambria Math" w:hAnsi="Cambria Math" w:cs="Arial"/>
                </w:rPr>
                <m:t>R</m:t>
              </m:r>
            </m:sub>
          </m:sSub>
        </m:oMath>
      </m:oMathPara>
    </w:p>
    <w:p w14:paraId="6C1BD9E0" w14:textId="77777777" w:rsidR="00DF4522" w:rsidRPr="00531789" w:rsidRDefault="00DF4522" w:rsidP="00DF4522">
      <w:pPr>
        <w:spacing w:line="360" w:lineRule="auto"/>
        <w:jc w:val="center"/>
        <w:rPr>
          <w:rFonts w:ascii="Cambria" w:hAnsi="Cambria" w:cs="Arial"/>
        </w:rPr>
      </w:pPr>
    </w:p>
    <w:p w14:paraId="038247B6" w14:textId="77777777" w:rsidR="00DF4522" w:rsidRDefault="00DF4522" w:rsidP="00DF4522">
      <w:pPr>
        <w:spacing w:line="360" w:lineRule="auto"/>
        <w:jc w:val="both"/>
        <w:rPr>
          <w:rFonts w:ascii="Cambria" w:hAnsi="Cambria" w:cs="Arial"/>
        </w:rPr>
      </w:pPr>
      <w:r w:rsidRPr="00531789">
        <w:rPr>
          <w:rFonts w:ascii="Cambria" w:hAnsi="Cambria" w:cs="Arial"/>
        </w:rPr>
        <w:tab/>
      </w:r>
      <w:r w:rsidRPr="00531789">
        <w:rPr>
          <w:rFonts w:ascii="Cambria" w:hAnsi="Cambria" w:cs="Arial"/>
        </w:rPr>
        <w:tab/>
      </w:r>
      <w:r w:rsidRPr="00531789">
        <w:rPr>
          <w:rFonts w:ascii="Cambria" w:hAnsi="Cambria" w:cs="Arial"/>
        </w:rPr>
        <w:tab/>
      </w:r>
      <w:r w:rsidRPr="00531789">
        <w:rPr>
          <w:rFonts w:ascii="Cambria" w:hAnsi="Cambria" w:cs="Arial"/>
        </w:rPr>
        <w:tab/>
      </w:r>
      <w:r w:rsidRPr="00531789">
        <w:rPr>
          <w:rFonts w:ascii="Cambria" w:hAnsi="Cambria" w:cs="Arial"/>
        </w:rPr>
        <w:tab/>
      </w:r>
      <w:r w:rsidRPr="00531789">
        <w:rPr>
          <w:rFonts w:ascii="Cambria" w:hAnsi="Cambria" w:cs="Arial"/>
        </w:rPr>
        <w:tab/>
      </w:r>
      <w:r w:rsidRPr="00531789">
        <w:rPr>
          <w:rFonts w:ascii="Cambria" w:hAnsi="Cambria" w:cs="Arial"/>
        </w:rPr>
        <w:tab/>
      </w:r>
      <w:r w:rsidRPr="00531789">
        <w:rPr>
          <w:rFonts w:ascii="Cambria" w:hAnsi="Cambria" w:cs="Arial"/>
        </w:rPr>
        <w:tab/>
      </w:r>
      <w:r w:rsidRPr="00531789">
        <w:rPr>
          <w:rFonts w:ascii="Cambria" w:hAnsi="Cambria" w:cs="Arial"/>
        </w:rPr>
        <w:tab/>
        <w:t xml:space="preserve">     (Equation 8b)</w:t>
      </w:r>
    </w:p>
    <w:p w14:paraId="3805C2CC" w14:textId="77777777" w:rsidR="00DF4522" w:rsidRPr="00531789" w:rsidRDefault="00DF4522" w:rsidP="00DF4522">
      <w:pPr>
        <w:spacing w:line="360" w:lineRule="auto"/>
        <w:jc w:val="both"/>
        <w:rPr>
          <w:rFonts w:ascii="Cambria" w:hAnsi="Cambria" w:cs="Arial"/>
        </w:rPr>
      </w:pPr>
    </w:p>
    <w:p w14:paraId="500ECFFE"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where the dependence of </w:t>
      </w:r>
      <w:r w:rsidRPr="00531789">
        <w:rPr>
          <w:rFonts w:ascii="Cambria" w:hAnsi="Cambria" w:cs="Arial"/>
          <w:i/>
        </w:rPr>
        <w:t xml:space="preserve">SLA </w:t>
      </w:r>
      <w:r w:rsidRPr="00531789">
        <w:rPr>
          <w:rFonts w:ascii="Cambria" w:hAnsi="Cambria" w:cs="Arial"/>
        </w:rPr>
        <w:t xml:space="preserve">and </w:t>
      </w:r>
      <w:r w:rsidRPr="00531789">
        <w:rPr>
          <w:rFonts w:ascii="Cambria" w:hAnsi="Cambria" w:cs="Arial"/>
          <w:i/>
        </w:rPr>
        <w:t xml:space="preserve">LMR </w:t>
      </w:r>
      <w:r w:rsidRPr="00531789">
        <w:rPr>
          <w:rFonts w:ascii="Cambria" w:hAnsi="Cambria" w:cs="Arial"/>
        </w:rPr>
        <w:t xml:space="preserve">on </w:t>
      </w:r>
      <w:r w:rsidRPr="00531789">
        <w:rPr>
          <w:rFonts w:ascii="Cambria" w:hAnsi="Cambria" w:cs="Arial"/>
          <w:i/>
        </w:rPr>
        <w:t>W</w:t>
      </w:r>
      <w:r w:rsidRPr="00531789">
        <w:rPr>
          <w:rFonts w:ascii="Cambria" w:hAnsi="Cambria" w:cs="Arial"/>
          <w:i/>
          <w:vertAlign w:val="subscript"/>
        </w:rPr>
        <w:t xml:space="preserve">P </w:t>
      </w:r>
      <w:r w:rsidRPr="00531789">
        <w:rPr>
          <w:rFonts w:ascii="Cambria" w:hAnsi="Cambria" w:cs="Arial"/>
        </w:rPr>
        <w:t>has been suppressed for ease of presentation.</w:t>
      </w:r>
    </w:p>
    <w:p w14:paraId="634E32D7" w14:textId="77777777" w:rsidR="00DF4522" w:rsidRPr="00531789" w:rsidRDefault="00DF4522" w:rsidP="00DF4522">
      <w:pPr>
        <w:spacing w:line="360" w:lineRule="auto"/>
        <w:jc w:val="both"/>
        <w:rPr>
          <w:rFonts w:ascii="Cambria" w:hAnsi="Cambria" w:cs="Arial"/>
        </w:rPr>
      </w:pPr>
    </w:p>
    <w:p w14:paraId="4A014DB4" w14:textId="77777777" w:rsidR="00DF4522" w:rsidRPr="00531789" w:rsidRDefault="00DF4522" w:rsidP="00DF4522">
      <w:pPr>
        <w:spacing w:line="360" w:lineRule="auto"/>
        <w:jc w:val="both"/>
        <w:rPr>
          <w:rFonts w:ascii="Cambria" w:hAnsi="Cambria" w:cs="Arial"/>
        </w:rPr>
      </w:pPr>
      <w:r w:rsidRPr="00531789">
        <w:rPr>
          <w:rFonts w:ascii="Cambria" w:hAnsi="Cambria" w:cs="Arial"/>
        </w:rPr>
        <w:t>This unifies the three lenses for looking at growth, and can be rearranged as:</w:t>
      </w:r>
    </w:p>
    <w:p w14:paraId="2F0EC5F0" w14:textId="77777777" w:rsidR="00DF4522" w:rsidRPr="00531789" w:rsidRDefault="00DF4522" w:rsidP="00DF4522">
      <w:pPr>
        <w:spacing w:line="360" w:lineRule="auto"/>
        <w:rPr>
          <w:rFonts w:ascii="Cambria" w:hAnsi="Cambria" w:cs="Arial"/>
        </w:rPr>
      </w:pPr>
    </w:p>
    <w:p w14:paraId="64CC4FF8" w14:textId="77777777" w:rsidR="00DF4522" w:rsidRPr="00531789" w:rsidRDefault="00DF4522" w:rsidP="00DF4522">
      <w:pPr>
        <w:spacing w:line="360" w:lineRule="auto"/>
        <w:rPr>
          <w:rFonts w:ascii="Cambria" w:hAnsi="Cambria" w:cs="Arial"/>
        </w:rPr>
      </w:pPr>
      <w:r w:rsidRPr="00531789">
        <w:rPr>
          <w:rFonts w:ascii="Cambria" w:hAnsi="Cambria" w:cs="Arial"/>
        </w:rPr>
        <w:t xml:space="preserve">      </w:t>
      </w:r>
      <m:oMath>
        <m:r>
          <w:rPr>
            <w:rFonts w:ascii="Cambria Math" w:hAnsi="Cambria Math" w:cs="Arial"/>
          </w:rPr>
          <m:t xml:space="preserve">A . LMR . </m:t>
        </m:r>
        <m:sSub>
          <m:sSubPr>
            <m:ctrlPr>
              <w:rPr>
                <w:rFonts w:ascii="Cambria Math" w:hAnsi="Cambria Math" w:cs="Arial"/>
                <w:i/>
              </w:rPr>
            </m:ctrlPr>
          </m:sSubPr>
          <m:e>
            <m:r>
              <w:rPr>
                <w:rFonts w:ascii="Cambria Math" w:hAnsi="Cambria Math" w:cs="Arial"/>
              </w:rPr>
              <m:t>W</m:t>
            </m:r>
          </m:e>
          <m:sub>
            <m:r>
              <w:rPr>
                <w:rFonts w:ascii="Cambria Math" w:hAnsi="Cambria Math" w:cs="Arial"/>
              </w:rPr>
              <m:t>P</m:t>
            </m:r>
          </m:sub>
        </m:sSub>
        <m:r>
          <w:rPr>
            <w:rFonts w:ascii="Cambria Math" w:hAnsi="Cambria Math" w:cs="Arial"/>
          </w:rPr>
          <m:t>=</m:t>
        </m:r>
        <m:d>
          <m:dPr>
            <m:begChr m:val="["/>
            <m:endChr m:val="]"/>
            <m:ctrlPr>
              <w:rPr>
                <w:rFonts w:ascii="Cambria Math" w:hAnsi="Cambria Math" w:cs="Arial"/>
                <w:i/>
              </w:rPr>
            </m:ctrlPr>
          </m:dPr>
          <m:e>
            <m:f>
              <m:fPr>
                <m:ctrlPr>
                  <w:rPr>
                    <w:rFonts w:ascii="Cambria Math" w:hAnsi="Cambria Math" w:cs="Arial"/>
                    <w:i/>
                  </w:rPr>
                </m:ctrlPr>
              </m:fPr>
              <m:num>
                <m:r>
                  <w:rPr>
                    <w:rFonts w:ascii="Cambria Math" w:hAnsi="Cambria Math" w:cs="Arial"/>
                  </w:rPr>
                  <m:t>d</m:t>
                </m:r>
                <m:sSub>
                  <m:sSubPr>
                    <m:ctrlPr>
                      <w:rPr>
                        <w:rFonts w:ascii="Cambria Math" w:hAnsi="Cambria Math" w:cs="Arial"/>
                        <w:i/>
                      </w:rPr>
                    </m:ctrlPr>
                  </m:sSubPr>
                  <m:e>
                    <m:r>
                      <w:rPr>
                        <w:rFonts w:ascii="Cambria Math" w:hAnsi="Cambria Math" w:cs="Arial"/>
                      </w:rPr>
                      <m:t>C</m:t>
                    </m:r>
                  </m:e>
                  <m:sub>
                    <m:r>
                      <w:rPr>
                        <w:rFonts w:ascii="Cambria Math" w:hAnsi="Cambria Math" w:cs="Arial"/>
                      </w:rPr>
                      <m:t>L</m:t>
                    </m:r>
                  </m:sub>
                </m:sSub>
              </m:num>
              <m:den>
                <m:r>
                  <w:rPr>
                    <w:rFonts w:ascii="Cambria Math" w:hAnsi="Cambria Math" w:cs="Arial"/>
                  </w:rPr>
                  <m:t>dt</m:t>
                </m:r>
              </m:den>
            </m:f>
            <m:r>
              <w:rPr>
                <w:rFonts w:ascii="Cambria Math" w:hAnsi="Cambria Math" w:cs="Arial"/>
              </w:rPr>
              <m:t>.</m:t>
            </m:r>
            <m:sSub>
              <m:sSubPr>
                <m:ctrlPr>
                  <w:rPr>
                    <w:rFonts w:ascii="Cambria Math" w:hAnsi="Cambria Math" w:cs="Arial"/>
                    <w:i/>
                  </w:rPr>
                </m:ctrlPr>
              </m:sSubPr>
              <m:e>
                <m:r>
                  <w:rPr>
                    <w:rFonts w:ascii="Cambria Math" w:hAnsi="Cambria Math" w:cs="Arial"/>
                  </w:rPr>
                  <m:t>m</m:t>
                </m:r>
              </m:e>
              <m:sub>
                <m:r>
                  <w:rPr>
                    <w:rFonts w:ascii="Cambria Math" w:hAnsi="Cambria Math" w:cs="Arial"/>
                  </w:rPr>
                  <m:t>L</m:t>
                </m:r>
              </m:sub>
            </m:sSub>
            <m:r>
              <w:rPr>
                <w:rFonts w:ascii="Cambria Math" w:hAnsi="Cambria Math" w:cs="Arial"/>
              </w:rPr>
              <m:t>+</m:t>
            </m:r>
            <m:sSub>
              <m:sSubPr>
                <m:ctrlPr>
                  <w:rPr>
                    <w:rFonts w:ascii="Cambria Math" w:hAnsi="Cambria Math" w:cs="Arial"/>
                    <w:i/>
                  </w:rPr>
                </m:ctrlPr>
              </m:sSubPr>
              <m:e>
                <m:r>
                  <w:rPr>
                    <w:rFonts w:ascii="Cambria Math" w:hAnsi="Cambria Math" w:cs="Arial"/>
                  </w:rPr>
                  <m:t>R</m:t>
                </m:r>
              </m:e>
              <m:sub>
                <m:r>
                  <w:rPr>
                    <w:rFonts w:ascii="Cambria Math" w:hAnsi="Cambria Math" w:cs="Arial"/>
                  </w:rPr>
                  <m:t>L</m:t>
                </m:r>
              </m:sub>
            </m:sSub>
            <m:r>
              <w:rPr>
                <w:rFonts w:ascii="Cambria Math" w:hAnsi="Cambria Math" w:cs="Arial"/>
              </w:rPr>
              <m:t xml:space="preserve">.LMR . </m:t>
            </m:r>
            <m:sSub>
              <m:sSubPr>
                <m:ctrlPr>
                  <w:rPr>
                    <w:rFonts w:ascii="Cambria Math" w:hAnsi="Cambria Math" w:cs="Arial"/>
                    <w:i/>
                  </w:rPr>
                </m:ctrlPr>
              </m:sSubPr>
              <m:e>
                <m:r>
                  <w:rPr>
                    <w:rFonts w:ascii="Cambria Math" w:hAnsi="Cambria Math" w:cs="Arial"/>
                  </w:rPr>
                  <m:t>W</m:t>
                </m:r>
              </m:e>
              <m:sub>
                <m:r>
                  <w:rPr>
                    <w:rFonts w:ascii="Cambria Math" w:hAnsi="Cambria Math" w:cs="Arial"/>
                  </w:rPr>
                  <m:t>P</m:t>
                </m:r>
              </m:sub>
            </m:sSub>
          </m:e>
        </m:d>
      </m:oMath>
    </w:p>
    <w:p w14:paraId="0D24B763" w14:textId="77777777" w:rsidR="00DF4522" w:rsidRPr="00531789" w:rsidRDefault="00DF4522" w:rsidP="00DF4522">
      <w:pPr>
        <w:spacing w:line="360" w:lineRule="auto"/>
        <w:jc w:val="right"/>
        <w:rPr>
          <w:rFonts w:ascii="Cambria" w:hAnsi="Cambria" w:cs="Arial"/>
        </w:rPr>
      </w:pPr>
      <m:oMath>
        <m:r>
          <w:rPr>
            <w:rFonts w:ascii="Cambria Math" w:hAnsi="Cambria Math" w:cs="Arial"/>
          </w:rPr>
          <m:t xml:space="preserve">                                   + [</m:t>
        </m:r>
        <m:f>
          <m:fPr>
            <m:ctrlPr>
              <w:rPr>
                <w:rFonts w:ascii="Cambria Math" w:hAnsi="Cambria Math" w:cs="Arial"/>
                <w:i/>
              </w:rPr>
            </m:ctrlPr>
          </m:fPr>
          <m:num>
            <m:r>
              <w:rPr>
                <w:rFonts w:ascii="Cambria Math" w:hAnsi="Cambria Math" w:cs="Arial"/>
              </w:rPr>
              <m:t>d</m:t>
            </m:r>
            <m:sSub>
              <m:sSubPr>
                <m:ctrlPr>
                  <w:rPr>
                    <w:rFonts w:ascii="Cambria Math" w:hAnsi="Cambria Math" w:cs="Arial"/>
                    <w:i/>
                  </w:rPr>
                </m:ctrlPr>
              </m:sSubPr>
              <m:e>
                <m:r>
                  <w:rPr>
                    <w:rFonts w:ascii="Cambria Math" w:hAnsi="Cambria Math" w:cs="Arial"/>
                  </w:rPr>
                  <m:t>C</m:t>
                </m:r>
              </m:e>
              <m:sub>
                <m:r>
                  <w:rPr>
                    <w:rFonts w:ascii="Cambria Math" w:hAnsi="Cambria Math" w:cs="Arial"/>
                  </w:rPr>
                  <m:t>R</m:t>
                </m:r>
              </m:sub>
            </m:sSub>
          </m:num>
          <m:den>
            <m:r>
              <w:rPr>
                <w:rFonts w:ascii="Cambria Math" w:hAnsi="Cambria Math" w:cs="Arial"/>
              </w:rPr>
              <m:t>dt</m:t>
            </m:r>
          </m:den>
        </m:f>
        <m:r>
          <w:rPr>
            <w:rFonts w:ascii="Cambria Math" w:hAnsi="Cambria Math" w:cs="Arial"/>
          </w:rPr>
          <m:t>.</m:t>
        </m:r>
        <m:sSub>
          <m:sSubPr>
            <m:ctrlPr>
              <w:rPr>
                <w:rFonts w:ascii="Cambria Math" w:hAnsi="Cambria Math" w:cs="Arial"/>
                <w:i/>
              </w:rPr>
            </m:ctrlPr>
          </m:sSubPr>
          <m:e>
            <m:r>
              <w:rPr>
                <w:rFonts w:ascii="Cambria Math" w:hAnsi="Cambria Math" w:cs="Arial"/>
              </w:rPr>
              <m:t>m</m:t>
            </m:r>
          </m:e>
          <m:sub>
            <m:r>
              <w:rPr>
                <w:rFonts w:ascii="Cambria Math" w:hAnsi="Cambria Math" w:cs="Arial"/>
              </w:rPr>
              <m:t>R</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R</m:t>
            </m:r>
          </m:e>
          <m:sub>
            <m:r>
              <w:rPr>
                <w:rFonts w:ascii="Cambria Math" w:hAnsi="Cambria Math" w:cs="Arial"/>
              </w:rPr>
              <m:t>R</m:t>
            </m:r>
          </m:sub>
        </m:sSub>
        <m:r>
          <w:rPr>
            <w:rFonts w:ascii="Cambria Math" w:hAnsi="Cambria Math" w:cs="Arial"/>
          </w:rPr>
          <m:t xml:space="preserve">. (1-LMR) . </m:t>
        </m:r>
        <m:sSub>
          <m:sSubPr>
            <m:ctrlPr>
              <w:rPr>
                <w:rFonts w:ascii="Cambria Math" w:hAnsi="Cambria Math" w:cs="Arial"/>
                <w:i/>
              </w:rPr>
            </m:ctrlPr>
          </m:sSubPr>
          <m:e>
            <m:r>
              <w:rPr>
                <w:rFonts w:ascii="Cambria Math" w:hAnsi="Cambria Math" w:cs="Arial"/>
              </w:rPr>
              <m:t>W</m:t>
            </m:r>
          </m:e>
          <m:sub>
            <m:r>
              <w:rPr>
                <w:rFonts w:ascii="Cambria Math" w:hAnsi="Cambria Math" w:cs="Arial"/>
              </w:rPr>
              <m:t>P</m:t>
            </m:r>
          </m:sub>
        </m:sSub>
      </m:oMath>
      <w:r w:rsidRPr="00531789">
        <w:rPr>
          <w:rFonts w:ascii="Cambria" w:hAnsi="Cambria" w:cs="Arial"/>
        </w:rPr>
        <w:t>]</w:t>
      </w:r>
      <w:r w:rsidRPr="00531789">
        <w:rPr>
          <w:rFonts w:ascii="Cambria" w:hAnsi="Cambria" w:cs="Arial"/>
        </w:rPr>
        <w:tab/>
      </w:r>
      <w:r w:rsidRPr="00531789">
        <w:rPr>
          <w:rFonts w:ascii="Cambria" w:hAnsi="Cambria" w:cs="Arial"/>
        </w:rPr>
        <w:tab/>
        <w:t xml:space="preserve"> </w:t>
      </w:r>
    </w:p>
    <w:p w14:paraId="549BFFB8" w14:textId="77777777" w:rsidR="00DF4522" w:rsidRPr="00531789" w:rsidRDefault="00DF4522" w:rsidP="00DF4522">
      <w:pPr>
        <w:spacing w:line="360" w:lineRule="auto"/>
        <w:jc w:val="right"/>
        <w:rPr>
          <w:rFonts w:ascii="Cambria" w:hAnsi="Cambria" w:cs="Arial"/>
        </w:rPr>
      </w:pPr>
      <w:r w:rsidRPr="00531789">
        <w:rPr>
          <w:rFonts w:ascii="Cambria" w:hAnsi="Cambria" w:cs="Arial"/>
        </w:rPr>
        <w:t xml:space="preserve"> (Equation 9a),</w:t>
      </w:r>
    </w:p>
    <w:p w14:paraId="7FAE1CDE" w14:textId="77777777" w:rsidR="00DF4522" w:rsidRPr="00531789" w:rsidRDefault="00DF4522" w:rsidP="00DF4522">
      <w:pPr>
        <w:spacing w:line="360" w:lineRule="auto"/>
        <w:jc w:val="both"/>
        <w:rPr>
          <w:rFonts w:ascii="Cambria" w:hAnsi="Cambria" w:cs="Arial"/>
        </w:rPr>
      </w:pPr>
    </w:p>
    <w:p w14:paraId="5596677C" w14:textId="77777777" w:rsidR="00DF4522" w:rsidRPr="00531789" w:rsidRDefault="00DF4522" w:rsidP="00DF4522">
      <w:pPr>
        <w:spacing w:line="360" w:lineRule="auto"/>
        <w:jc w:val="both"/>
        <w:rPr>
          <w:rFonts w:ascii="Cambria" w:hAnsi="Cambria" w:cs="Arial"/>
        </w:rPr>
      </w:pPr>
      <w:r w:rsidRPr="00531789">
        <w:rPr>
          <w:rFonts w:ascii="Cambria" w:hAnsi="Cambria" w:cs="Arial"/>
        </w:rPr>
        <w:t>which is an expression of, for carbon:</w:t>
      </w:r>
    </w:p>
    <w:p w14:paraId="060CDD30" w14:textId="77777777" w:rsidR="00DF4522" w:rsidRPr="00EF33BC" w:rsidRDefault="00DF4522" w:rsidP="00DF4522">
      <w:pPr>
        <w:spacing w:line="360" w:lineRule="auto"/>
        <w:jc w:val="both"/>
        <w:rPr>
          <w:rFonts w:ascii="Cambria" w:hAnsi="Cambria" w:cs="Arial"/>
          <w:i/>
        </w:rPr>
      </w:pPr>
    </w:p>
    <w:p w14:paraId="368E2572" w14:textId="77777777" w:rsidR="00DF4522" w:rsidRPr="00531789" w:rsidRDefault="00DF4522" w:rsidP="00DF4522">
      <w:pPr>
        <w:spacing w:line="360" w:lineRule="auto"/>
        <w:jc w:val="right"/>
        <w:rPr>
          <w:rFonts w:ascii="Cambria" w:hAnsi="Cambria" w:cs="Arial"/>
        </w:rPr>
      </w:pPr>
      <w:r w:rsidRPr="004427E5">
        <w:rPr>
          <w:rFonts w:ascii="Cambria" w:hAnsi="Cambria" w:cs="Arial"/>
          <w:i/>
        </w:rPr>
        <w:t xml:space="preserve"> </w:t>
      </w:r>
      <w:r w:rsidRPr="004427E5">
        <w:rPr>
          <w:rFonts w:ascii="Cambria" w:hAnsi="Cambria" w:cs="Arial"/>
          <w:i/>
        </w:rPr>
        <w:fldChar w:fldCharType="begin"/>
      </w:r>
      <w:r w:rsidRPr="004427E5">
        <w:rPr>
          <w:rFonts w:ascii="Cambria" w:hAnsi="Cambria" w:cs="Arial"/>
          <w:i/>
        </w:rPr>
        <w:instrText xml:space="preserve"> QUOTE </w:instrText>
      </w:r>
      <m:oMath>
        <m:r>
          <m:rPr>
            <m:sty m:val="p"/>
          </m:rPr>
          <w:rPr>
            <w:rFonts w:ascii="Cambria Math" w:hAnsi="Cambria Math" w:cs="Arial"/>
          </w:rPr>
          <m:t>Source=leaf sinks+root sinks</m:t>
        </m:r>
      </m:oMath>
      <w:r w:rsidRPr="004427E5">
        <w:rPr>
          <w:rFonts w:ascii="Cambria" w:hAnsi="Cambria" w:cs="Arial"/>
          <w:i/>
        </w:rPr>
        <w:instrText xml:space="preserve"> </w:instrText>
      </w:r>
      <w:r w:rsidRPr="004427E5">
        <w:rPr>
          <w:rFonts w:ascii="Cambria" w:hAnsi="Cambria" w:cs="Arial"/>
          <w:i/>
        </w:rPr>
        <w:fldChar w:fldCharType="separate"/>
      </w:r>
      <m:oMath>
        <m:r>
          <m:rPr>
            <m:sty m:val="p"/>
          </m:rPr>
          <w:rPr>
            <w:rFonts w:ascii="Cambria Math" w:hAnsi="Cambria Math" w:cs="Arial"/>
          </w:rPr>
          <m:t>Source=leafsinks+rootsinks</m:t>
        </m:r>
      </m:oMath>
      <w:r w:rsidRPr="004427E5">
        <w:rPr>
          <w:rFonts w:ascii="Cambria" w:hAnsi="Cambria" w:cs="Arial"/>
          <w:i/>
        </w:rPr>
        <w:fldChar w:fldCharType="end"/>
      </w:r>
      <w:r w:rsidRPr="004427E5">
        <w:rPr>
          <w:rFonts w:ascii="Cambria" w:hAnsi="Cambria" w:cs="Arial"/>
          <w:i/>
        </w:rPr>
        <w:tab/>
      </w:r>
      <w:r w:rsidRPr="004427E5">
        <w:rPr>
          <w:rFonts w:ascii="Cambria" w:hAnsi="Cambria" w:cs="Arial"/>
          <w:i/>
        </w:rPr>
        <w:tab/>
      </w:r>
      <w:r w:rsidRPr="00531789">
        <w:rPr>
          <w:rFonts w:ascii="Cambria" w:hAnsi="Cambria" w:cs="Arial"/>
        </w:rPr>
        <w:tab/>
        <w:t>(Equation 9b).</w:t>
      </w:r>
    </w:p>
    <w:p w14:paraId="063F6A4C" w14:textId="77777777" w:rsidR="00DF4522" w:rsidRPr="00531789" w:rsidRDefault="00DF4522" w:rsidP="00DF4522">
      <w:pPr>
        <w:spacing w:line="360" w:lineRule="auto"/>
        <w:jc w:val="both"/>
        <w:rPr>
          <w:rFonts w:ascii="Cambria" w:hAnsi="Cambria" w:cs="Arial"/>
        </w:rPr>
      </w:pPr>
    </w:p>
    <w:p w14:paraId="49DD9DF5"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Equation 9 illustrates an important point: it is relatively easy in a single mathematical formulation to encapsulate the intrinsic limitations on growth imposed by the physiology of resource capture, internal resource partitioning, and morphogenetic constraints on organ development.  Equation 9 is not intended to be a realistic and detailed representation of growth – as discussed, it makes manifold simplifying assumptions and ignores several important components.  Rather, it is intended to illustrate the potential value of taking such a unifying approach, as in the more realistic, detailed representations of the plant system developed by </w:t>
      </w:r>
      <w:r w:rsidRPr="00531789">
        <w:rPr>
          <w:rFonts w:ascii="Cambria" w:hAnsi="Cambria" w:cs="Arial"/>
        </w:rPr>
        <w:fldChar w:fldCharType="begin" w:fldLock="1"/>
      </w:r>
      <w:r>
        <w:rPr>
          <w:rFonts w:ascii="Cambria" w:hAnsi="Cambria" w:cs="Arial"/>
        </w:rPr>
        <w:instrText>ADDIN CSL_CITATION { "citationItems" : [ { "id" : "ITEM-1", "itemData" : { "DOI" : "10.1073/pnas.1506983112", "author" : [ { "dropping-particle" : "", "family" : "Chew", "given" : "Yin Hoon", "non-dropping-particle" : "", "parse-names" : false, "suffix" : "" }, { "dropping-particle" : "", "family" : "Wenden", "given" : "Benedicte", "non-dropping-particle" : "", "parse-names" : false, "suffix" : "" }, { "dropping-particle" : "", "family" : "Flis", "given" : "Anna", "non-dropping-particle" : "", "parse-names" : false, "suffix" : "" }, { "dropping-particle" : "", "family" : "Mengin", "given" : "Virginie", "non-dropping-particle" : "", "parse-names" : false, "suffix" : "" }, { "dropping-particle" : "", "family" : "Taylor", "given" : "Jasper", "non-dropping-particle" : "", "parse-names" : false, "suffix" : "" }, { "dropping-particle" : "", "family" : "Davey", "given" : "Christopher L", "non-dropping-particle" : "", "parse-names" : false, "suffix" : "" }, { "dropping-particle" : "", "family" : "Tindal", "given" : "Christopher", "non-dropping-particle" : "", "parse-names" : false, "suffix" : "" }, { "dropping-particle" : "", "family" : "Thomas", "given" : "Howard", "non-dropping-particle" : "", "parse-names" : false, "suffix" : "" }, { "dropping-particle" : "", "family" : "Ougham", "given" : "Helen J", "non-dropping-particle" : "", "parse-names" : false, "suffix" : "" }, { "dropping-particle" : "", "family" : "Reffye", "given" : "Philippe", "non-dropping-particle" : "de", "parse-names" : false, "suffix" : "" }, { "dropping-particle" : "", "family" : "Stitt", "given" : "Mark", "non-dropping-particle" : "", "parse-names" : false, "suffix" : "" }, { "dropping-particle" : "", "family" : "Williams", "given" : "Mathew", "non-dropping-particle" : "", "parse-names" : false, "suffix" : "" }, { "dropping-particle" : "", "family" : "Muetzelfeldt", "given" : "Robert", "non-dropping-particle" : "", "parse-names" : false, "suffix" : "" }, { "dropping-particle" : "", "family" : "Halliday", "given" : "Karen J", "non-dropping-particle" : "", "parse-names" : false, "suffix" : "" }, { "dropping-particle" : "", "family" : "Millar", "given" : "Andrew J", "non-dropping-particle" : "", "parse-names" : false, "suffix" : "" } ], "container-title" : "PNAS", "id" : "ITEM-1", "issued" : { "date-parts" : [ [ "2014" ] ] }, "page" : "E4127-E4136", "title" : "Multiscale digital Arabidopsis predicts individual organ and whole-organism growth", "type" : "article-journal", "volume" : "111" }, "uris" : [ "http://www.mendeley.com/documents/?uuid=9c26e65a-2ad1-4fe0-b068-01d7cff8833d" ] } ], "mendeley" : { "formattedCitation" : "(Chew &lt;i&gt;et al.&lt;/i&gt;, 2014)", "manualFormatting" : "Chew et al.  (2014)", "plainTextFormattedCitation" : "(Chew et al., 2014)", "previouslyFormattedCitation" : "(Chew &lt;i&gt;et al.&lt;/i&gt;, 2014)"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 xml:space="preserve">Chew </w:t>
      </w:r>
      <w:r w:rsidRPr="00531789">
        <w:rPr>
          <w:rFonts w:ascii="Cambria" w:hAnsi="Cambria" w:cs="Arial"/>
          <w:i/>
          <w:noProof/>
        </w:rPr>
        <w:t>et al.</w:t>
      </w:r>
      <w:r w:rsidRPr="00531789">
        <w:rPr>
          <w:rFonts w:ascii="Cambria" w:hAnsi="Cambria" w:cs="Arial"/>
          <w:noProof/>
        </w:rPr>
        <w:t xml:space="preserve">  (2014)</w:t>
      </w:r>
      <w:r w:rsidRPr="00531789">
        <w:rPr>
          <w:rFonts w:ascii="Cambria" w:hAnsi="Cambria" w:cs="Arial"/>
        </w:rPr>
        <w:fldChar w:fldCharType="end"/>
      </w:r>
      <w:r w:rsidRPr="00531789">
        <w:rPr>
          <w:rFonts w:ascii="Cambria" w:hAnsi="Cambria" w:cs="Arial"/>
        </w:rPr>
        <w:t xml:space="preserve"> and Evers </w:t>
      </w:r>
      <w:r w:rsidRPr="00531789">
        <w:rPr>
          <w:rFonts w:ascii="Cambria" w:hAnsi="Cambria" w:cs="Arial"/>
          <w:i/>
        </w:rPr>
        <w:t xml:space="preserve">et al. </w:t>
      </w:r>
      <w:r w:rsidRPr="00531789">
        <w:rPr>
          <w:rFonts w:ascii="Cambria" w:hAnsi="Cambria" w:cs="Arial"/>
          <w:i/>
        </w:rPr>
        <w:fldChar w:fldCharType="begin" w:fldLock="1"/>
      </w:r>
      <w:r>
        <w:rPr>
          <w:rFonts w:ascii="Cambria" w:hAnsi="Cambria" w:cs="Arial"/>
          <w:i/>
        </w:rPr>
        <w:instrText>ADDIN CSL_CITATION { "citationItems" : [ { "id" : "ITEM-1", "itemData" : { "DOI" : "10.1093/jxb/erq025", "ISBN" : "0022-0957", "ISSN" : "00220957", "PMID" : "20231326", "abstract" : "Intimate relationships exist between form and function of plants, determining many processes governing their growth and development. However, in most crop simulation models that have been created to simulate plant growth and, for example, predict biomass production, plant structure has been neglected. In this study, a detailed simulation model of growth and development of spring wheat (Triticum aestivum) is presented, which integrates degree of tillering and canopy architecture with organ-level light interception, photosynthesis, and dry-matter partitioning. An existing spatially explicit 3D architectural model of wheat development was extended with routines for organ-level microclimate, photosynthesis, assimilate distribution within the plant structure according to organ demands, and organ growth and development. Outgrowth of tiller buds was made dependent on the ratio between assimilate supply and demand of the plants. Organ-level photosynthesis, biomass production, and bud outgrowth were simulated satisfactorily. However, to improve crop simulation results more efforts are needed mechanistically to model other major plant physiological processes such as nitrogen uptake and distribution, tiller death, and leaf senescence. Nevertheless, the work presented here is a significant step forwards towards a mechanistic functional-structural plant model, which integrates plant architecture with key plant processes.", "author" : [ { "dropping-particle" : "", "family" : "Evers", "given" : "J. B.", "non-dropping-particle" : "", "parse-names" : false, "suffix" : "" }, { "dropping-particle" : "", "family" : "Vos", "given" : "J.", "non-dropping-particle" : "", "parse-names" : false, "suffix" : "" }, { "dropping-particle" : "", "family" : "Yin", "given" : "X.", "non-dropping-particle" : "", "parse-names" : false, "suffix" : "" }, { "dropping-particle" : "", "family" : "Romero", "given" : "P.", "non-dropping-particle" : "", "parse-names" : false, "suffix" : "" }, { "dropping-particle" : "", "family" : "Putten", "given" : "P. E L", "non-dropping-particle" : "Van Der", "parse-names" : false, "suffix" : "" }, { "dropping-particle" : "", "family" : "Struik", "given" : "P. C.", "non-dropping-particle" : "", "parse-names" : false, "suffix" : "" } ], "container-title" : "Journal of Experimental Botany", "id" : "ITEM-1", "issue" : "8", "issued" : { "date-parts" : [ [ "2010" ] ] }, "page" : "2203-2216", "title" : "Simulation of wheat growth and development based on organ-level photosynthesis and assimilate allocation", "type" : "article-journal", "volume" : "61" }, "uris" : [ "http://www.mendeley.com/documents/?uuid=87208401-b4ab-4b51-923b-a443d971fed4", "http://www.mendeley.com/documents/?uuid=4e27746b-77e9-4de8-9362-dca654ac0651" ] }, { "id" : "ITEM-2", "itemData" : { "DOI" : "10.1093/jxb/erp345", "ISBN" : "0022-0957", "ISSN" : "00220957", "PMID" : "19995824", "abstract" : "Plants react to their environment and to management interventions by adjusting physiological functions and structure. Functional-structural plant models (FSPM), combine the representation of three-dimensional (3D) plant structure with selected physiological functions. An FSPM consists of an architectural part (plant structure) and a process part (plant functioning). The first deals with (i) the types of organs that are initiated and the way these are connected (topology), (ii) co-ordination in organ expansion dynamics, and (iii) geometrical variables (e.g. leaf angles, leaf curvature). The process part may include any physiological or physical process that affects plant growth and development (e.g. photosynthesis, carbon allocation). This paper addresses the following questions: (i) how are FSPM constructed, and (ii) for what purposes are they useful? Static, architectural models are distinguished from dynamic models. Static models are useful in order to study the significance of plant structure, such as light distribution in the canopy, gas exchange, remote sensing, pesticide spraying studies, and interactions between plants and biotic agents. Dynamic models serve quantitatively to integrate knowledge on plant functions and morphology as modulated by environment. Applications are in the domain of plant sciences, for example the study of plant plasticity as related to changes in the red:far red ratio of light in the canopy. With increasing availability of genetic information, FSPM will play a role in the assessment of the significance towards plant performance of variation in genetic traits across environments. In many crops, growers actively manipulate plant structure. FSPM is a promising tool to explore divergent management strategies.", "author" : [ { "dropping-particle" : "", "family" : "Vos", "given" : "J.", "non-dropping-particle" : "", "parse-names" : false, "suffix" : "" }, { "dropping-particle" : "", "family" : "Evers", "given" : "J. B.", "non-dropping-particle" : "", "parse-names" : false, "suffix" : "" }, { "dropping-particle" : "", "family" : "Buck-Sorlin", "given" : "G. H.", "non-dropping-particle" : "", "parse-names" : false, "suffix" : "" }, { "dropping-particle" : "", "family" : "Andrieu", "given" : "B.", "non-dropping-particle" : "", "parse-names" : false, "suffix" : "" }, { "dropping-particle" : "", "family" : "Chelle", "given" : "M.", "non-dropping-particle" : "", "parse-names" : false, "suffix" : "" }, { "dropping-particle" : "", "family" : "Visser", "given" : "P. H B", "non-dropping-particle" : "De", "parse-names" : false, "suffix" : "" } ], "container-title" : "Journal of Experimental Botany", "id" : "ITEM-2", "issue" : "8", "issued" : { "date-parts" : [ [ "2010" ] ] }, "page" : "2101-2115", "title" : "Functional-structural plant modelling: A new versatile tool in crop science", "type" : "article-journal", "volume" : "61" }, "uris" : [ "http://www.mendeley.com/documents/?uuid=531bbb44-5f6d-4d3d-911f-c5e16c4e2c12", "http://www.mendeley.com/documents/?uuid=c45e71c9-5c65-424c-99ab-bf1fdd1c0f0f" ] } ], "mendeley" : { "formattedCitation" : "(Evers &lt;i&gt;et al.&lt;/i&gt;, 2010; Vos &lt;i&gt;et al.&lt;/i&gt;, 2010)", "plainTextFormattedCitation" : "(Evers et al., 2010; Vos et al., 2010)", "previouslyFormattedCitation" : "(Evers &lt;i&gt;et al.&lt;/i&gt;, 2010; Vos &lt;i&gt;et al.&lt;/i&gt;, 2010)" }, "properties" : { "noteIndex" : 0 }, "schema" : "https://github.com/citation-style-language/schema/raw/master/csl-citation.json" }</w:instrText>
      </w:r>
      <w:r w:rsidRPr="00531789">
        <w:rPr>
          <w:rFonts w:ascii="Cambria" w:hAnsi="Cambria" w:cs="Arial"/>
          <w:i/>
        </w:rPr>
        <w:fldChar w:fldCharType="separate"/>
      </w:r>
      <w:r w:rsidRPr="002C5907">
        <w:rPr>
          <w:rFonts w:ascii="Cambria" w:hAnsi="Cambria" w:cs="Arial"/>
          <w:noProof/>
        </w:rPr>
        <w:t xml:space="preserve">(Evers </w:t>
      </w:r>
      <w:r w:rsidRPr="002C5907">
        <w:rPr>
          <w:rFonts w:ascii="Cambria" w:hAnsi="Cambria" w:cs="Arial"/>
          <w:i/>
          <w:noProof/>
        </w:rPr>
        <w:t>et al.</w:t>
      </w:r>
      <w:r w:rsidRPr="002C5907">
        <w:rPr>
          <w:rFonts w:ascii="Cambria" w:hAnsi="Cambria" w:cs="Arial"/>
          <w:noProof/>
        </w:rPr>
        <w:t xml:space="preserve">, 2010; Vos </w:t>
      </w:r>
      <w:r w:rsidRPr="002C5907">
        <w:rPr>
          <w:rFonts w:ascii="Cambria" w:hAnsi="Cambria" w:cs="Arial"/>
          <w:i/>
          <w:noProof/>
        </w:rPr>
        <w:t>et al.</w:t>
      </w:r>
      <w:r w:rsidRPr="002C5907">
        <w:rPr>
          <w:rFonts w:ascii="Cambria" w:hAnsi="Cambria" w:cs="Arial"/>
          <w:noProof/>
        </w:rPr>
        <w:t>, 2010)</w:t>
      </w:r>
      <w:r w:rsidRPr="00531789">
        <w:rPr>
          <w:rFonts w:ascii="Cambria" w:hAnsi="Cambria" w:cs="Arial"/>
          <w:i/>
        </w:rPr>
        <w:fldChar w:fldCharType="end"/>
      </w:r>
      <w:r w:rsidRPr="00531789">
        <w:rPr>
          <w:rFonts w:ascii="Cambria" w:hAnsi="Cambria" w:cs="Arial"/>
        </w:rPr>
        <w:t>.   This unification is conceptually useful for understanding how the critical processes of source and sink development and activity interact to limit growth in different species.  A key step forwards will be model representation of the mechanisms that govern the crosstalk and interactions between different components.</w:t>
      </w:r>
    </w:p>
    <w:p w14:paraId="56018A42" w14:textId="77777777" w:rsidR="00DF4522" w:rsidRPr="00531789" w:rsidRDefault="00DF4522" w:rsidP="00DF4522">
      <w:pPr>
        <w:spacing w:line="360" w:lineRule="auto"/>
        <w:jc w:val="both"/>
        <w:rPr>
          <w:rFonts w:ascii="Cambria" w:hAnsi="Cambria" w:cs="Arial"/>
        </w:rPr>
      </w:pPr>
    </w:p>
    <w:p w14:paraId="1421E00B"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Crucially, Equation 9 shows that source-sink interactions underpin all the aspects of growth described in the preceding equations.  A balance between source and sink is essential for plants to grow and develop efficiently.  Increased organ initiation, faster cell growth and larger organ size will strengthen sinks; changes in the </w:t>
      </w:r>
      <w:proofErr w:type="spellStart"/>
      <w:r w:rsidRPr="00531789">
        <w:rPr>
          <w:rFonts w:ascii="Cambria" w:hAnsi="Cambria" w:cs="Arial"/>
        </w:rPr>
        <w:t>root:shoot</w:t>
      </w:r>
      <w:proofErr w:type="spellEnd"/>
      <w:r w:rsidRPr="00531789">
        <w:rPr>
          <w:rFonts w:ascii="Cambria" w:hAnsi="Cambria" w:cs="Arial"/>
        </w:rPr>
        <w:t xml:space="preserve"> ratio or leaf area ratio can alter the balance between carbon and nitrogen source and sink tissues; while uptake rates of carbon and mineral nutrients are primary determinants of source strength.  A holistic understanding of growth rate should therefore draw on the concepts of source and sink strength, recognising that each depends on the size and activity of the relevant tissue (Equations 1 and 2).  Integrating molecular interactions at the tissue level (Fig. 1) with the behaviours of whole plants in terms of physiological regulation, allocation to different tissues and developmental processes will be critical for building a picture of the interactions between the three components discussed above. In order to increase crop yield effectively, it will be essential to build comprehensive growth models in which the </w:t>
      </w:r>
      <w:proofErr w:type="spellStart"/>
      <w:r w:rsidRPr="00531789">
        <w:rPr>
          <w:rFonts w:ascii="Cambria" w:hAnsi="Cambria" w:cs="Arial"/>
        </w:rPr>
        <w:t>source:sink</w:t>
      </w:r>
      <w:proofErr w:type="spellEnd"/>
      <w:r w:rsidRPr="00531789">
        <w:rPr>
          <w:rFonts w:ascii="Cambria" w:hAnsi="Cambria" w:cs="Arial"/>
        </w:rPr>
        <w:t xml:space="preserve"> balance is the cornerstone underpinning physiological, allocation-based and developmental mechanisms for growth limitation. This will create an integrated perspective that allows the effects of this vital determinant of growth to be realised.</w:t>
      </w:r>
    </w:p>
    <w:p w14:paraId="729CC635" w14:textId="77777777" w:rsidR="00DF4522" w:rsidRPr="00531789" w:rsidRDefault="00DF4522" w:rsidP="00DF4522">
      <w:pPr>
        <w:spacing w:line="360" w:lineRule="auto"/>
        <w:rPr>
          <w:rFonts w:ascii="Cambria" w:hAnsi="Cambria" w:cs="Arial"/>
        </w:rPr>
      </w:pPr>
    </w:p>
    <w:p w14:paraId="036CD2A6" w14:textId="77777777" w:rsidR="00DF4522" w:rsidRPr="00531789" w:rsidRDefault="00DF4522" w:rsidP="00DF4522">
      <w:pPr>
        <w:pStyle w:val="Heading2"/>
        <w:rPr>
          <w:rFonts w:ascii="Cambria" w:hAnsi="Cambria"/>
          <w:color w:val="auto"/>
        </w:rPr>
      </w:pPr>
      <w:bookmarkStart w:id="51" w:name="_Toc322267583"/>
      <w:bookmarkStart w:id="52" w:name="_Toc322267705"/>
      <w:bookmarkStart w:id="53" w:name="_Toc322267869"/>
      <w:bookmarkStart w:id="54" w:name="_Toc331253012"/>
      <w:r w:rsidRPr="00531789">
        <w:rPr>
          <w:rFonts w:ascii="Cambria" w:hAnsi="Cambria"/>
          <w:color w:val="auto"/>
        </w:rPr>
        <w:t>C</w:t>
      </w:r>
      <w:bookmarkEnd w:id="51"/>
      <w:bookmarkEnd w:id="52"/>
      <w:bookmarkEnd w:id="53"/>
      <w:r>
        <w:rPr>
          <w:rFonts w:ascii="Cambria" w:hAnsi="Cambria"/>
          <w:color w:val="auto"/>
        </w:rPr>
        <w:t>ONCLUSIONS AND RECOMMENDATIONS</w:t>
      </w:r>
      <w:bookmarkEnd w:id="54"/>
      <w:r>
        <w:rPr>
          <w:rFonts w:ascii="Cambria" w:hAnsi="Cambria"/>
          <w:color w:val="auto"/>
        </w:rPr>
        <w:t xml:space="preserve"> </w:t>
      </w:r>
    </w:p>
    <w:p w14:paraId="00D9D34B" w14:textId="77777777" w:rsidR="00DF4522" w:rsidRPr="00531789" w:rsidRDefault="00DF4522" w:rsidP="00DF4522">
      <w:pPr>
        <w:spacing w:line="360" w:lineRule="auto"/>
        <w:jc w:val="both"/>
        <w:rPr>
          <w:rFonts w:ascii="Cambria" w:hAnsi="Cambria" w:cs="Arial"/>
          <w:b/>
        </w:rPr>
      </w:pPr>
    </w:p>
    <w:p w14:paraId="3F8BA56F"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An integrated understanding of source-sink relationships, growth and yield is a vital next step in </w:t>
      </w:r>
      <w:proofErr w:type="spellStart"/>
      <w:r w:rsidRPr="00531789">
        <w:rPr>
          <w:rFonts w:ascii="Cambria" w:hAnsi="Cambria" w:cs="Arial"/>
        </w:rPr>
        <w:t>ongoing</w:t>
      </w:r>
      <w:proofErr w:type="spellEnd"/>
      <w:r w:rsidRPr="00531789">
        <w:rPr>
          <w:rFonts w:ascii="Cambria" w:hAnsi="Cambria" w:cs="Arial"/>
        </w:rPr>
        <w:t xml:space="preserve"> efforts to increase crop productivity, and requires a number of key “unknowns” to be addressed: (1) Which components in the plant system of sources and sinks exert the strongest control over growth in major crops?  (2) How do these source and sink limitations change during the crops’ lifetimes?  (3) Through what developmental or physiological mechanisms do these limitations arise? (4) </w:t>
      </w:r>
      <w:r w:rsidRPr="0079342F">
        <w:rPr>
          <w:rFonts w:ascii="Cambria" w:hAnsi="Cambria" w:cs="Arial"/>
          <w:i/>
        </w:rPr>
        <w:t>Via</w:t>
      </w:r>
      <w:r w:rsidRPr="00531789">
        <w:rPr>
          <w:rFonts w:ascii="Cambria" w:hAnsi="Cambria" w:cs="Arial"/>
        </w:rPr>
        <w:t xml:space="preserve"> genetic modification or selective breeding, to what extent is it possible to manipulate these processes to </w:t>
      </w:r>
      <w:proofErr w:type="spellStart"/>
      <w:r w:rsidRPr="00531789">
        <w:rPr>
          <w:rFonts w:ascii="Cambria" w:hAnsi="Cambria" w:cs="Arial"/>
        </w:rPr>
        <w:t>upregulate</w:t>
      </w:r>
      <w:proofErr w:type="spellEnd"/>
      <w:r w:rsidRPr="00531789">
        <w:rPr>
          <w:rFonts w:ascii="Cambria" w:hAnsi="Cambria" w:cs="Arial"/>
        </w:rPr>
        <w:t xml:space="preserve"> source and sink together, at the appropriate stage of development, to improve crop production?</w:t>
      </w:r>
    </w:p>
    <w:p w14:paraId="6B566E36" w14:textId="77777777" w:rsidR="00DF4522" w:rsidRPr="00531789" w:rsidRDefault="00DF4522" w:rsidP="00DF4522">
      <w:pPr>
        <w:spacing w:line="360" w:lineRule="auto"/>
        <w:jc w:val="both"/>
        <w:rPr>
          <w:rFonts w:ascii="Cambria" w:hAnsi="Cambria" w:cs="Arial"/>
        </w:rPr>
      </w:pPr>
    </w:p>
    <w:p w14:paraId="6DCEFF95"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We advocate the development of an integrated perspective, unifying physiological limitations on fluxes, controls on growth allocation, and the development of sink tissues, to successfully improve crop growth. A holistic view of the mechanistic interactions between sinks and sources is needed at the whole plant scale during the trajectory of growth and development, in order to identify bottlenecks limiting growth rate.  To address this knowledge gap, it will be vital to develop a greater understanding of the physiological processes operating at intermediate scales between molecular mechanisms and whole-plant traits.  Ideotypes for future crops have been proposed </w:t>
      </w:r>
      <w:r w:rsidRPr="00531789">
        <w:rPr>
          <w:rFonts w:ascii="Cambria" w:hAnsi="Cambria" w:cs="Arial"/>
        </w:rPr>
        <w:fldChar w:fldCharType="begin" w:fldLock="1"/>
      </w:r>
      <w:r>
        <w:rPr>
          <w:rFonts w:ascii="Cambria" w:hAnsi="Cambria" w:cs="Arial"/>
        </w:rPr>
        <w:instrText>ADDIN CSL_CITATION { "citationItems" : [ { "id" : "ITEM-1", "itemData" : { "DOI" : "10.1093/jxb/err442", "ISSN" : "1460-2431", "PMID" : "22291133", "abstract" : "The distribution of nutrients and assimilates in different organs and tissues is in a constant state of flux throughout the growth and development of a plant. At key stages during the life cycle profound changes occur, and perhaps one of the most critical of these is during seed filling. By restricting the competition for reserves in Arabidopsis plants, the ability to manipulate seed size, seed weight, or seed content has been explored. Removal of secondary inflorescences and lateral branches resulted in a stimulation of elongation of the primary inflorescence and an increase in the distance between siliques. The pruning treatment also led to the development of longer and larger siliques that contained fewer, bigger seeds. This seems to be a consequence of a reduction in the number of ovules that develop and an increase in the fatty acid content of the seeds that mature. The data show that shoot architecture could have a substantial impact on the partitioning of reserves between vegetative and reproductive tissues and could be an important trait for selection in rapid phenotyping screens to optimize crop performance.", "author" : [ { "dropping-particle" : "", "family" : "Bennett", "given" : "Emma", "non-dropping-particle" : "", "parse-names" : false, "suffix" : "" }, { "dropping-particle" : "", "family" : "Roberts", "given" : "Jeremy A", "non-dropping-particle" : "", "parse-names" : false, "suffix" : "" }, { "dropping-particle" : "", "family" : "Wagstaff", "given" : "Carol", "non-dropping-particle" : "", "parse-names" : false, "suffix" : "" } ], "container-title" : "Journal of Experimental Botany", "id" : "ITEM-1", "issue" : "9", "issued" : { "date-parts" : [ [ "2012", "5" ] ] }, "page" : "3391-400", "title" : "Manipulating resource allocation in plants.", "type" : "article-journal", "volume" : "63" }, "uris" : [ "http://www.mendeley.com/documents/?uuid=e716ebf9-9c08-4604-b935-97f03d580a0e" ] }, { "id" : "ITEM-2", "itemData" : { "DOI" : "10.1111/j.1365-3040.2012.02588.x", "ISSN" : "1365-3040", "PMID" : "22860982", "abstract" : "Wheat provides 20% of calories and protein consumed by humans. Recent genetic gains are &lt;1% per annum (p.a.), insufficient to meet future demand. The Wheat Yield Consortium brings expertise in photosynthesis, crop adaptation and genetics to a common breeding platform. Theory suggest radiation use efficiency (RUE) of wheat could be increased \u223c50%; strategies include modifying specificity, catalytic rate and regulation of Rubisco, up-regulating Calvin cycle enzymes, introducing chloroplast CO(2) concentrating mechanisms, optimizing light and N distribution of canopies while minimizing photoinhibition, and increasing spike photosynthesis. Maximum yield expression will also require dynamic optimization of source: sink so that dry matter partitioning to reproductive structures is not at the cost of the roots, stems and leaves needed to maintain physiological and structural integrity. Crop development should favour spike fertility to maximize harvest index so phenology must be tailored to different photoperiods, and sensitivity to unpredictable weather must be modulated to reduce conservative responses that reduce harvest index. Strategic crossing of complementary physiological traits will be augmented with wide crossing, while genome-wide selection and high throughput phenotyping and genotyping will increase efficiency of progeny screening. To ensure investment in breeding achieves agronomic impact, sustainable crop management must also be promoted through crop improvement networks.", "author" : [ { "dropping-particle" : "", "family" : "Reynolds", "given" : "Matthew", "non-dropping-particle" : "", "parse-names" : false, "suffix" : "" }, { "dropping-particle" : "", "family" : "Foulkes", "given" : "John", "non-dropping-particle" : "", "parse-names" : false, "suffix" : "" }, { "dropping-particle" : "", "family" : "Furbank", "given" : "Robert", "non-dropping-particle" : "", "parse-names" : false, "suffix" : "" }, { "dropping-particle" : "", "family" : "Griffiths", "given" : "Simon", "non-dropping-particle" : "", "parse-names" : false, "suffix" : "" }, { "dropping-particle" : "", "family" : "King", "given" : "Julie", "non-dropping-particle" : "", "parse-names" : false, "suffix" : "" }, { "dropping-particle" : "", "family" : "Murchie", "given" : "Erik", "non-dropping-particle" : "", "parse-names" : false, "suffix" : "" }, { "dropping-particle" : "", "family" : "Parry", "given" : "Martin", "non-dropping-particle" : "", "parse-names" : false, "suffix" : "" }, { "dropping-particle" : "", "family" : "Slafer", "given" : "Gustavo", "non-dropping-particle" : "", "parse-names" : false, "suffix" : "" } ], "container-title" : "Plant, Cell &amp; Environment", "id" : "ITEM-2", "issue" : "10", "issued" : { "date-parts" : [ [ "2012", "10" ] ] }, "page" : "1799-1823", "title" : "Achieving yield gains in wheat.", "type" : "article-journal", "volume" : "35" }, "uris" : [ "http://www.mendeley.com/documents/?uuid=6c6afd16-ef8e-4b75-a4e7-35772b7ff51f" ] }, { "id" : "ITEM-3", "itemData" : { "DOI" : "10.1016/j.tplants.2011.11.003", "ISSN" : "1878-4372", "PMID" : "22197176", "abstract" : "Improving the yield stability of cereal crops with a view to bolstering global food security is an important priority. The components of final grain number per plant at harvest are determined by fertile spikes per plant, number of fertile spikelets per spike and number of grains per spikelet. In this review article, we focus on the genetic factors of floral development and inflorescence architecture known to influence grain number and provide a broad overview of genes and genetic pathways that potentially can be manipulated to increase the yield of cereal crops, in particular wheat (Triticum aestivum) and barley (Hordeum vulgare). In addition, we discuss the outcome of multidisciplinary genomics knowledge to identify potential gene targets to develop conceptual ideotypes to meet the future demand.", "author" : [ { "dropping-particle" : "", "family" : "Sreenivasulu", "given" : "Nese", "non-dropping-particle" : "", "parse-names" : false, "suffix" : "" }, { "dropping-particle" : "", "family" : "Schnurbusch", "given" : "Thorsten", "non-dropping-particle" : "", "parse-names" : false, "suffix" : "" } ], "container-title" : "Trends in Plant Science", "id" : "ITEM-3", "issue" : "2", "issued" : { "date-parts" : [ [ "2012", "2" ] ] }, "page" : "91-101", "publisher" : "Elsevier Ltd", "title" : "A genetic playground for enhancing grain number in cereals.", "type" : "article-journal", "volume" : "17" }, "uris" : [ "http://www.mendeley.com/documents/?uuid=8be705c5-ce01-4f0e-b11b-595400d92a40" ] }, { "id" : "ITEM-4", "itemData" : { "DOI" : "10.1126/science.1220177", "ISSN" : "1095-9203", "PMID" : "22745421", "abstract" : "Another \"green revolution\" is needed for crop yields to meet demands for food. The international C(4) Rice Consortium is working toward introducing a higher-capacity photosynthetic mechanism--the C(4) pathway--into rice to increase yield. The goal is to identify the genes necessary to install C(4) photosynthesis in rice through different approaches, including genomic and transcriptional sequence comparisons and mutant screening.", "author" : [ { "dropping-particle" : "", "family" : "Caemmerer", "given" : "Susanne", "non-dropping-particle" : "von", "parse-names" : false, "suffix" : "" }, { "dropping-particle" : "", "family" : "Quick", "given" : "W Paul", "non-dropping-particle" : "", "parse-names" : false, "suffix" : "" }, { "dropping-particle" : "", "family" : "Furbank", "given" : "Robert T", "non-dropping-particle" : "", "parse-names" : false, "suffix" : "" } ], "container-title" : "Science", "id" : "ITEM-4", "issue" : "6089", "issued" : { "date-parts" : [ [ "2012", "6", "29" ] ] }, "page" : "1671-2", "title" : "The development of C4 rice: current progress and future challenges.", "type" : "article-journal", "volume" : "336" }, "uris" : [ "http://www.mendeley.com/documents/?uuid=731fc3cf-d38b-4c78-abf9-503120c7324d" ] }, { "id" : "ITEM-5", "itemData" : { "DOI" : "10.1073/pnas.1424031112", "ISSN" : "0027-8424", "author" : [ { "dropping-particle" : "", "family" : "Ort", "given" : "Donald R.", "non-dropping-particle" : "", "parse-names" : false, "suffix" : "" }, { "dropping-particle" : "", "family" : "Merchant", "given" : "Sabeeha S.", "non-dropping-particle" : "", "parse-names" : false, "suffix" : "" }, { "dropping-particle" : "", "family" : "Alric", "given" : "Jean", "non-dropping-particle" : "", "parse-names" : false, "suffix" : "" }, { "dropping-particle" : "", "family" : "Barkan", "given" : "Alice", "non-dropping-particle" : "", "parse-names" : false, "suffix" : "" }, { "dropping-particle" : "", "family" : "Blankenship", "given" : "Robert E.", "non-dropping-particle" : "", "parse-names" : false, "suffix" : "" }, { "dropping-particle" : "", "family" : "Bock", "given" : "Ralph", "non-dropping-particle" : "", "parse-names" : false, "suffix" : "" }, { "dropping-particle" : "", "family" : "Croce", "given" : "Roberta", "non-dropping-particle" : "", "parse-names" : false, "suffix" : "" }, { "dropping-particle" : "", "family" : "Hanson", "given" : "Maureen R.", "non-dropping-particle" : "", "parse-names" : false, "suffix" : "" }, { "dropping-particle" : "", "family" : "Hibberd", "given" : "Julian M.", "non-dropping-particle" : "", "parse-names" : false, "suffix" : "" }, { "dropping-particle" : "", "family" : "Long", "given" : "Stephen P.", "non-dropping-particle" : "", "parse-names" : false, "suffix" : "" }, { "dropping-particle" : "", "family" : "Moore", "given" : "Thomas A.", "non-dropping-particle" : "", "parse-names" : false, "suffix" : "" }, { "dropping-particle" : "", "family" : "Moroney", "given" : "James", "non-dropping-particle" : "", "parse-names" : false, "suffix" : "" }, { "dropping-particle" : "", "family" : "Niyogi", "given" : "Krishna K.", "non-dropping-particle" : "", "parse-names" : false, "suffix" : "" }, { "dropping-particle" : "", "family" : "Parry", "given" : "Martin A. J.", "non-dropping-particle" : "", "parse-names" : false, "suffix" : "" }, { "dropping-particle" : "", "family" : "Peralta-Yahya", "given" : "Pamela P.", "non-dropping-particle" : "", "parse-names" : false, "suffix" : "" }, { "dropping-particle" : "", "family" : "Prince", "given" : "Roger C.", "non-dropping-particle" : "", "parse-names" : false, "suffix" : "" }, { "dropping-particle" : "", "family" : "Redding", "given" : "Kevin E.", "non-dropping-particle" : "", "parse-names" : false, "suffix" : "" }, { "dropping-particle" : "", "family" : "Spalding", "given" : "Martin H.", "non-dropping-particle" : "", "parse-names" : false, "suffix" : "" }, { "dropping-particle" : "", "family" : "Wijk", "given" : "Klaas J.", "non-dropping-particle" : "van", "parse-names" : false, "suffix" : "" }, { "dropping-particle" : "", "family" : "Vermaas", "given" : "Wim F. J.", "non-dropping-particle" : "", "parse-names" : false, "suffix" : "" }, { "dropping-particle" : "", "family" : "Caemmerer", "given" : "Susanne", "non-dropping-particle" : "von", "parse-names" : false, "suffix" : "" }, { "dropping-particle" : "", "family" : "Weber", "given" : "Andreas P. M.", "non-dropping-particle" : "", "parse-names" : false, "suffix" : "" }, { "dropping-particle" : "", "family" : "Yeates", "given" : "Todd O.", "non-dropping-particle" : "", "parse-names" : false, "suffix" : "" }, { "dropping-particle" : "", "family" : "Yuan", "given" : "Joshua S.", "non-dropping-particle" : "", "parse-names" : false, "suffix" : "" }, { "dropping-particle" : "", "family" : "Zhu", "given" : "Xin Guang", "non-dropping-particle" : "", "parse-names" : false, "suffix" : "" } ], "container-title" : "Proceedings of the National Academy of Sciences", "id" : "ITEM-5", "issue" : "28", "issued" : { "date-parts" : [ [ "2015" ] ] }, "page" : "8529-8536", "title" : "Redesigning photosynthesis to sustainably meet global food and bioenergy demand", "type" : "article-journal", "volume" : "112" }, "uris" : [ "http://www.mendeley.com/documents/?uuid=0bc4e791-4287-41e7-a651-3b3b894d2151" ] } ], "mendeley" : { "formattedCitation" : "(Sreenivasulu and Schnurbusch, 2012; Bennett &lt;i&gt;et al.&lt;/i&gt;, 2012; von Caemmerer &lt;i&gt;et al.&lt;/i&gt;, 2012; Reynolds &lt;i&gt;et al.&lt;/i&gt;, 2012; Ort &lt;i&gt;et al.&lt;/i&gt;, 2015)", "plainTextFormattedCitation" : "(Sreenivasulu and Schnurbusch, 2012; Bennett et al., 2012; von Caemmerer et al., 2012; Reynolds et al., 2012; Ort et al., 2015)", "previouslyFormattedCitation" : "(Sreenivasulu and Schnurbusch, 2012; Bennett &lt;i&gt;et al.&lt;/i&gt;, 2012; von Caemmerer &lt;i&gt;et al.&lt;/i&gt;, 2012; Reynolds &lt;i&gt;et al.&lt;/i&gt;, 2012; Ort &lt;i&gt;et al.&lt;/i&gt;, 2015)" }, "properties" : { "noteIndex" : 0 }, "schema" : "https://github.com/citation-style-language/schema/raw/master/csl-citation.json" }</w:instrText>
      </w:r>
      <w:r w:rsidRPr="00531789">
        <w:rPr>
          <w:rFonts w:ascii="Cambria" w:hAnsi="Cambria" w:cs="Arial"/>
        </w:rPr>
        <w:fldChar w:fldCharType="separate"/>
      </w:r>
      <w:r w:rsidRPr="002C5907">
        <w:rPr>
          <w:rFonts w:ascii="Cambria" w:hAnsi="Cambria" w:cs="Arial"/>
          <w:noProof/>
        </w:rPr>
        <w:t xml:space="preserve">(Sreenivasulu and Schnurbusch, 2012; Bennett </w:t>
      </w:r>
      <w:r w:rsidRPr="002C5907">
        <w:rPr>
          <w:rFonts w:ascii="Cambria" w:hAnsi="Cambria" w:cs="Arial"/>
          <w:i/>
          <w:noProof/>
        </w:rPr>
        <w:t>et al.</w:t>
      </w:r>
      <w:r w:rsidRPr="002C5907">
        <w:rPr>
          <w:rFonts w:ascii="Cambria" w:hAnsi="Cambria" w:cs="Arial"/>
          <w:noProof/>
        </w:rPr>
        <w:t xml:space="preserve">, 2012; von Caemmerer </w:t>
      </w:r>
      <w:r w:rsidRPr="002C5907">
        <w:rPr>
          <w:rFonts w:ascii="Cambria" w:hAnsi="Cambria" w:cs="Arial"/>
          <w:i/>
          <w:noProof/>
        </w:rPr>
        <w:t>et al.</w:t>
      </w:r>
      <w:r w:rsidRPr="002C5907">
        <w:rPr>
          <w:rFonts w:ascii="Cambria" w:hAnsi="Cambria" w:cs="Arial"/>
          <w:noProof/>
        </w:rPr>
        <w:t xml:space="preserve">, 2012; Reynolds </w:t>
      </w:r>
      <w:r w:rsidRPr="002C5907">
        <w:rPr>
          <w:rFonts w:ascii="Cambria" w:hAnsi="Cambria" w:cs="Arial"/>
          <w:i/>
          <w:noProof/>
        </w:rPr>
        <w:t>et al.</w:t>
      </w:r>
      <w:r w:rsidRPr="002C5907">
        <w:rPr>
          <w:rFonts w:ascii="Cambria" w:hAnsi="Cambria" w:cs="Arial"/>
          <w:noProof/>
        </w:rPr>
        <w:t xml:space="preserve">, 2012; Ort </w:t>
      </w:r>
      <w:r w:rsidRPr="002C5907">
        <w:rPr>
          <w:rFonts w:ascii="Cambria" w:hAnsi="Cambria" w:cs="Arial"/>
          <w:i/>
          <w:noProof/>
        </w:rPr>
        <w:t>et al.</w:t>
      </w:r>
      <w:r w:rsidRPr="002C5907">
        <w:rPr>
          <w:rFonts w:ascii="Cambria" w:hAnsi="Cambria" w:cs="Arial"/>
          <w:noProof/>
        </w:rPr>
        <w:t>, 2015)</w:t>
      </w:r>
      <w:r w:rsidRPr="00531789">
        <w:rPr>
          <w:rFonts w:ascii="Cambria" w:hAnsi="Cambria" w:cs="Arial"/>
        </w:rPr>
        <w:fldChar w:fldCharType="end"/>
      </w:r>
      <w:r w:rsidRPr="00531789">
        <w:rPr>
          <w:rFonts w:ascii="Cambria" w:hAnsi="Cambria" w:cs="Arial"/>
        </w:rPr>
        <w:t>, but reaping the maximum possible gains from these approaches requires a parallel effort in understanding how and when source and sink capacity limit growth and yield.</w:t>
      </w:r>
    </w:p>
    <w:p w14:paraId="392FDB9C" w14:textId="77777777" w:rsidR="00DF4522" w:rsidRPr="00531789" w:rsidRDefault="00DF4522" w:rsidP="00DF4522">
      <w:pPr>
        <w:spacing w:line="360" w:lineRule="auto"/>
        <w:rPr>
          <w:rFonts w:ascii="Cambria" w:hAnsi="Cambria" w:cs="Arial"/>
        </w:rPr>
      </w:pPr>
    </w:p>
    <w:p w14:paraId="7C08B979" w14:textId="77777777" w:rsidR="00DF4522" w:rsidRPr="00531789" w:rsidRDefault="00DF4522" w:rsidP="00DF4522">
      <w:pPr>
        <w:spacing w:line="360" w:lineRule="auto"/>
        <w:rPr>
          <w:rFonts w:ascii="Cambria" w:hAnsi="Cambria" w:cs="Arial"/>
        </w:rPr>
      </w:pPr>
    </w:p>
    <w:p w14:paraId="75C053EF" w14:textId="77777777" w:rsidR="00DF4522" w:rsidRPr="00531789" w:rsidRDefault="00DF4522" w:rsidP="00DF4522">
      <w:pPr>
        <w:pStyle w:val="Heading2"/>
        <w:rPr>
          <w:rFonts w:ascii="Cambria" w:hAnsi="Cambria"/>
          <w:b w:val="0"/>
          <w:color w:val="auto"/>
        </w:rPr>
      </w:pPr>
      <w:bookmarkStart w:id="55" w:name="_Toc322267584"/>
      <w:bookmarkStart w:id="56" w:name="_Toc322267706"/>
      <w:bookmarkStart w:id="57" w:name="_Toc322267870"/>
      <w:bookmarkStart w:id="58" w:name="_Toc331253013"/>
      <w:r w:rsidRPr="00531789">
        <w:rPr>
          <w:rStyle w:val="Strong"/>
          <w:rFonts w:ascii="Cambria" w:hAnsi="Cambria" w:cs="Arial"/>
          <w:b/>
          <w:color w:val="auto"/>
          <w:sz w:val="24"/>
          <w:szCs w:val="24"/>
        </w:rPr>
        <w:t>A</w:t>
      </w:r>
      <w:bookmarkEnd w:id="55"/>
      <w:bookmarkEnd w:id="56"/>
      <w:bookmarkEnd w:id="57"/>
      <w:r>
        <w:rPr>
          <w:rStyle w:val="Strong"/>
          <w:rFonts w:ascii="Cambria" w:hAnsi="Cambria" w:cs="Arial"/>
          <w:b/>
          <w:color w:val="auto"/>
          <w:sz w:val="24"/>
          <w:szCs w:val="24"/>
        </w:rPr>
        <w:t>CKNOWLEDGEMENTS</w:t>
      </w:r>
      <w:bookmarkEnd w:id="58"/>
    </w:p>
    <w:p w14:paraId="6E60F720" w14:textId="77777777" w:rsidR="00DF4522" w:rsidRPr="00531789" w:rsidRDefault="00DF4522" w:rsidP="00DF4522">
      <w:pPr>
        <w:spacing w:line="360" w:lineRule="auto"/>
        <w:jc w:val="both"/>
        <w:rPr>
          <w:rFonts w:ascii="Cambria" w:hAnsi="Cambria" w:cs="Arial"/>
        </w:rPr>
      </w:pPr>
    </w:p>
    <w:p w14:paraId="18F577D8" w14:textId="77777777" w:rsidR="00DF4522" w:rsidRPr="00531789" w:rsidRDefault="00DF4522" w:rsidP="00DF4522">
      <w:pPr>
        <w:spacing w:line="360" w:lineRule="auto"/>
        <w:jc w:val="both"/>
        <w:rPr>
          <w:rFonts w:ascii="Cambria" w:hAnsi="Cambria" w:cs="Arial"/>
        </w:rPr>
      </w:pPr>
      <w:r w:rsidRPr="00531789">
        <w:rPr>
          <w:rFonts w:ascii="Cambria" w:hAnsi="Cambria" w:cs="Arial"/>
        </w:rPr>
        <w:t xml:space="preserve">We thank Professor Andrew Fleming (Department of Animal and Plant Sciences, University of Sheffield) for helpful discussions relating to the manuscript.  We are grateful to the three anonymous reviewers who provided constructive and insightful comments that significantly improved the manuscript.  We thank Tiffany Bowman (Brookhaven National Laboratory) for assistance with graphic </w:t>
      </w:r>
      <w:proofErr w:type="spellStart"/>
      <w:r w:rsidRPr="00531789">
        <w:rPr>
          <w:rFonts w:ascii="Cambria" w:hAnsi="Cambria" w:cs="Arial"/>
        </w:rPr>
        <w:t>deisgn</w:t>
      </w:r>
      <w:proofErr w:type="spellEnd"/>
      <w:r w:rsidRPr="00531789">
        <w:rPr>
          <w:rFonts w:ascii="Cambria" w:hAnsi="Cambria" w:cs="Arial"/>
        </w:rPr>
        <w:t>.  AW was supported by a PhD studentship from the Society for Experimental Biology (SEB).  AR was supported by the United States</w:t>
      </w:r>
      <w:r w:rsidRPr="00531789">
        <w:rPr>
          <w:rFonts w:ascii="Cambria" w:hAnsi="Cambria"/>
        </w:rPr>
        <w:t xml:space="preserve"> </w:t>
      </w:r>
      <w:r w:rsidRPr="00531789">
        <w:rPr>
          <w:rFonts w:ascii="Cambria" w:hAnsi="Cambria" w:cs="Arial"/>
        </w:rPr>
        <w:t>Department of Energy contract No. DE-SC00112704 to Brookhaven National Laboratory and by the</w:t>
      </w:r>
      <w:r w:rsidRPr="00531789">
        <w:rPr>
          <w:rFonts w:ascii="Cambria" w:hAnsi="Cambria"/>
        </w:rPr>
        <w:t xml:space="preserve"> </w:t>
      </w:r>
      <w:r w:rsidRPr="00531789">
        <w:rPr>
          <w:rFonts w:ascii="Cambria" w:hAnsi="Cambria" w:cs="Arial"/>
        </w:rPr>
        <w:t xml:space="preserve">Next-Generation Ecosystem Experiments (NGEE Tropics) project that is supported by the Office of Biological and Environmental Research in the Department of Energy, Office of Science.  </w:t>
      </w:r>
    </w:p>
    <w:p w14:paraId="1C035EA1" w14:textId="77777777" w:rsidR="00DF4522" w:rsidRPr="00531789" w:rsidRDefault="00DF4522" w:rsidP="00DF4522">
      <w:pPr>
        <w:spacing w:line="360" w:lineRule="auto"/>
        <w:jc w:val="both"/>
        <w:rPr>
          <w:rFonts w:ascii="Cambria" w:hAnsi="Cambria" w:cs="Arial"/>
        </w:rPr>
        <w:sectPr w:rsidR="00DF4522" w:rsidRPr="00531789" w:rsidSect="00485E23">
          <w:pgSz w:w="11906" w:h="16838"/>
          <w:pgMar w:top="1418" w:right="1418" w:bottom="1418" w:left="2268" w:header="709" w:footer="1134" w:gutter="0"/>
          <w:pgNumType w:start="1"/>
          <w:cols w:space="708"/>
          <w:docGrid w:linePitch="360"/>
        </w:sectPr>
      </w:pPr>
    </w:p>
    <w:p w14:paraId="48521311" w14:textId="77777777" w:rsidR="00DF4522" w:rsidRPr="00531789" w:rsidRDefault="00DF4522" w:rsidP="00DF4522">
      <w:pPr>
        <w:pStyle w:val="Heading1"/>
        <w:jc w:val="center"/>
        <w:rPr>
          <w:rFonts w:ascii="Cambria" w:hAnsi="Cambria"/>
          <w:color w:val="auto"/>
        </w:rPr>
      </w:pPr>
      <w:bookmarkStart w:id="59" w:name="_Toc322267586"/>
      <w:bookmarkStart w:id="60" w:name="_Toc322267708"/>
      <w:bookmarkStart w:id="61" w:name="_Toc322267872"/>
      <w:bookmarkStart w:id="62" w:name="_Toc331253014"/>
      <w:r w:rsidRPr="00531789">
        <w:rPr>
          <w:rFonts w:ascii="Cambria" w:hAnsi="Cambria"/>
          <w:color w:val="auto"/>
        </w:rPr>
        <w:t>Chapter 3</w:t>
      </w:r>
      <w:r>
        <w:rPr>
          <w:rFonts w:ascii="Cambria" w:hAnsi="Cambria"/>
          <w:color w:val="auto"/>
        </w:rPr>
        <w:t>: Carbon s</w:t>
      </w:r>
      <w:r w:rsidRPr="00531789">
        <w:rPr>
          <w:rFonts w:ascii="Cambria" w:hAnsi="Cambria"/>
          <w:color w:val="auto"/>
        </w:rPr>
        <w:t>ink limitation declines during vegetative development in annual barley</w:t>
      </w:r>
      <w:bookmarkEnd w:id="59"/>
      <w:bookmarkEnd w:id="60"/>
      <w:bookmarkEnd w:id="61"/>
      <w:bookmarkEnd w:id="62"/>
    </w:p>
    <w:p w14:paraId="0FB23F15" w14:textId="77777777" w:rsidR="00DF4522" w:rsidRDefault="00DF4522" w:rsidP="00DF4522">
      <w:pPr>
        <w:pStyle w:val="Heading2"/>
        <w:jc w:val="center"/>
        <w:rPr>
          <w:rFonts w:ascii="Cambria" w:hAnsi="Cambria"/>
          <w:color w:val="auto"/>
        </w:rPr>
      </w:pPr>
    </w:p>
    <w:p w14:paraId="442ABC2E" w14:textId="77777777" w:rsidR="00DF4522" w:rsidRPr="00721D56" w:rsidRDefault="00DF4522" w:rsidP="00DF4522"/>
    <w:p w14:paraId="3682095A" w14:textId="77777777" w:rsidR="00DF4522" w:rsidRPr="00531789" w:rsidRDefault="00DF4522" w:rsidP="00DF4522">
      <w:pPr>
        <w:pStyle w:val="Heading2"/>
        <w:rPr>
          <w:rFonts w:ascii="Cambria" w:hAnsi="Cambria"/>
          <w:color w:val="auto"/>
        </w:rPr>
      </w:pPr>
      <w:bookmarkStart w:id="63" w:name="_Toc322267587"/>
      <w:bookmarkStart w:id="64" w:name="_Toc322267709"/>
      <w:bookmarkStart w:id="65" w:name="_Toc322267873"/>
      <w:bookmarkStart w:id="66" w:name="_Toc331253015"/>
      <w:r w:rsidRPr="00531789">
        <w:rPr>
          <w:rFonts w:ascii="Cambria" w:hAnsi="Cambria"/>
          <w:color w:val="auto"/>
        </w:rPr>
        <w:t>ABSTRACT</w:t>
      </w:r>
      <w:bookmarkEnd w:id="63"/>
      <w:bookmarkEnd w:id="64"/>
      <w:bookmarkEnd w:id="65"/>
      <w:bookmarkEnd w:id="66"/>
    </w:p>
    <w:p w14:paraId="35AD96F7" w14:textId="77777777" w:rsidR="00DF4522" w:rsidRPr="00531789" w:rsidRDefault="00DF4522" w:rsidP="00DF4522">
      <w:pPr>
        <w:spacing w:line="360" w:lineRule="auto"/>
        <w:jc w:val="both"/>
        <w:rPr>
          <w:rFonts w:ascii="Cambria" w:hAnsi="Cambria"/>
          <w:b/>
        </w:rPr>
      </w:pPr>
    </w:p>
    <w:p w14:paraId="5F855054" w14:textId="77777777" w:rsidR="00DF4522" w:rsidRPr="00531789" w:rsidRDefault="00DF4522" w:rsidP="00DF4522">
      <w:pPr>
        <w:spacing w:line="360" w:lineRule="auto"/>
        <w:jc w:val="both"/>
        <w:rPr>
          <w:rFonts w:ascii="Cambria" w:hAnsi="Cambria"/>
        </w:rPr>
      </w:pPr>
      <w:r w:rsidRPr="00531789">
        <w:rPr>
          <w:rFonts w:ascii="Cambria" w:hAnsi="Cambria"/>
        </w:rPr>
        <w:t xml:space="preserve">The </w:t>
      </w:r>
      <w:proofErr w:type="spellStart"/>
      <w:r w:rsidRPr="00531789">
        <w:rPr>
          <w:rFonts w:ascii="Cambria" w:hAnsi="Cambria"/>
        </w:rPr>
        <w:t>source:sink</w:t>
      </w:r>
      <w:proofErr w:type="spellEnd"/>
      <w:r w:rsidRPr="00531789">
        <w:rPr>
          <w:rFonts w:ascii="Cambria" w:hAnsi="Cambria"/>
        </w:rPr>
        <w:t xml:space="preserve"> balance underpins plant growth.  Here, short-term elevated carbon dioxide (CO</w:t>
      </w:r>
      <w:r w:rsidRPr="00531789">
        <w:rPr>
          <w:rFonts w:ascii="Cambria" w:hAnsi="Cambria"/>
          <w:vertAlign w:val="subscript"/>
        </w:rPr>
        <w:t>2</w:t>
      </w:r>
      <w:r w:rsidRPr="00531789">
        <w:rPr>
          <w:rFonts w:ascii="Cambria" w:hAnsi="Cambria"/>
        </w:rPr>
        <w:t xml:space="preserve">) and partial defoliation treatments were used to increase and decrease the carbon </w:t>
      </w:r>
      <w:proofErr w:type="spellStart"/>
      <w:r w:rsidRPr="00531789">
        <w:rPr>
          <w:rFonts w:ascii="Cambria" w:hAnsi="Cambria"/>
        </w:rPr>
        <w:t>source:sink</w:t>
      </w:r>
      <w:proofErr w:type="spellEnd"/>
      <w:r w:rsidRPr="00531789">
        <w:rPr>
          <w:rFonts w:ascii="Cambria" w:hAnsi="Cambria"/>
        </w:rPr>
        <w:t xml:space="preserve"> ratio respectively at three </w:t>
      </w:r>
      <w:proofErr w:type="spellStart"/>
      <w:r w:rsidRPr="00531789">
        <w:rPr>
          <w:rFonts w:ascii="Cambria" w:hAnsi="Cambria"/>
        </w:rPr>
        <w:t>timepoints</w:t>
      </w:r>
      <w:proofErr w:type="spellEnd"/>
      <w:r w:rsidRPr="00531789">
        <w:rPr>
          <w:rFonts w:ascii="Cambria" w:hAnsi="Cambria"/>
        </w:rPr>
        <w:t xml:space="preserve"> during vegetative growth in annual barley (</w:t>
      </w:r>
      <w:proofErr w:type="spellStart"/>
      <w:r w:rsidRPr="00531789">
        <w:rPr>
          <w:rFonts w:ascii="Cambria" w:hAnsi="Cambria"/>
          <w:i/>
        </w:rPr>
        <w:t>Hordeum</w:t>
      </w:r>
      <w:proofErr w:type="spellEnd"/>
      <w:r w:rsidRPr="00531789">
        <w:rPr>
          <w:rFonts w:ascii="Cambria" w:hAnsi="Cambria"/>
          <w:i/>
        </w:rPr>
        <w:t xml:space="preserve"> </w:t>
      </w:r>
      <w:proofErr w:type="spellStart"/>
      <w:r w:rsidRPr="00531789">
        <w:rPr>
          <w:rFonts w:ascii="Cambria" w:hAnsi="Cambria"/>
          <w:i/>
        </w:rPr>
        <w:t>vulgare</w:t>
      </w:r>
      <w:proofErr w:type="spellEnd"/>
      <w:r w:rsidRPr="00531789">
        <w:rPr>
          <w:rFonts w:ascii="Cambria" w:hAnsi="Cambria"/>
        </w:rPr>
        <w:t>)</w:t>
      </w:r>
      <w:r>
        <w:rPr>
          <w:rFonts w:ascii="Cambria" w:hAnsi="Cambria"/>
        </w:rPr>
        <w:t xml:space="preserve"> plants grown at 280 </w:t>
      </w:r>
      <w:proofErr w:type="spellStart"/>
      <w:r>
        <w:rPr>
          <w:rFonts w:ascii="Cambria" w:hAnsi="Cambria"/>
        </w:rPr>
        <w:t>μ</w:t>
      </w:r>
      <w:r>
        <w:t>mol</w:t>
      </w:r>
      <w:proofErr w:type="spellEnd"/>
      <w:r>
        <w:t xml:space="preserve"> mol</w:t>
      </w:r>
      <w:r w:rsidRPr="00E27DA2">
        <w:rPr>
          <w:vertAlign w:val="superscript"/>
        </w:rPr>
        <w:t>-</w:t>
      </w:r>
      <w:r>
        <w:rPr>
          <w:vertAlign w:val="superscript"/>
        </w:rPr>
        <w:t xml:space="preserve">1 </w:t>
      </w:r>
      <w:r>
        <w:rPr>
          <w:rFonts w:ascii="Cambria" w:hAnsi="Cambria"/>
        </w:rPr>
        <w:t>CO</w:t>
      </w:r>
      <w:r w:rsidRPr="007B01BF">
        <w:rPr>
          <w:rFonts w:ascii="Cambria" w:hAnsi="Cambria"/>
          <w:vertAlign w:val="subscript"/>
        </w:rPr>
        <w:t>2</w:t>
      </w:r>
      <w:r w:rsidRPr="00531789">
        <w:rPr>
          <w:rFonts w:ascii="Cambria" w:hAnsi="Cambria"/>
        </w:rPr>
        <w:t xml:space="preserve">.  It was hypothesised that plants undergo a transition from being more sink limited to more source limited during development, such that the impact of </w:t>
      </w:r>
      <w:r>
        <w:rPr>
          <w:rFonts w:ascii="Cambria" w:hAnsi="Cambria"/>
        </w:rPr>
        <w:t xml:space="preserve">a transient </w:t>
      </w:r>
      <w:r w:rsidRPr="00531789">
        <w:rPr>
          <w:rFonts w:ascii="Cambria" w:hAnsi="Cambria"/>
        </w:rPr>
        <w:t>elevated CO</w:t>
      </w:r>
      <w:r w:rsidRPr="00531789">
        <w:rPr>
          <w:rFonts w:ascii="Cambria" w:hAnsi="Cambria"/>
          <w:vertAlign w:val="subscript"/>
        </w:rPr>
        <w:t>2</w:t>
      </w:r>
      <w:r w:rsidRPr="00531789">
        <w:rPr>
          <w:rFonts w:ascii="Cambria" w:hAnsi="Cambria"/>
        </w:rPr>
        <w:t xml:space="preserve"> </w:t>
      </w:r>
      <w:r>
        <w:rPr>
          <w:rFonts w:ascii="Cambria" w:hAnsi="Cambria"/>
        </w:rPr>
        <w:t xml:space="preserve">treatment at 1500 </w:t>
      </w:r>
      <w:proofErr w:type="spellStart"/>
      <w:r>
        <w:rPr>
          <w:rFonts w:ascii="Cambria" w:hAnsi="Cambria"/>
        </w:rPr>
        <w:t>μ</w:t>
      </w:r>
      <w:r>
        <w:t>mol</w:t>
      </w:r>
      <w:proofErr w:type="spellEnd"/>
      <w:r>
        <w:t xml:space="preserve"> mol</w:t>
      </w:r>
      <w:r w:rsidRPr="00E27DA2">
        <w:rPr>
          <w:vertAlign w:val="superscript"/>
        </w:rPr>
        <w:t>-</w:t>
      </w:r>
      <w:r>
        <w:rPr>
          <w:vertAlign w:val="superscript"/>
        </w:rPr>
        <w:t xml:space="preserve">1 </w:t>
      </w:r>
      <w:r>
        <w:rPr>
          <w:rFonts w:ascii="Cambria" w:hAnsi="Cambria"/>
        </w:rPr>
        <w:t>CO</w:t>
      </w:r>
      <w:r w:rsidRPr="007B01BF">
        <w:rPr>
          <w:rFonts w:ascii="Cambria" w:hAnsi="Cambria"/>
          <w:vertAlign w:val="subscript"/>
        </w:rPr>
        <w:t>2</w:t>
      </w:r>
      <w:r w:rsidRPr="00531789">
        <w:rPr>
          <w:rFonts w:ascii="Cambria" w:hAnsi="Cambria"/>
        </w:rPr>
        <w:t xml:space="preserve"> (which alleviates source limitation) on growth would be greater later in development, and the impact of partial defoliation (which alleviates sink limitation) on photosynthesis in the remaining leaves would be greater earlier in development.  Overall</w:t>
      </w:r>
      <w:r>
        <w:rPr>
          <w:rFonts w:ascii="Cambria" w:hAnsi="Cambria"/>
        </w:rPr>
        <w:t>,</w:t>
      </w:r>
      <w:r w:rsidRPr="00531789">
        <w:rPr>
          <w:rFonts w:ascii="Cambria" w:hAnsi="Cambria"/>
        </w:rPr>
        <w:t xml:space="preserve"> no significant increase in net photosynthesis or relative growth rate was revealed under the elevated CO</w:t>
      </w:r>
      <w:r w:rsidRPr="00531789">
        <w:rPr>
          <w:rFonts w:ascii="Cambria" w:hAnsi="Cambria"/>
          <w:vertAlign w:val="subscript"/>
        </w:rPr>
        <w:t>2</w:t>
      </w:r>
      <w:r w:rsidRPr="00531789">
        <w:rPr>
          <w:rFonts w:ascii="Cambria" w:hAnsi="Cambria"/>
        </w:rPr>
        <w:t xml:space="preserve"> treatment, but the leaf carbohydrate concentration was greatly increased, indicating that sink limitation was exacerbated by this treatment.  The difference between plants exposed to elevated CO</w:t>
      </w:r>
      <w:r w:rsidRPr="00531789">
        <w:rPr>
          <w:rFonts w:ascii="Cambria" w:hAnsi="Cambria"/>
          <w:vertAlign w:val="subscript"/>
        </w:rPr>
        <w:t>2</w:t>
      </w:r>
      <w:r w:rsidRPr="00531789">
        <w:rPr>
          <w:rFonts w:ascii="Cambria" w:hAnsi="Cambria"/>
        </w:rPr>
        <w:t xml:space="preserve"> and control plants is greater for growth and smaller for leaf carbohydrate concentration later in development, suggesting a decrease in sink limitation over time, since additional carbon was inves</w:t>
      </w:r>
      <w:r>
        <w:rPr>
          <w:rFonts w:ascii="Cambria" w:hAnsi="Cambria"/>
        </w:rPr>
        <w:t>ted in growth rather than storage</w:t>
      </w:r>
      <w:r w:rsidRPr="00531789">
        <w:rPr>
          <w:rFonts w:ascii="Cambria" w:hAnsi="Cambria"/>
        </w:rPr>
        <w:t>, although these trends are not</w:t>
      </w:r>
      <w:r>
        <w:rPr>
          <w:rFonts w:ascii="Cambria" w:hAnsi="Cambria"/>
        </w:rPr>
        <w:t xml:space="preserve"> statistically</w:t>
      </w:r>
      <w:r w:rsidRPr="00531789">
        <w:rPr>
          <w:rFonts w:ascii="Cambria" w:hAnsi="Cambria"/>
        </w:rPr>
        <w:t xml:space="preserve"> significant.  Defoliation had no impact on photosynthetic rate or capacity, or </w:t>
      </w:r>
      <w:r>
        <w:rPr>
          <w:rFonts w:ascii="Cambria" w:hAnsi="Cambria"/>
        </w:rPr>
        <w:t xml:space="preserve">on leaf carbohydrate content.  However, there were developmental effects </w:t>
      </w:r>
      <w:r w:rsidRPr="00531789">
        <w:rPr>
          <w:rFonts w:ascii="Cambria" w:hAnsi="Cambria"/>
        </w:rPr>
        <w:t xml:space="preserve">in both treatments: net photosynthetic rate, relative growth rate, leaf mass per area and leaf carbohydrate and protein concentrations decreased significantly during development, whilst </w:t>
      </w:r>
      <w:proofErr w:type="spellStart"/>
      <w:r w:rsidRPr="00531789">
        <w:rPr>
          <w:rFonts w:ascii="Cambria" w:hAnsi="Cambria"/>
        </w:rPr>
        <w:t>hexose:sucrose</w:t>
      </w:r>
      <w:proofErr w:type="spellEnd"/>
      <w:r w:rsidRPr="00531789">
        <w:rPr>
          <w:rFonts w:ascii="Cambria" w:hAnsi="Cambria"/>
        </w:rPr>
        <w:t xml:space="preserve"> ratio increased during development.  Overall, these data tentatively support </w:t>
      </w:r>
      <w:r>
        <w:rPr>
          <w:rFonts w:ascii="Cambria" w:hAnsi="Cambria"/>
        </w:rPr>
        <w:t xml:space="preserve">the hypothesis of </w:t>
      </w:r>
      <w:r w:rsidRPr="00531789">
        <w:rPr>
          <w:rFonts w:ascii="Cambria" w:hAnsi="Cambria"/>
        </w:rPr>
        <w:t xml:space="preserve">a transition from greater sink limitation towards greater source limitation </w:t>
      </w:r>
      <w:r>
        <w:rPr>
          <w:rFonts w:ascii="Cambria" w:hAnsi="Cambria"/>
        </w:rPr>
        <w:t xml:space="preserve">during vegetative development </w:t>
      </w:r>
      <w:r w:rsidRPr="00531789">
        <w:rPr>
          <w:rFonts w:ascii="Cambria" w:hAnsi="Cambria"/>
        </w:rPr>
        <w:t xml:space="preserve">but there are fundamental limitations to the approach taken here. </w:t>
      </w:r>
    </w:p>
    <w:p w14:paraId="1867951D" w14:textId="77777777" w:rsidR="00DF4522" w:rsidRPr="006C7EF2" w:rsidRDefault="00DF4522" w:rsidP="00DF4522">
      <w:pPr>
        <w:pStyle w:val="Heading2"/>
        <w:rPr>
          <w:rFonts w:ascii="Cambria" w:hAnsi="Cambria"/>
          <w:color w:val="auto"/>
        </w:rPr>
      </w:pPr>
      <w:r w:rsidRPr="00531789">
        <w:br w:type="page"/>
      </w:r>
      <w:bookmarkStart w:id="67" w:name="_Toc322267588"/>
      <w:bookmarkStart w:id="68" w:name="_Toc322267710"/>
      <w:bookmarkStart w:id="69" w:name="_Toc322267874"/>
      <w:bookmarkStart w:id="70" w:name="_Toc331253016"/>
      <w:r w:rsidRPr="006C7EF2">
        <w:rPr>
          <w:rFonts w:ascii="Cambria" w:hAnsi="Cambria"/>
          <w:color w:val="auto"/>
        </w:rPr>
        <w:t>INTRODUCTION</w:t>
      </w:r>
      <w:bookmarkEnd w:id="67"/>
      <w:bookmarkEnd w:id="68"/>
      <w:bookmarkEnd w:id="69"/>
      <w:bookmarkEnd w:id="70"/>
    </w:p>
    <w:p w14:paraId="58D030E8" w14:textId="77777777" w:rsidR="00DF4522" w:rsidRPr="00531789" w:rsidRDefault="00DF4522" w:rsidP="00DF4522">
      <w:pPr>
        <w:spacing w:line="360" w:lineRule="auto"/>
        <w:jc w:val="both"/>
        <w:rPr>
          <w:rFonts w:ascii="Cambria" w:hAnsi="Cambria"/>
        </w:rPr>
      </w:pPr>
    </w:p>
    <w:p w14:paraId="45F11709" w14:textId="76BAA90A" w:rsidR="00DF4522" w:rsidRPr="00531789" w:rsidRDefault="00DF4522" w:rsidP="00DF4522">
      <w:pPr>
        <w:spacing w:line="360" w:lineRule="auto"/>
        <w:jc w:val="both"/>
        <w:rPr>
          <w:rFonts w:ascii="Cambria" w:hAnsi="Cambria"/>
        </w:rPr>
      </w:pPr>
      <w:r w:rsidRPr="00531789">
        <w:rPr>
          <w:rFonts w:ascii="Cambria" w:hAnsi="Cambria"/>
        </w:rPr>
        <w:t xml:space="preserve">Source-sink relations are critical determinants of plant growth.  Sources acquire resources whilst sinks use or sequester resources, and an appropriate balance between source and sink is vital for successful growth in a fluctuating environment.  In order to take a holistic view of the source-sink balance and the contribution of sources and sinks to growth, it is essential to consider source strength, allocation and sink development simultaneously through measurements of photosynthesis, metabolites, partitioning and growth </w:t>
      </w:r>
      <w:r w:rsidRPr="00531789">
        <w:rPr>
          <w:rFonts w:ascii="Cambria" w:hAnsi="Cambria"/>
        </w:rPr>
        <w:fldChar w:fldCharType="begin" w:fldLock="1"/>
      </w:r>
      <w:r w:rsidR="009133B6">
        <w:rPr>
          <w:rFonts w:ascii="Cambria" w:hAnsi="Cambria"/>
        </w:rPr>
        <w:instrText>ADDIN CSL_CITATION { "citationItems" : [ { "id" : "ITEM-1", "itemData" : { "DOI" : "10.1093/jxb/erv447", "ISSN" : "0022-0957", "author" : [ { "dropping-particle" : "", "family" : "White",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"Journal of Experimental Botany", "id" : "ITEM-1", "issue" : "1", "issued" : { "date-parts" : [ [ "2016" ] ] }, "page" : "31-45", "title" : "How can we make plants grow faster? A source\u2013sink perspective on growth rate", "type" : "article-journal", "volume" : "67" }, "uris" : [ "http://www.mendeley.com/documents/?uuid=071fcd57-e076-410e-903a-444abfb30785" ] } ], "mendeley" : { "formattedCitation" : "(White &lt;i&gt;et al.&lt;/i&gt;, 2016)", "manualFormatting" : "(White et al., 2016; Chapter 2)", "plainTextFormattedCitation" : "(White et al., 2016)", "previouslyFormattedCitation" : "(White &lt;i&gt;et al.&lt;/i&gt;, 2016)" }, "properties" : { "noteIndex" : 0 }, "schema" : "https://github.com/citation-style-language/schema/raw/master/csl-citation.json" }</w:instrText>
      </w:r>
      <w:r w:rsidRPr="00531789">
        <w:rPr>
          <w:rFonts w:ascii="Cambria" w:hAnsi="Cambria"/>
        </w:rPr>
        <w:fldChar w:fldCharType="separate"/>
      </w:r>
      <w:r w:rsidRPr="00796CB6">
        <w:rPr>
          <w:rFonts w:ascii="Cambria" w:hAnsi="Cambria"/>
          <w:noProof/>
        </w:rPr>
        <w:t xml:space="preserve">(White </w:t>
      </w:r>
      <w:r w:rsidRPr="00796CB6">
        <w:rPr>
          <w:rFonts w:ascii="Cambria" w:hAnsi="Cambria"/>
          <w:i/>
          <w:noProof/>
        </w:rPr>
        <w:t>et al.</w:t>
      </w:r>
      <w:r w:rsidRPr="00796CB6">
        <w:rPr>
          <w:rFonts w:ascii="Cambria" w:hAnsi="Cambria"/>
          <w:noProof/>
        </w:rPr>
        <w:t xml:space="preserve">, </w:t>
      </w:r>
      <w:r w:rsidR="000055CC">
        <w:rPr>
          <w:rFonts w:ascii="Cambria" w:hAnsi="Cambria"/>
          <w:noProof/>
        </w:rPr>
        <w:t>2016</w:t>
      </w:r>
      <w:r>
        <w:rPr>
          <w:rFonts w:ascii="Cambria" w:hAnsi="Cambria"/>
          <w:noProof/>
        </w:rPr>
        <w:t>; Chapter 2</w:t>
      </w:r>
      <w:r w:rsidRPr="00796CB6">
        <w:rPr>
          <w:rFonts w:ascii="Cambria" w:hAnsi="Cambria"/>
          <w:noProof/>
        </w:rPr>
        <w:t>)</w:t>
      </w:r>
      <w:r w:rsidRPr="00531789">
        <w:rPr>
          <w:rFonts w:ascii="Cambria" w:hAnsi="Cambria"/>
        </w:rPr>
        <w:fldChar w:fldCharType="end"/>
      </w:r>
      <w:r w:rsidRPr="00531789">
        <w:rPr>
          <w:rFonts w:ascii="Cambria" w:hAnsi="Cambria"/>
        </w:rPr>
        <w:t xml:space="preserve">.  Manipulating the </w:t>
      </w:r>
      <w:proofErr w:type="spellStart"/>
      <w:r w:rsidRPr="00531789">
        <w:rPr>
          <w:rFonts w:ascii="Cambria" w:hAnsi="Cambria"/>
        </w:rPr>
        <w:t>source:sink</w:t>
      </w:r>
      <w:proofErr w:type="spellEnd"/>
      <w:r w:rsidRPr="00531789">
        <w:rPr>
          <w:rFonts w:ascii="Cambria" w:hAnsi="Cambria"/>
        </w:rPr>
        <w:t xml:space="preserve"> ratio enables the relative extents to which source and sink limit growth to be assessed </w:t>
      </w:r>
      <w:r w:rsidRPr="00531789">
        <w:rPr>
          <w:rFonts w:ascii="Cambria" w:hAnsi="Cambria"/>
        </w:rPr>
        <w:fldChar w:fldCharType="begin" w:fldLock="1"/>
      </w:r>
      <w:r w:rsidR="009133B6">
        <w:rPr>
          <w:rFonts w:ascii="Cambria" w:hAnsi="Cambria"/>
        </w:rPr>
        <w:instrText>ADDIN CSL_CITATION { "citationItems" : [ { "id" : "ITEM-1", "itemData" : { "DOI" : "10.1093/jxb/erv447", "ISSN" : "0022-0957", "author" : [ { "dropping-particle" : "", "family" : "White",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"Journal of Experimental Botany", "id" : "ITEM-1", "issue" : "1", "issued" : { "date-parts" : [ [ "2016" ] ] }, "page" : "31-45", "title" : "How can we make plants grow faster? A source\u2013sink perspective on growth rate", "type" : "article-journal", "volume" : "67" }, "uris" : [ "http://www.mendeley.com/documents/?uuid=071fcd57-e076-410e-903a-444abfb30785" ] } ], "mendeley" : { "formattedCitation" : "(White &lt;i&gt;et al.&lt;/i&gt;, 2016)", "manualFormatting" : "(White et al., 2016)", "plainTextFormattedCitation" : "(White et al., 2016)", "previouslyFormattedCitation" : "(White &lt;i&gt;et al.&lt;/i&gt;, 2016)" }, "properties" : { "noteIndex" : 0 }, "schema" : "https://github.com/citation-style-language/schema/raw/master/csl-citation.json" }</w:instrText>
      </w:r>
      <w:r w:rsidRPr="00531789">
        <w:rPr>
          <w:rFonts w:ascii="Cambria" w:hAnsi="Cambria"/>
        </w:rPr>
        <w:fldChar w:fldCharType="separate"/>
      </w:r>
      <w:r w:rsidRPr="00796CB6">
        <w:rPr>
          <w:rFonts w:ascii="Cambria" w:hAnsi="Cambria"/>
          <w:noProof/>
        </w:rPr>
        <w:t xml:space="preserve">(White </w:t>
      </w:r>
      <w:r w:rsidRPr="00796CB6">
        <w:rPr>
          <w:rFonts w:ascii="Cambria" w:hAnsi="Cambria"/>
          <w:i/>
          <w:noProof/>
        </w:rPr>
        <w:t>et al.</w:t>
      </w:r>
      <w:r w:rsidRPr="00796CB6">
        <w:rPr>
          <w:rFonts w:ascii="Cambria" w:hAnsi="Cambria"/>
          <w:noProof/>
        </w:rPr>
        <w:t xml:space="preserve">, </w:t>
      </w:r>
      <w:r w:rsidR="000055CC">
        <w:rPr>
          <w:rFonts w:ascii="Cambria" w:hAnsi="Cambria"/>
          <w:noProof/>
        </w:rPr>
        <w:t>2016</w:t>
      </w:r>
      <w:r w:rsidRPr="00796CB6">
        <w:rPr>
          <w:rFonts w:ascii="Cambria" w:hAnsi="Cambria"/>
          <w:noProof/>
        </w:rPr>
        <w:t>)</w:t>
      </w:r>
      <w:r w:rsidRPr="00531789">
        <w:rPr>
          <w:rFonts w:ascii="Cambria" w:hAnsi="Cambria"/>
        </w:rPr>
        <w:fldChar w:fldCharType="end"/>
      </w:r>
      <w:r w:rsidRPr="00531789">
        <w:rPr>
          <w:rFonts w:ascii="Cambria" w:hAnsi="Cambria"/>
        </w:rPr>
        <w:t xml:space="preserve">, which will be an important component of achieving crop yield increases </w:t>
      </w:r>
      <w:r w:rsidRPr="00531789">
        <w:rPr>
          <w:rFonts w:ascii="Cambria" w:hAnsi="Cambria"/>
        </w:rPr>
        <w:fldChar w:fldCharType="begin" w:fldLock="1"/>
      </w:r>
      <w:r>
        <w:rPr>
          <w:rFonts w:ascii="Cambria" w:hAnsi="Cambria"/>
        </w:rPr>
        <w:instrText>ADDIN CSL_CITATION { "citationItems" : [ { "id" : "ITEM-1", "itemData" : { "DOI" : "10.1111/j.1469-8137.2008.02705.x", "ISSN" : "1469-8137", "PMID" : "19140947", "abstract" : "A rising human population and changing patterns of land use mean that world food production rates will need to be increased by at least 50% by 2050, a massive rise in harvestable yield per hectare of the major crops such as rice (Oryza sativa) and wheat (Triticum aestivum). Combinations of breeding for improved morphology-related traits such as harvest index and increased inputs of water and fertilizer, which have sustained yield increases since the 1960s, will be neither sufficient nor sustainable. An important limiting factor will be the capacity to produce sufficient biomass during favourable growing periods. Here we analyse this problem in the context of increasing the efficiency of conversion of solar energy into biomass, that is, leaf and canopy photosynthesis. Focussing on crops carrying out C3 photosynthesis, we analyse the evidence for 'losses' in the process of conversion of solar energy into crop biomass and we explore novel mechanisms of improving biomass production rates, which have arisen from recent research into the fundamental primary processes of photosynthesis and carbohydrate metabolism. We show that there are several lines of evidence that these processes are not fully optimized for maximum yield. We put forward the hypothesis that the chloroplast itself should be given greater prominence as a sensor, processor and integrator of highly variable environmental signals to allow a more efficient transduction of energy supply into biomass production.", "author" : [ { "dropping-particle" : "", "family" : "Murchie", "given" : "E H", "non-dropping-particle" : "", "parse-names" : false, "suffix" : "" }, { "dropping-particle" : "", "family" : "Pinto", "given" : "M", "non-dropping-particle" : "", "parse-names" : false, "suffix" : "" }, { "dropping-particle" : "", "family" : "Horton", "given" : "P", "non-dropping-particle" : "", "parse-names" : false, "suffix" : "" } ], "container-title" : "New Phytologist", "id" : "ITEM-1", "issue" : "3", "issued" : { "date-parts" : [ [ "2009", "1" ] ] }, "page" : "532-52", "title" : "Agriculture and the new challenges for photosynthesis research.", "type" : "article-journal", "volume" : "181" }, "uris" : [ "http://www.mendeley.com/documents/?uuid=a952d5fc-e3dc-47e7-b25d-704d57b6d009" ] } ], "mendeley" : { "formattedCitation" : "(Murchie &lt;i&gt;et al.&lt;/i&gt;, 2009)", "plainTextFormattedCitation" : "(Murchie et al., 2009)", "previouslyFormattedCitation" : "(Murchie &lt;i&gt;et al.&lt;/i&gt;, 2009)"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(Murchie </w:t>
      </w:r>
      <w:r w:rsidRPr="002C5907">
        <w:rPr>
          <w:rFonts w:ascii="Cambria" w:hAnsi="Cambria"/>
          <w:i/>
          <w:noProof/>
        </w:rPr>
        <w:t>et al.</w:t>
      </w:r>
      <w:r w:rsidRPr="002C5907">
        <w:rPr>
          <w:rFonts w:ascii="Cambria" w:hAnsi="Cambria"/>
          <w:noProof/>
        </w:rPr>
        <w:t>, 2009)</w:t>
      </w:r>
      <w:r w:rsidRPr="00531789">
        <w:rPr>
          <w:rFonts w:ascii="Cambria" w:hAnsi="Cambria"/>
        </w:rPr>
        <w:fldChar w:fldCharType="end"/>
      </w:r>
      <w:r w:rsidRPr="00531789">
        <w:rPr>
          <w:rFonts w:ascii="Cambria" w:hAnsi="Cambria"/>
        </w:rPr>
        <w:t xml:space="preserve">.  A variety of techniques – with varying degrees of invasiveness – may be employed to manipulate the </w:t>
      </w:r>
      <w:proofErr w:type="spellStart"/>
      <w:r w:rsidRPr="00531789">
        <w:rPr>
          <w:rFonts w:ascii="Cambria" w:hAnsi="Cambria"/>
        </w:rPr>
        <w:t>source:sink</w:t>
      </w:r>
      <w:proofErr w:type="spellEnd"/>
      <w:r w:rsidRPr="00531789">
        <w:rPr>
          <w:rFonts w:ascii="Cambria" w:hAnsi="Cambria"/>
        </w:rPr>
        <w:t xml:space="preserve"> ratio, such as defoliation </w:t>
      </w:r>
      <w:r w:rsidRPr="00531789">
        <w:rPr>
          <w:rFonts w:ascii="Cambria" w:hAnsi="Cambria"/>
        </w:rPr>
        <w:fldChar w:fldCharType="begin" w:fldLock="1"/>
      </w:r>
      <w:r w:rsidR="00FB53C0">
        <w:rPr>
          <w:rFonts w:ascii="Cambria" w:hAnsi="Cambria"/>
        </w:rPr>
        <w:instrText>ADDIN CSL_CITATION { "citationItems" : [ { "id" : "ITEM-1", "itemData" : { "DOI" : "10.1093/jxb/ert017", "ISSN" : "1460-2431", "PMID" : "23382548", "abstract" : "Increases in photosynthetic capacity (A(1500)) after defoliation have been attributed to changes in leaf-level biochemistry, water, and/or nutrient status. The hypothesis that transient photosynthetic responses to partial defoliation are regulated by whole-plant (e.g. source-sink relationships or changes in hydraulic conductance) rather than leaf-level mechanisms is tested here. Temporal variation in leaf-level gas exchange, chemistry, whole-plant soil-to-leaf hydraulic conductance (K(P)), and aboveground biomass partitioning were determined to evaluate mechanisms responsible for increases in A(1500) of Eucalyptus globulus L. potted saplings. A(1500) increased in response to debudding (B), partial defoliation (D), and combined B&amp;D treatments by up to 36% at 5 weeks after treatment. Changes in leaf-level factors partly explained increases in A(1500) of B and B&amp;D treatments but not for D treatment. By week 5, saplings in B, B&amp;D, and D treatments had similar leaf-specific K(P) to control trees by maintaining lower midday water potentials and higher transpiration rate per leaf area. Whole-plant source:sink ratios correlated strongly with A(1500). Further, unlike K(P), temporal changes in source:sink ratios tracked well with those observed for A(1500). The results indicate that increases in A(1500) after partial defoliation treatments were largely driven by an increased demand for assimilate by developing sinks rather than improvements in whole-plant water relations and changes in leaf-level factors. Three carbohydrates, galactional, stachyose, and, to a lesser extent, raffinose, correlated strongly with photosynthetic capacity, indicating that these sugars may function as signalling molecules in the regulation of longer term defoliation-induced gas exchange responses.", "author" : [ { "dropping-particle" : "", "family" : "Eyles", "given" : "Alieta", "non-dropping-particle" : "", "parse-names" : false, "suffix" : "" }, { "dropping-particle" : "", "family" : "Pinkard", "given" : "Elizabeth A", "non-dropping-particle" : "", "parse-names" : false, "suffix" : "" }, { "dropping-particle" : "", "family" : "Davies", "given" : "Noel W", "non-dropping-particle" : "", "parse-names" : false, "suffix" : "" }, { "dropping-particle" : "", "family" : "Corkrey", "given" : "Ross", "non-dropping-particle" : "", "parse-names" : false, "suffix" : "" }, { "dropping-particle" : "", "family" : "Churchill", "given" : "Keith", "non-dropping-particle" : "", "parse-names" : false, "suffix" : "" }, { "dropping-particle" : "", "family" : "O'Grady", "given" : "Anthony P", "non-dropping-particle" : "", "parse-names" : false, "suffix" : "" }, { "dropping-particle" : "", "family" : "Sands", "given" : "Peter", "non-dropping-particle" : "", "parse-names" : false, "suffix" : "" }, { "dropping-particle" : "", "family" : "Mohammed", "given" : "Caroline", "non-dropping-particle" : "", "parse-names" : false, "suffix" : "" } ], "container-title" : "Journal of Experimental Botany", "id" : "ITEM-1", "issued" : { "date-parts" : [ [ "2013", "2", "4" ] ] }, "page" : "1625-1636", "title" : "Whole-plant- versus leaf-level regulation of photosynthetic responses after partial defoliation in Eucalyptus globulus saplings.", "type" : "article-journal", "volume" : "64" }, "uris" : [ "http://www.mendeley.com/documents/?uuid=806913fb-60bb-4055-8f33-a68e82fe25c6" ] }, { "id" : "ITEM-2", "itemData" : { "DOI" : "10.1046/j.1365-3040.1998.00265.x", "ISSN" : "0140-7791", "abstract" : "Artificial chalk grassland swards were exposed to either ambient air or air enriched to 600 mol mol\u20131 CO2, using free-airCO2 enrichment technology, and subjected to an 8 week simulated grazing regime. After 14 months of treatment, ribulose-1,5-bisphosphate carboxylase (Rubisco) activity (Vc,max) and electron transport mediated ribulose- 1,5-bisphosphate (RuBP) regeneration capacity (Jmax), estimated from leaf gas exchange, were significantly lower in fully expanded leaves of Anthyllis vulneraria L. (a legume) and Sanguisorba minor Scop. grown in elevated CO2. After a change in source:sink balance brought about by defoliation, photosynthetic capacity was fully restored in A. vulneraria and S. minor, but acclimation continued in the grass Bromopsis erecta (Hudson) Fourr. Changes in net photosynthesis (Pn) with growth at elevated CO2 ranged from a 1\u00b76% reduction in precut leaves of A. vulneraria to a 47\u00b71% stimulation in postcut leaves of S. minor. Stomatal acclimation was observed in leaves of A. vulneraria (reduced stomatal density) and B. erecta (reduced stomatal conductance). The results are discussed in terms of whole-plant resource-use optimization and chalk grass- land community competitive interactions at elevated CO2.", "author" : [ { "dropping-particle" : "", "family" : "Bryant", "given" : "J.", "non-dropping-particle" : "", "parse-names" : false, "suffix" : "" }, { "dropping-particle" : "", "family" : "Taylor", "given" : "G.", "non-dropping-particle" : "", "parse-names" : false, "suffix" : "" }, { "dropping-particle" : "", "family" : "Frehner", "given" : "M.", "non-dropping-particle" : "", "parse-names" : false, "suffix" : "" } ], "container-title" : "Plant, Cell &amp; Environment", "id" : "ITEM-2", "issue" : "2", "issued" : { "date-parts" : [ [ "1998", "2" ] ] }, "page" : "159-168", "title" : "Photosynthetic acclimation to elevated CO2 is modified by source:sink balance in three component species of chalk grassland swards grown in a free air carbon dioxide enrichment (FACE) experiment", "type" : "article-journal", "volume" : "21" }, "uris" : [ "http://www.mendeley.com/documents/?uuid=08d06e6f-6558-4bdd-9350-c1b56acb361c" ] }, { "id" : "ITEM-3", "itemData" : { "abstract" : "The response of CO2-assimilation rate to the intercellular partial pressure of CO 2 (p(CO2)) is used to analyse the effects of various growth treatments on the photosynthetic charac- teristics of P. vulgaris. Partial defoliation caused an increase in CO2-assimilation rate at all intercel- lular p(CO2). A change in the light regime for growth from high to low light levels caused a de- crease of CO2-assimilation rate at all intercellular p(CO2). Growth in a CO2-enriched atmosphere re- sulted in lowered assimilation rates compared with controls at comparable intercellular p(CO2). Short-term water stress initially caused only a de- cline in the CO2-assimilation rate at high intercel- lular p(CO2) , but not at low intercellular p(CO2). Except under severe water stress, changes in the initial slope of the response of CO2-assimilation rate to intercellular p(CO2) were in parallel to those of the in-vitro activity of ribulose-l,5-bis- phosphate (RuBP) carboxylase. From the results, we infer that partial defoliation, changes in the light regime for growth, and growth in a CO 2- enriched atmosphere cause parallel changes in RuBP-carboxylase (EC 4.1.1.39) activity and the \"capacity for RuBP regeneration\", whereas short- term water stress initially causes only a decline in the RuBP-regeneration capacity.", "author" : [ { "dropping-particle" : "", "family" : "Caemmerer", "given" : "S", "non-dropping-particle" : "von", "parse-names" : false, "suffix" : "" }, { "dropping-particle" : "", "family" : "Farquhar", "given" : "G D", "non-dropping-particle" : "", "parse-names" : false, "suffix" : "" } ], "container-title" : "Planta", "id" : "ITEM-3", "issued" : { "date-parts" : [ [ "1984" ] ] }, "page" : "320-329", "title" : "Effects of partial defoliation, changes of irradiance during growth, short-term water stress and growth at enhanced p(CO2) on the photosynthetic capacity of leaves of Phaseolus vulgaris L.", "type" : "article-journal", "volume" : "160" }, "uris" : [ "http://www.mendeley.com/documents/?uuid=977f1aec-7e33-4bd4-aa58-97cfe55b97b2" ] } ], "mendeley" : { "formattedCitation" : "(von Caemmerer and Farquhar, 1984; Bryant &lt;i&gt;et al.&lt;/i&gt;, 1998; Eyles &lt;i&gt;et al.&lt;/i&gt;, 2013&lt;i&gt;a&lt;/i&gt;)", "manualFormatting" : "(von Caemmerer and Farquhar, 1984; Bryant et al., 1998; Eyles et al., 2013)", "plainTextFormattedCitation" : "(von Caemmerer and Farquhar, 1984; Bryant et al., 1998; Eyles et al., 2013a)", "previouslyFormattedCitation" : "(von Caemmerer and Farquhar, 1984; Bryant &lt;i&gt;et al.&lt;/i&gt;, 1998; Eyles &lt;i&gt;et al.&lt;/i&gt;, 2013&lt;i&gt;a&lt;/i&gt;)"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w:t>
      </w:r>
      <w:r>
        <w:rPr>
          <w:rFonts w:ascii="Cambria" w:hAnsi="Cambria"/>
          <w:noProof/>
        </w:rPr>
        <w:t xml:space="preserve">von </w:t>
      </w:r>
      <w:r w:rsidRPr="002C5907">
        <w:rPr>
          <w:rFonts w:ascii="Cambria" w:hAnsi="Cambria"/>
          <w:noProof/>
        </w:rPr>
        <w:t xml:space="preserve">Caemmerer and Farquhar, 1984; Bryant </w:t>
      </w:r>
      <w:r w:rsidRPr="002C5907">
        <w:rPr>
          <w:rFonts w:ascii="Cambria" w:hAnsi="Cambria"/>
          <w:i/>
          <w:noProof/>
        </w:rPr>
        <w:t>et al.</w:t>
      </w:r>
      <w:r w:rsidRPr="002C5907">
        <w:rPr>
          <w:rFonts w:ascii="Cambria" w:hAnsi="Cambria"/>
          <w:noProof/>
        </w:rPr>
        <w:t xml:space="preserve">, 1998; Eyles </w:t>
      </w:r>
      <w:r w:rsidRPr="002C5907">
        <w:rPr>
          <w:rFonts w:ascii="Cambria" w:hAnsi="Cambria"/>
          <w:i/>
          <w:noProof/>
        </w:rPr>
        <w:t>et al.</w:t>
      </w:r>
      <w:r w:rsidRPr="002C5907">
        <w:rPr>
          <w:rFonts w:ascii="Cambria" w:hAnsi="Cambria"/>
          <w:noProof/>
        </w:rPr>
        <w:t>, 2013)</w:t>
      </w:r>
      <w:r w:rsidRPr="00531789">
        <w:rPr>
          <w:rFonts w:ascii="Cambria" w:hAnsi="Cambria"/>
        </w:rPr>
        <w:fldChar w:fldCharType="end"/>
      </w:r>
      <w:r w:rsidRPr="00531789">
        <w:rPr>
          <w:rFonts w:ascii="Cambria" w:hAnsi="Cambria"/>
        </w:rPr>
        <w:t xml:space="preserve">, genetic modification </w:t>
      </w:r>
      <w:r w:rsidRPr="00531789">
        <w:rPr>
          <w:rFonts w:ascii="Cambria" w:hAnsi="Cambria"/>
        </w:rPr>
        <w:fldChar w:fldCharType="begin" w:fldLock="1"/>
      </w:r>
      <w:r>
        <w:rPr>
          <w:rFonts w:ascii="Cambria" w:hAnsi="Cambria"/>
        </w:rPr>
        <w:instrText>ADDIN CSL_CITATION { "citationItems" : [ { "id" : "ITEM-1", "itemData" : { "DOI" : "10.1104/pp.113.220657", "ISSN" : "0032-0889", "author" : [ { "dropping-particle" : "", "family" : "Nunes", "given" : "C. M.", "non-dropping-particle" : "", "parse-names" : false, "suffix" : "" }, { "dropping-particle" : "", "family" : "O'Hara", "given" : "L.", "non-dropping-particle" : "", "parse-names" : false, "suffix" : "" }, { "dropping-particle" : "", "family" : "Primavesi", "given" : "L.", "non-dropping-particle" : "", "parse-names" : false, "suffix" : "" }, { "dropping-particle" : "", "family" : "Delatte", "given" : "T.", "non-dropping-particle" : "", "parse-names" : false, "suffix" : "" }, { "dropping-particle" : "", "family" : "Schluepmann", "given" : "H.", "non-dropping-particle" : "", "parse-names" : false, "suffix" : "" }, { "dropping-particle" : "", "family" : "Somsen", "given" : "G.", "non-dropping-particle" : "", "parse-names" : false, "suffix" : "" }, { "dropping-particle" : "", "family" : "Silva", "given" : "a.", "non-dropping-particle" : "", "parse-names" : false, "suffix" : "" }, { "dropping-particle" : "", "family" : "Fevereiro", "given" : "P.", "non-dropping-particle" : "", "parse-names" : false, "suffix" : "" }, { "dropping-particle" : "", "family" : "Wingler", "given" : "a.", "non-dropping-particle" : "", "parse-names" : false, "suffix" : "" }, { "dropping-particle" : "", "family" : "Paul", "given" : "M. J.", "non-dropping-particle" : "", "parse-names" : false, "suffix" : "" } ], "container-title" : "Plant Physiology", "id" : "ITEM-1", "issue" : "July", "issued" : { "date-parts" : [ [ "2013", "6", "4" ] ] }, "page" : "1720-1732", "title" : "The trehalose 6-phosphate/ SnRK1 signalling pathway primes growth recovery following relief of sink limitation", "type" : "article-journal", "volume" : "162" }, "uris" : [ "http://www.mendeley.com/documents/?uuid=1036c620-f2a6-40da-aaac-160498700065" ] }, { "id" : "ITEM-2", "itemData" : { "DOI" : "10.1016/j.agrformet.2003.09.002", "ISSN" : "01681923", "author" : [ { "dropping-particle" : "", "family" : "Ainsworth", "given" : "Elizabeth A", "non-dropping-particle" : "", "parse-names" : false, "suffix" : "" }, { "dropping-particle" : "", "family" : "Rogers", "given" : "Alistair", "non-dropping-particle" : "", "parse-names" : false, "suffix" : "" }, { "dropping-particle" : "", "family" : "Nelson", "given" : "Randall", "non-dropping-particle" : "", "parse-names" : false, "suffix" : "" }, { "dropping-particle" : "", "family" : "Long", "given" : "Stephen P", "non-dropping-particle" : "", "parse-names" : false, "suffix" : "" } ], "container-title" : "Agricultural and Forest Meteorology", "id" : "ITEM-2", "issue" : "1-2", "issued" : { "date-parts" : [ [ "2004", "3" ] ] }, "page" : "85-94", "title" : "Testing the \u201csource\u2013sink\u201d hypothesis of down-regulation of photosynthesis in elevated [CO2] in the field with single gene substitutions in Glycine max", "type" : "article-journal", "volume" : "122" }, "uris" : [ "http://www.mendeley.com/documents/?uuid=212ed654-d1ec-47e4-9a05-b5a118151413" ] }, { "id" : "ITEM-3", "itemData" : { "ISSN" : "0261-4189", "PMID" : "1373373", "abstract" : "Transgenic potato plants were created in which the expression of ADP-glucose pyrophosphorylase (AGPase) was inhibited by introducing a chimeric gene containing the coding region of one of the subunits of the AGPase linked in an antisense orientation to the CaMV 35S promoter. Partial inhibition of the AGPase enzyme was achieved in leaves and almost complete inhibition in tubers. This resulted in the abolition of starch formation in tubers, thus proving that AGPase has a unique role in starch biosynthesis in plants. Instead up to 30% of the dry weight of the transgenic potato tubers was represented by sucrose and up to 8% by glucose. The process of tuber formation also changed, resulting in significantly more tubers both per plant and per stolon. The accumulation of soluble sugars in tubers of antisense plants resulted in a significant increase of the total tuber fresh weight, but a decrease in dry weight of tubers. There was no significant change in the RNA levels of several other starch biosynthetic enzymes, but there was a great increase in the RNA level of the major sucrose synthesizing enzyme sucrose phosphate synthase. In addition, the inhibition of starch biosynthesis was accompanied by a massive reduction in the expression of the major storage protein species of potato tubers, supporting the idea that the expression of storage protein genes is in some way connected to carbohydrate formation in sink storage tissues.", "author" : [ { "dropping-particle" : "", "family" : "M\u00fcller-R\u00f6ber", "given" : "B", "non-dropping-particle" : "", "parse-names" : false, "suffix" : "" }, { "dropping-particle" : "", "family" : "Sonnewald", "given" : "U", "non-dropping-particle" : "", "parse-names" : false, "suffix" : "" }, { "dropping-particle" : "", "family" : "Willmitzer", "given" : "L", "non-dropping-particle" : "", "parse-names" : false, "suffix" : "" } ], "container-title" : "The EMBO Journal", "id" : "ITEM-3", "issue" : "4", "issued" : { "date-parts" : [ [ "1992", "4" ] ] }, "page" : "1229-38", "title" : "Inhibition of the ADP-glucose pyrophosphorylase in transgenic potatoes leads to sugar-storing tubers and influences tuber formation and expression of tuber storage protein genes.", "type" : "article-journal", "volume" : "11" }, "uris" : [ "http://www.mendeley.com/documents/?uuid=a2380847-18e9-4ec8-8f56-0c8f0a48bd18" ] }, { "id" : "ITEM-4", "itemData" : { "DOI" : "10.1111/j.1399-3054.2011.01495.x", "ISSN" : "1399-3054", "PMID" : "21679192", "abstract" : "To investigate whether the route from sucrose to starch limits sink strength of potato tubers, we established an additional storage carbohydrate pool and analyzed allocation of imported assimilates to the different pools. Tuber specific expression of the fructan biosynthetic enzymes of globe artichoke resulted in accumulation of fructans to about 5% of the starch level, but did not increase tuber dry weight per plant. While partial repression of starch synthesis caused yield reduction in wild-type plants, it stimulated fructan accumulation, and yield losses were ameliorated in tubers expressing fructosyltransferases. However, a nearly complete block of the starch pathway by inhibition of sucrose synthase could not be compensated by the fructan pathway. Although fructan concentrations rose, yield reduction was even enhanced, probably because of a futile cycle of fructan synthesis and degradation by invertase, which is induced when sucrose synthase is knocked out. The data do not support a limitation of sink strength by enzyme activities of the starch pathway but point to an energy limitation of storage carbohydrate formation in potato tubers.", "author" : [ { "dropping-particle" : "", "family" : "Zuther", "given" : "Ellen", "non-dropping-particle" : "", "parse-names" : false, "suffix" : "" }, { "dropping-particle" : "", "family" : "Hoermiller", "given" : "Imke I", "non-dropping-particle" : "", "parse-names" : false, "suffix" : "" }, { "dropping-particle" : "", "family" : "Heyer", "given" : "Arnd G", "non-dropping-particle" : "", "parse-names" : false, "suffix" : "" } ], "container-title" : "Physiologia Plantarum", "id" : "ITEM-4", "issue" : "2", "issued" : { "date-parts" : [ [ "2011", "10" ] ] }, "page" : "115-25", "title" : "Evidence against sink limitation by the sucrose-to-starch route in potato plants expressing fructosyltransferases.", "type" : "article-journal", "volume" : "143" }, "uris" : [ "http://www.mendeley.com/documents/?uuid=409c5986-2364-4e1e-8830-5458196a73a3" ] }, { "id" : "ITEM-5", "itemData" : { "DOI" : "10.1104/pp.109.150854", "ISSN" : "1532-2548", "PMID" : "20018590", "abstract" : "Increasing grain sink strength by improving assimilate uptake capacity could be a promising approach toward getting higher yield. The barley (Hordeum vulgare) sucrose transporter HvSUT1 (SUT) was expressed under control of the endosperm-specific Hordein B1 promoter (HO). Compared with the wild type, transgenic HOSUT grains take up more sucrose (Suc) in vitro, showing that the transgene is functional. Grain Suc levels are not altered, indicating that Suc fluxes are influenced rather than steady-state levels. HOSUT grains have increased percentages of total nitrogen and prolamins, which is reflected in increased levels of phenylalanine, tyrosine, tryptophan, isoleucine, and leucine at late grain development. Transcript profiling indicates specific stimulation of prolamin gene expression at the onset of storage phase. Changes in gene expression and metabolite levels related to carbon metabolism and amino acid biosynthesis suggest deregulated carbon-nitrogen balance, which together indicate carbon sufficiency and relative depletion of nitrogen. Genes, deregulated together with prolamin genes, might represent candidates, which respond positively to assimilate supply and are related to sugar-starch metabolism, cytokinin and brassinosteroid functions, cell proliferation, and sugar/abscisic acid signaling. Genes showing inverse expression patterns represent potential negative regulators. It is concluded that HvSUT1 overexpression increases grain protein content but also deregulates the metabolic status of wheat (Triticum aestivum) grains, accompanied by up-regulated gene expression of positive and negative regulators related to sugar signaling and assimilate supply. In HOSUT grains, alternating stimulation of positive and negative regulators causes oscillatory patterns of gene expression and highlights the capacity and great flexibility to adjust wheat grain storage metabolism in response to metabolic alterations.", "author" : [ { "dropping-particle" : "", "family" : "Weichert", "given" : "Nicola", "non-dropping-particle" : "", "parse-names" : false, "suffix" : "" }, { "dropping-particle" : "", "family" : "Saalbach", "given" : "Isolde", "non-dropping-particle" : "", "parse-names" : false, "suffix" : "" }, { "dropping-particle" : "", "family" : "Weichert", "given" : "Heiko", "non-dropping-particle" : "", "parse-names" : false, "suffix" : "" }, { "dropping-particle" : "", "family" : "Kohl", "given" : "Stefan", "non-dropping-particle" : "", "parse-names" : false, "suffix" : "" }, { "dropping-particle" : "", "family" : "Erban", "given" : "Alexander", "non-dropping-particle" : "", "parse-names" : false, "suffix" : "" }, { "dropping-particle" : "", "family" : "Kopka", "given" : "Joachim", "non-dropping-particle" : "", "parse-names" : false, "suffix" : "" }, { "dropping-particle" : "", "family" : "Hause", "given" : "Bettina", "non-dropping-particle" : "", "parse-names" : false, "suffix" : "" }, { "dropping-particle" : "", "family" : "Varshney", "given" : "Alok", "non-dropping-particle" : "", "parse-names" : false, "suffix" : "" }, { "dropping-particle" : "", "family" : "Sreenivasulu", "given" : "Nese", "non-dropping-particle" : "", "parse-names" : false, "suffix" : "" }, { "dropping-particle" : "", "family" : "Strickert", "given" : "Marc", "non-dropping-particle" : "", "parse-names" : false, "suffix" : "" }, { "dropping-particle" : "", "family" : "Kumlehn", "given" : "Jochen", "non-dropping-particle" : "", "parse-names" : false, "suffix" : "" }, { "dropping-particle" : "", "family" : "Weschke", "given" : "Winfriede", "non-dropping-particle" : "", "parse-names" : false, "suffix" : "" }, { "dropping-particle" : "", "family" : "Weber", "given" : "Hans", "non-dropping-particle" : "", "parse-names" : false, "suffix" : "" } ], "container-title" : "Plant Physiology", "id" : "ITEM-5", "issue" : "2", "issued" : { "date-parts" : [ [ "2010", "2" ] ] }, "page" : "698-710", "title" : "Increasing sucrose uptake capacity of wheat grains stimulates storage protein synthesis.", "type" : "article-journal", "volume" : "152" }, "uris" : [ "http://www.mendeley.com/documents/?uuid=262e0da9-5b42-4bd6-a5ff-3139d8f974ea" ] } ], "mendeley" : { "formattedCitation" : "(M\u00fcller-R\u00f6ber &lt;i&gt;et al.&lt;/i&gt;, 1992; Ainsworth &lt;i&gt;et al.&lt;/i&gt;, 2004; Weichert &lt;i&gt;et al.&lt;/i&gt;, 2010; Zuther &lt;i&gt;et al.&lt;/i&gt;, 2011; Nunes &lt;i&gt;et al.&lt;/i&gt;, 2013)", "plainTextFormattedCitation" : "(M\u00fcller-R\u00f6ber et al., 1992; Ainsworth et al., 2004; Weichert et al., 2010; Zuther et al., 2011; Nunes et al., 2013)", "previouslyFormattedCitation" : "(M\u00fcller-R\u00f6ber &lt;i&gt;et al.&lt;/i&gt;, 1992; Ainsworth &lt;i&gt;et al.&lt;/i&gt;, 2004; Weichert &lt;i&gt;et al.&lt;/i&gt;, 2010; Zuther &lt;i&gt;et al.&lt;/i&gt;, 2011; Nunes &lt;i&gt;et al.&lt;/i&gt;, 2013)"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(Müller-Röber </w:t>
      </w:r>
      <w:r w:rsidRPr="002C5907">
        <w:rPr>
          <w:rFonts w:ascii="Cambria" w:hAnsi="Cambria"/>
          <w:i/>
          <w:noProof/>
        </w:rPr>
        <w:t>et al.</w:t>
      </w:r>
      <w:r w:rsidRPr="002C5907">
        <w:rPr>
          <w:rFonts w:ascii="Cambria" w:hAnsi="Cambria"/>
          <w:noProof/>
        </w:rPr>
        <w:t xml:space="preserve">, 1992; Ainsworth </w:t>
      </w:r>
      <w:r w:rsidRPr="002C5907">
        <w:rPr>
          <w:rFonts w:ascii="Cambria" w:hAnsi="Cambria"/>
          <w:i/>
          <w:noProof/>
        </w:rPr>
        <w:t>et al.</w:t>
      </w:r>
      <w:r w:rsidRPr="002C5907">
        <w:rPr>
          <w:rFonts w:ascii="Cambria" w:hAnsi="Cambria"/>
          <w:noProof/>
        </w:rPr>
        <w:t xml:space="preserve">, 2004; Weichert </w:t>
      </w:r>
      <w:r w:rsidRPr="002C5907">
        <w:rPr>
          <w:rFonts w:ascii="Cambria" w:hAnsi="Cambria"/>
          <w:i/>
          <w:noProof/>
        </w:rPr>
        <w:t>et al.</w:t>
      </w:r>
      <w:r w:rsidRPr="002C5907">
        <w:rPr>
          <w:rFonts w:ascii="Cambria" w:hAnsi="Cambria"/>
          <w:noProof/>
        </w:rPr>
        <w:t xml:space="preserve">, 2010; Zuther </w:t>
      </w:r>
      <w:r w:rsidRPr="002C5907">
        <w:rPr>
          <w:rFonts w:ascii="Cambria" w:hAnsi="Cambria"/>
          <w:i/>
          <w:noProof/>
        </w:rPr>
        <w:t>et al.</w:t>
      </w:r>
      <w:r w:rsidRPr="002C5907">
        <w:rPr>
          <w:rFonts w:ascii="Cambria" w:hAnsi="Cambria"/>
          <w:noProof/>
        </w:rPr>
        <w:t xml:space="preserve">, 2011; Nunes </w:t>
      </w:r>
      <w:r w:rsidRPr="002C5907">
        <w:rPr>
          <w:rFonts w:ascii="Cambria" w:hAnsi="Cambria"/>
          <w:i/>
          <w:noProof/>
        </w:rPr>
        <w:t>et al.</w:t>
      </w:r>
      <w:r w:rsidRPr="002C5907">
        <w:rPr>
          <w:rFonts w:ascii="Cambria" w:hAnsi="Cambria"/>
          <w:noProof/>
        </w:rPr>
        <w:t>, 2013)</w:t>
      </w:r>
      <w:r w:rsidRPr="00531789">
        <w:rPr>
          <w:rFonts w:ascii="Cambria" w:hAnsi="Cambria"/>
        </w:rPr>
        <w:fldChar w:fldCharType="end"/>
      </w:r>
      <w:r w:rsidRPr="00531789">
        <w:rPr>
          <w:rFonts w:ascii="Cambria" w:hAnsi="Cambria"/>
        </w:rPr>
        <w:t xml:space="preserve">, and increased substrate availability </w:t>
      </w:r>
      <w:r w:rsidRPr="00531789">
        <w:rPr>
          <w:rFonts w:ascii="Cambria" w:hAnsi="Cambria"/>
        </w:rPr>
        <w:fldChar w:fldCharType="begin" w:fldLock="1"/>
      </w:r>
      <w:r>
        <w:rPr>
          <w:rFonts w:ascii="Cambria" w:hAnsi="Cambria"/>
        </w:rPr>
        <w:instrText>ADDIN CSL_CITATION { "citationItems" : [ { "id" : "ITEM-1", "itemData" : { "DOI" : "10.1046/j.1365-3040.1997.d01-21.x", "ISSN" : "0140-7791", "author" : [ { "dropping-particle" : "", "family" : "Kinsman", "given" : "E. A.", "non-dropping-particle" : "", "parse-names" : false, "suffix" : "" }, { "dropping-particle" : "", "family" : "Lewis", "given" : "C.", "non-dropping-particle" : "", "parse-names" : false, "suffix" : "" }, { "dropping-particle" : "", "family" : "Davies", "given" : "M. S.", "non-dropping-particle" : "", "parse-names" : false, "suffix" : "" }, { "dropping-particle" : "", "family" : "Young", "given" : "J. E.", "non-dropping-particle" : "", "parse-names" : false, "suffix" : "" }, { "dropping-particle" : "", "family" : "Francis", "given" : "D.", "non-dropping-particle" : "", "parse-names" : false, "suffix" : "" }, { "dropping-particle" : "", "family" : "Vilhar", "given" : "B.", "non-dropping-particle" : "", "parse-names" : false, "suffix" : "" }, { "dropping-particle" : "", "family" : "Ougham", "given" : "H.J.", "non-dropping-particle" : "", "parse-names" : false, "suffix" : "" } ], "container-title" : "Plant, Cell &amp; Environment", "id" : "ITEM-1", "issue" : "10", "issued" : { "date-parts" : [ [ "1997", "10" ] ] }, "page" : "1309-1316", "title" : "Elevated CO2 stimulates cells to divide in grass meristems: a differential effect in two natural populations of Dactylis glomerata", "type" : "article-journal", "volume" : "20" }, "uris" : [ "http://www.mendeley.com/documents/?uuid=a6db634d-23db-4625-8ef0-1633c08c4961" ] }, { "id" : "ITEM-2", "itemData" : { "ISSN" : "0032-0889", "PMID" : "10759536", "abstract" : "This study demonstrates that elevated [CO(2)] has profound effects on cell division and expansion in developing wheat (Triticum aestivum L.) leaves and on the quantitative integration of these processes in whole-leaf growth kinetics, anatomy, and carbon content. The expression of these effects, however, is modified by intrinsic factors related to genetic makeup and leaf position, and also by exposure to low vernalizing temperatures at germination. Beyond these interactions, leaf developmental responses to elevated [CO(2)] in wheat share several remarkable features that were conserved across all leaves examined. Most significantly: (a) the contribution of [CO(2)] effects on meristem size and activity in driving differences in whole-blade growth kinetics and final dimensions; (b) an anisotropy in cellular growth responses to elevated [CO(2)], with final cell length and expansion in the paradermal plane being highly conserved, even when the rates and duration of cell elongation were modified, while cell cross-sectional areas were increased; (c) tissue-specific effects of elevated [CO(2)], with significant modifications of mesophyll anatomy, including an increased extension of intercellular air spaces and the formation of, on average, one extra cell layer, while epidermal anatomy was mostly unaltered. Our results indicate complex developmental regulations of sugar effects in expanding leaves that are subjected to genetic variation and influenced by environmental cues important in the promotion of floral initiation. They also provide insights into apparently contradictory and inconsistent conclusions of published CO(2) enrichment studies in wheat.", "author" : [ { "dropping-particle" : "", "family" : "Masle", "given" : "J", "non-dropping-particle" : "", "parse-names" : false, "suffix" : "" } ], "container-title" : "Plant Physiology", "id" : "ITEM-2", "issue" : "4", "issued" : { "date-parts" : [ [ "2000", "4" ] ] }, "page" : "1399-415", "title" : "The effects of elevated CO2 concentrations on cell division rates, growth patterns, and blade anatomy in young wheat plants are modulated by factors related to leaf position, vernalization, and genotype.", "type" : "article-journal", "volume" : "122" }, "uris" : [ "http://www.mendeley.com/documents/?uuid=f4b87b7f-8e83-4245-a692-33081698588e" ] }, { "id" : "ITEM-3", "itemData" : { "ISSN" : "1532-2548", "PMID" : "9765543", "abstract" : "Long-term exposure of plants to elevated partial pressures of CO2 (pCO2) often depresses photosynthetic capacity. The mechanistic basis for this photosynthetic acclimation may involve accumulation of carbohydrate and may be promoted by nutrient limitation. However, our current knowledge is inadequate for making reliable predictions concerning the onset and extent of acclimation. Many studies have sought to investigate the effects of N supply but the methodologies used generally do not allow separation of the direct effects of limited N availability from those caused by a N dilution effect due to accelerated growth at elevated pCO2. To dissociate these interactions, wheat (Triticum aestivum L.) was grown hydroponically and N was added in direct proportion to plant growth. Photosynthesis did not acclimate to elevated pCO2 even when growth was restricted by a low-N relative addition rate. Ribulose-1, 5-bisphosphate carboxylase/oxygenase activity and quantity were maintained, there was no evidence for triose phosphate limitation of photosynthesis, and tissue N content remained within the range recorded for healthy wheat plants. In contrast, wheat grown in sand culture with N supplied at a fixed concentration suffered photosynthetic acclimation at elevated pCO2 in a low-N treatment. This was accompanied by a significant reduction in the quantity of active ribulose-1, 5-bisphosphate carboxylase/oxygenase and leaf N content.", "author" : [ { "dropping-particle" : "", "family" : "Farage", "given" : "PK", "non-dropping-particle" : "", "parse-names" : false, "suffix" : "" }, { "dropping-particle" : "", "family" : "McKee", "given" : "IF", "non-dropping-particle" : "", "parse-names" : false, "suffix" : "" }, { "dropping-particle" : "", "family" : "Long", "given" : "SP", "non-dropping-particle" : "", "parse-names" : false, "suffix" : "" } ], "container-title" : "Plant Physiology", "id" : "ITEM-3", "issue" : "2", "issued" : { "date-parts" : [ [ "1998", "10" ] ] }, "page" : "573-80", "title" : "Does a low nitrogen supply necessarily lead to acclimation of photosynthesis to elevated CO2?", "type" : "article-journal", "volume" : "118" }, "uris" : [ "http://www.mendeley.com/documents/?uuid=e71bdee4-0f0f-485a-ac61-5673528705bd" ] }, { "id" : "ITEM-4", "itemData" : { "DOI" : "10.1007/BF00566971", "ISSN" : "0029-8549", "author" : [ { "dropping-particle" : "", "family" : "McConnaughay", "given" : "K. D. M.", "non-dropping-particle" : "", "parse-names" : false, "suffix" : "" }, { "dropping-particle" : "", "family" : "Berntson", "given" : "G. M.", "non-dropping-particle" : "", "parse-names" : false, "suffix" : "" }, { "dropping-particle" : "", "family" : "Bazzaz", "given" : "F. A.", "non-dropping-particle" : "", "parse-names" : false, "suffix" : "" } ], "container-title" : "Oecologia", "id" : "ITEM-4", "issue" : "4", "issued" : { "date-parts" : [ [ "1993", "7" ] ] }, "note" : "Need to read properly!", "page" : "550-557", "title" : "Limitations to CO2-induced growth enhancement in pot studies", "type" : "article-journal", "volume" : "94" }, "uris" : [ "http://www.mendeley.com/documents/?uuid=e2836029-3e9b-4005-a8d1-9243d5886f96" ] }, { "id" : "ITEM-5", "itemData" : { "DOI" : "10.1139/cjb-76-5-829", "ISSN" : "14803305", "author" : [ { "dropping-particle" : "", "family" : "Reekie", "given" : "Edward G.", "non-dropping-particle" : "", "parse-names" : false, "suffix" : "" }, { "dropping-particle" : "", "family" : "MacDougall", "given" : "Glenn", "non-dropping-particle" : "", "parse-names" : false, "suffix" : "" }, { "dropping-particle" : "", "family" : "Wong", "given" : "Ivan", "non-dropping-particle" : "", "parse-names" : false, "suffix" : "" }, { "dropping-particle" : "", "family" : "Hicklenton", "given" : "Peter R.", "non-dropping-particle" : "", "parse-names" : false, "suffix" : "" } ], "container-title" : "Canadian Journal of Botany", "id" : "ITEM-5", "issue" : "5", "issued" : { "date-parts" : [ [ "1998" ] ] }, "page" : "829-835", "title" : "Effect of sink size on growth response to elevated atmospheric CO&lt;sub&gt;2&lt;/sub&gt; within the genus &lt;i&gt;Brassica&lt;/i&gt;", "type" : "article-journal", "volume" : "76" }, "uris" : [ "http://www.mendeley.com/documents/?uuid=50b9e472-b8ed-4053-a6f8-f7d712f6c1b9" ] }, { "id" : "ITEM-6", "itemData" : { "DOI" : "10.1093/jxb/ert081", "ISSN" : "1460-2431", "PMID" : "23564953", "abstract" : "The expansion of the world's population requires the development of high production agriculture. For this purpose, it is essential to identify target points conditioning crop responsiveness to predicted [CO2]. The aim of this study was to determine the relevance of ear sink strength in leaf protein and metabolomic profiles and its implications in photosynthetic activity and yield of durum wheat plants exposed to elevated [CO2]. For this purpose, a genotype with high harvest index (HI) (Triticum durum var. Sula) and another with low HI (Triticum durum var. Blanqueta) were exposed to elevated [CO2] (700 \u00b5mol mol(-1) versus 400 \u00b5mol mol(-1) CO2) in CO2 greenhouses. The obtained data highlighted that elevated [CO2] only increased plant growth in the genotype with the largest HI; Sula. Gas exchange analyses revealed that although exposure to 700 \u00b5mol mol(-1) depleted Rubisco content, Sula was capable of increasing the light-saturated rate of CO2 assimilation (Asat) whereas, in Blanqueta, the carbohydrate imbalance induced the down-regulation of Asat. The specific depletion of Rubisco in both genotypes under elevated [CO2], together with the enhancement of other proteins in the Calvin cycle, revealed that there was a redistribution of N from Rubisco towards RuBP regeneration. Moreover, the down-regulation of N, NO3 (-), amino acid, and organic acid content, together with the depletion of proteins involved in amino acid synthesis that was detected in Blanqueta grown at 700 \u00b5mol mol(-1) CO2, revealed that inhibition of N assimilation was involved in the carbohydrate imbalance and consequently with the down-regulation of photosynthesis and growth in these plants.", "author" : [ { "dropping-particle" : "", "family" : "Aranjuelo", "given" : "Iker", "non-dropping-particle" : "", "parse-names" : false, "suffix" : "" }, { "dropping-particle" : "", "family" : "Sanz-S\u00e1ez", "given" : "Alvaro", "non-dropping-particle" : "", "parse-names" : false, "suffix" : "" }, { "dropping-particle" : "", "family" : "Jauregui", "given" : "Iv\u00e1n", "non-dropping-particle" : "", "parse-names" : false, "suffix" : "" }, { "dropping-particle" : "", "family" : "Irigoyen", "given" : "Juan J", "non-dropping-particle" : "", "parse-names" : false, "suffix" : "" }, { "dropping-particle" : "", "family" : "Araus", "given" : "Jos\u00e9 L", "non-dropping-particle" : "", "parse-names" : false, "suffix" : "" }, { "dropping-particle" : "", "family" : "S\u00e1nchez-D\u00edaz", "given" : "Manuel", "non-dropping-particle" : "", "parse-names" : false, "suffix" : "" }, { "dropping-particle" : "", "family" : "Erice", "given" : "Gorka", "non-dropping-particle" : "", "parse-names" : false, "suffix" : "" } ], "container-title" : "Journal of Experimental Botany", "id" : "ITEM-6", "issue" : "7", "issued" : { "date-parts" : [ [ "2013", "4", "5" ] ] }, "page" : "1879-1892", "title" : "Harvest index, a parameter conditioning responsiveness of wheat plants to elevated CO2.", "type" : "article-journal", "volume" : "64" }, "uris" : [ "http://www.mendeley.com/documents/?uuid=39990fbf-5a7c-4a03-9ab2-bb31aa67c806" ] } ], "mendeley" : { "formattedCitation" : "(McConnaughay &lt;i&gt;et al.&lt;/i&gt;, 1993; Kinsman &lt;i&gt;et al.&lt;/i&gt;, 1997; Reekie &lt;i&gt;et al.&lt;/i&gt;, 1998; Farage &lt;i&gt;et al.&lt;/i&gt;, 1998; Masle, 2000; Aranjuelo &lt;i&gt;et al.&lt;/i&gt;, 2013)", "plainTextFormattedCitation" : "(McConnaughay et al., 1993; Kinsman et al., 1997; Reekie et al., 1998; Farage et al., 1998; Masle, 2000; Aranjuelo et al., 2013)", "previouslyFormattedCitation" : "(McConnaughay &lt;i&gt;et al.&lt;/i&gt;, 1993; Kinsman &lt;i&gt;et al.&lt;/i&gt;, 1997; Reekie &lt;i&gt;et al.&lt;/i&gt;, 1998; Farage &lt;i&gt;et al.&lt;/i&gt;, 1998; Masle, 2000; Aranjuelo &lt;i&gt;et al.&lt;/i&gt;, 2013)"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(McConnaughay </w:t>
      </w:r>
      <w:r w:rsidRPr="002C5907">
        <w:rPr>
          <w:rFonts w:ascii="Cambria" w:hAnsi="Cambria"/>
          <w:i/>
          <w:noProof/>
        </w:rPr>
        <w:t>et al.</w:t>
      </w:r>
      <w:r w:rsidRPr="002C5907">
        <w:rPr>
          <w:rFonts w:ascii="Cambria" w:hAnsi="Cambria"/>
          <w:noProof/>
        </w:rPr>
        <w:t xml:space="preserve">, 1993; Kinsman </w:t>
      </w:r>
      <w:r w:rsidRPr="002C5907">
        <w:rPr>
          <w:rFonts w:ascii="Cambria" w:hAnsi="Cambria"/>
          <w:i/>
          <w:noProof/>
        </w:rPr>
        <w:t>et al.</w:t>
      </w:r>
      <w:r w:rsidRPr="002C5907">
        <w:rPr>
          <w:rFonts w:ascii="Cambria" w:hAnsi="Cambria"/>
          <w:noProof/>
        </w:rPr>
        <w:t xml:space="preserve">, 1997; Reekie </w:t>
      </w:r>
      <w:r w:rsidRPr="002C5907">
        <w:rPr>
          <w:rFonts w:ascii="Cambria" w:hAnsi="Cambria"/>
          <w:i/>
          <w:noProof/>
        </w:rPr>
        <w:t>et al.</w:t>
      </w:r>
      <w:r w:rsidRPr="002C5907">
        <w:rPr>
          <w:rFonts w:ascii="Cambria" w:hAnsi="Cambria"/>
          <w:noProof/>
        </w:rPr>
        <w:t xml:space="preserve">, 1998; Farage </w:t>
      </w:r>
      <w:r w:rsidRPr="002C5907">
        <w:rPr>
          <w:rFonts w:ascii="Cambria" w:hAnsi="Cambria"/>
          <w:i/>
          <w:noProof/>
        </w:rPr>
        <w:t>et al.</w:t>
      </w:r>
      <w:r w:rsidRPr="002C5907">
        <w:rPr>
          <w:rFonts w:ascii="Cambria" w:hAnsi="Cambria"/>
          <w:noProof/>
        </w:rPr>
        <w:t xml:space="preserve">, 1998; Masle, 2000; Aranjuelo </w:t>
      </w:r>
      <w:r w:rsidRPr="002C5907">
        <w:rPr>
          <w:rFonts w:ascii="Cambria" w:hAnsi="Cambria"/>
          <w:i/>
          <w:noProof/>
        </w:rPr>
        <w:t>et al.</w:t>
      </w:r>
      <w:r w:rsidRPr="002C5907">
        <w:rPr>
          <w:rFonts w:ascii="Cambria" w:hAnsi="Cambria"/>
          <w:noProof/>
        </w:rPr>
        <w:t>, 2013)</w:t>
      </w:r>
      <w:r w:rsidRPr="00531789">
        <w:rPr>
          <w:rFonts w:ascii="Cambria" w:hAnsi="Cambria"/>
        </w:rPr>
        <w:fldChar w:fldCharType="end"/>
      </w:r>
      <w:r w:rsidRPr="00531789">
        <w:rPr>
          <w:rFonts w:ascii="Cambria" w:hAnsi="Cambria"/>
        </w:rPr>
        <w:t xml:space="preserve">.  </w:t>
      </w:r>
    </w:p>
    <w:p w14:paraId="4D0D9D8B" w14:textId="77777777" w:rsidR="00DF4522" w:rsidRPr="00531789" w:rsidRDefault="00DF4522" w:rsidP="00DF4522">
      <w:pPr>
        <w:spacing w:line="360" w:lineRule="auto"/>
        <w:jc w:val="both"/>
        <w:rPr>
          <w:rFonts w:ascii="Cambria" w:hAnsi="Cambria"/>
        </w:rPr>
      </w:pPr>
    </w:p>
    <w:p w14:paraId="1E61BF34" w14:textId="7D05B602" w:rsidR="00DF4522" w:rsidRPr="00531789" w:rsidRDefault="00DF4522" w:rsidP="00DF4522">
      <w:pPr>
        <w:spacing w:line="360" w:lineRule="auto"/>
        <w:jc w:val="both"/>
        <w:rPr>
          <w:rFonts w:ascii="Cambria" w:hAnsi="Cambria"/>
        </w:rPr>
      </w:pPr>
      <w:r w:rsidRPr="00531789">
        <w:rPr>
          <w:rFonts w:ascii="Cambria" w:hAnsi="Cambria"/>
        </w:rPr>
        <w:t xml:space="preserve">Applying source and sink manipulations at different times during development will be important for understanding ontogenetic patterns in the factors that limit growth </w:t>
      </w:r>
      <w:r w:rsidRPr="00531789">
        <w:rPr>
          <w:rFonts w:ascii="Cambria" w:hAnsi="Cambria"/>
        </w:rPr>
        <w:fldChar w:fldCharType="begin" w:fldLock="1"/>
      </w:r>
      <w:r w:rsidR="009133B6">
        <w:rPr>
          <w:rFonts w:ascii="Cambria" w:hAnsi="Cambria"/>
        </w:rPr>
        <w:instrText>ADDIN CSL_CITATION { "citationItems" : [ { "id" : "ITEM-1", "itemData" : { "DOI" : "10.1093/jxb/erv447", "ISSN" : "0022-0957", "author" : [ { "dropping-particle" : "", "family" : "White",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"Journal of Experimental Botany", "id" : "ITEM-1", "issue" : "1", "issued" : { "date-parts" : [ [ "2016" ] ] }, "page" : "31-45", "title" : "How can we make plants grow faster? A source\u2013sink perspective on growth rate", "type" : "article-journal", "volume" : "67" }, "uris" : [ "http://www.mendeley.com/documents/?uuid=071fcd57-e076-410e-903a-444abfb30785" ] } ], "mendeley" : { "formattedCitation" : "(White &lt;i&gt;et al.&lt;/i&gt;, 2016)", "manualFormatting" : "(White et al., 2016)", "plainTextFormattedCitation" : "(White et al., 2016)", "previouslyFormattedCitation" : "(White &lt;i&gt;et al.&lt;/i&gt;, 2016)" }, "properties" : { "noteIndex" : 0 }, "schema" : "https://github.com/citation-style-language/schema/raw/master/csl-citation.json" }</w:instrText>
      </w:r>
      <w:r w:rsidRPr="00531789">
        <w:rPr>
          <w:rFonts w:ascii="Cambria" w:hAnsi="Cambria"/>
        </w:rPr>
        <w:fldChar w:fldCharType="separate"/>
      </w:r>
      <w:r w:rsidRPr="00796CB6">
        <w:rPr>
          <w:rFonts w:ascii="Cambria" w:hAnsi="Cambria"/>
          <w:noProof/>
        </w:rPr>
        <w:t xml:space="preserve">(White </w:t>
      </w:r>
      <w:r w:rsidRPr="00796CB6">
        <w:rPr>
          <w:rFonts w:ascii="Cambria" w:hAnsi="Cambria"/>
          <w:i/>
          <w:noProof/>
        </w:rPr>
        <w:t>et al.</w:t>
      </w:r>
      <w:r w:rsidRPr="00796CB6">
        <w:rPr>
          <w:rFonts w:ascii="Cambria" w:hAnsi="Cambria"/>
          <w:noProof/>
        </w:rPr>
        <w:t xml:space="preserve">, </w:t>
      </w:r>
      <w:r w:rsidR="000055CC">
        <w:rPr>
          <w:rFonts w:ascii="Cambria" w:hAnsi="Cambria"/>
          <w:noProof/>
        </w:rPr>
        <w:t>2016</w:t>
      </w:r>
      <w:r w:rsidRPr="00796CB6">
        <w:rPr>
          <w:rFonts w:ascii="Cambria" w:hAnsi="Cambria"/>
          <w:noProof/>
        </w:rPr>
        <w:t>)</w:t>
      </w:r>
      <w:r w:rsidRPr="00531789">
        <w:rPr>
          <w:rFonts w:ascii="Cambria" w:hAnsi="Cambria"/>
        </w:rPr>
        <w:fldChar w:fldCharType="end"/>
      </w:r>
      <w:r w:rsidRPr="00531789">
        <w:rPr>
          <w:rFonts w:ascii="Cambria" w:hAnsi="Cambria"/>
        </w:rPr>
        <w:t xml:space="preserve">.  Many plants undergo a shift from being primarily sink limited to primarily source limited during the course of development </w:t>
      </w:r>
      <w:r w:rsidRPr="00531789">
        <w:rPr>
          <w:rFonts w:ascii="Cambria" w:hAnsi="Cambria"/>
        </w:rPr>
        <w:fldChar w:fldCharType="begin" w:fldLock="1"/>
      </w:r>
      <w:r w:rsidRPr="00531789">
        <w:rPr>
          <w:rFonts w:ascii="Cambria" w:hAnsi="Cambria"/>
        </w:rPr>
        <w:instrText>ADDIN CSL_CITATION { "citationItems" : [ { "id" : "ITEM-1", "itemData" : { "ISBN" : "0-12-473543-6", "author" : [ { "dropping-particle" : "", "family" : "Marschner", "given" : "Horst", "non-dropping-particle" : "", "parse-names" : false, "suffix" : "" } ], "edition" : "2nd", "editor" : [ { "dropping-particle" : "", "family" : "Marschner", "given" : "P", "non-dropping-particle" : "", "parse-names" : false, "suffix" : "" } ], "id" : "ITEM-1", "issued" : { "date-parts" : [ [ "1995" ] ] }, "publisher" : "Academic Press", "publisher-place" : "London", "title" : "Mineral Nutrition of Higher Plants", "type" : "book" }, "uris" : [ "http://www.mendeley.com/documents/?uuid=4da83903-c379-4e79-8410-79eaf9305b73" ] }, { "id" : "ITEM-2", "itemData" : { "author" : [ { "dropping-particle" : "", "family" : "Arp", "given" : "W J", "non-dropping-particle" : "", "parse-names" : false, "suffix" : "" } ], "container-title" : "Plant, Cell &amp; Environment", "id" : "ITEM-2", "issued" : { "date-parts" : [ [ "1991" ] ] }, "page" : "869-875", "title" : "Effects of source-sink relations on photosynthetic acclimation to elevated CO2", "type" : "article-journal", "volume" : "14" }, "uris" : [ "http://www.mendeley.com/documents/?uuid=bb80a4ae-185e-48b5-858d-08efd177107a" ] } ], "mendeley" : { "formattedCitation" : "(Arp, 1991; Marschner, 1995)", "plainTextFormattedCitation" : "(Arp, 1991; Marschner, 1995)", "previouslyFormattedCitation" : "(Arp, 1991; Marschner, 1995)"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(Arp, 1991; Marschner, 1995)</w:t>
      </w:r>
      <w:r w:rsidRPr="00531789">
        <w:rPr>
          <w:rFonts w:ascii="Cambria" w:hAnsi="Cambria"/>
        </w:rPr>
        <w:fldChar w:fldCharType="end"/>
      </w:r>
      <w:r w:rsidRPr="00531789">
        <w:rPr>
          <w:rFonts w:ascii="Cambria" w:hAnsi="Cambria"/>
        </w:rPr>
        <w:t xml:space="preserve">.  This is because earlier in growth, plants do not have a strong sink capacity to store resources, while later in growth, plants have developed storage organs and will be primarily limited by the capacity of the source to acquire resources.  The transition from sink to source limitation often occurs at the onset of reproductive growth </w:t>
      </w:r>
      <w:r w:rsidRPr="00531789">
        <w:rPr>
          <w:rFonts w:ascii="Cambria" w:hAnsi="Cambria"/>
        </w:rPr>
        <w:fldChar w:fldCharType="begin" w:fldLock="1"/>
      </w:r>
      <w:r w:rsidRPr="00531789">
        <w:rPr>
          <w:rFonts w:ascii="Cambria" w:hAnsi="Cambria"/>
        </w:rPr>
        <w:instrText>ADDIN CSL_CITATION { "citationItems" : [ { "id" : "ITEM-1", "itemData" : { "author" : [ { "dropping-particle" : "", "family" : "Arp", "given" : "W J", "non-dropping-particle" : "", "parse-names" : false, "suffix" : "" } ], "container-title" : "Plant, Cell &amp; Environment", "id" : "ITEM-1", "issued" : { "date-parts" : [ [ "1991" ] ] }, "page" : "869-875", "title" : "Effects of source-sink relations on photosynthetic acclimation to elevated CO2", "type" : "article-journal", "volume" : "14" }, "uris" : [ "http://www.mendeley.com/documents/?uuid=bb80a4ae-185e-48b5-858d-08efd177107a" ] } ], "mendeley" : { "formattedCitation" : "(Arp, 1991)", "plainTextFormattedCitation" : "(Arp, 1991)", "previouslyFormattedCitation" : "(Arp, 1991)"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(Arp, 1991)</w:t>
      </w:r>
      <w:r w:rsidRPr="00531789">
        <w:rPr>
          <w:rFonts w:ascii="Cambria" w:hAnsi="Cambria"/>
        </w:rPr>
        <w:fldChar w:fldCharType="end"/>
      </w:r>
      <w:r w:rsidRPr="00531789">
        <w:rPr>
          <w:rFonts w:ascii="Cambria" w:hAnsi="Cambria"/>
        </w:rPr>
        <w:t xml:space="preserve">, since reproductive organs such as cereal grains are major sinks for resources.  Here we hypothesised that this transition is not abrupt, but that plants show a trend of decreasing sink limitation and increasing source limitation during vegetative growth, as plants move through ontogeny towards reproduction and non-reproductive sink organs develop during vegetative growth.  We therefore expected that manipulating the </w:t>
      </w:r>
      <w:proofErr w:type="spellStart"/>
      <w:r w:rsidRPr="00531789">
        <w:rPr>
          <w:rFonts w:ascii="Cambria" w:hAnsi="Cambria"/>
        </w:rPr>
        <w:t>source:sink</w:t>
      </w:r>
      <w:proofErr w:type="spellEnd"/>
      <w:r w:rsidRPr="00531789">
        <w:rPr>
          <w:rFonts w:ascii="Cambria" w:hAnsi="Cambria"/>
        </w:rPr>
        <w:t xml:space="preserve"> ratio to increase the source relative to the sink would have greater effects later in development when the source is limiting, and that manipulating the </w:t>
      </w:r>
      <w:proofErr w:type="spellStart"/>
      <w:r w:rsidRPr="00531789">
        <w:rPr>
          <w:rFonts w:ascii="Cambria" w:hAnsi="Cambria"/>
        </w:rPr>
        <w:t>source:sink</w:t>
      </w:r>
      <w:proofErr w:type="spellEnd"/>
      <w:r w:rsidRPr="00531789">
        <w:rPr>
          <w:rFonts w:ascii="Cambria" w:hAnsi="Cambria"/>
        </w:rPr>
        <w:t xml:space="preserve"> ratio to decrease the source relative to the sink (and thus increasing the ratio of sink to source) would have greater effects earlier in development when the sink is limiting. </w:t>
      </w:r>
    </w:p>
    <w:p w14:paraId="26F10256" w14:textId="77777777" w:rsidR="00DF4522" w:rsidRPr="00531789" w:rsidRDefault="00DF4522" w:rsidP="00DF4522">
      <w:pPr>
        <w:spacing w:line="360" w:lineRule="auto"/>
        <w:jc w:val="both"/>
        <w:rPr>
          <w:rFonts w:ascii="Cambria" w:hAnsi="Cambria"/>
        </w:rPr>
      </w:pPr>
    </w:p>
    <w:p w14:paraId="06F36BEC" w14:textId="0D7E3991" w:rsidR="00DF4522" w:rsidRDefault="00DF4522" w:rsidP="00DF4522">
      <w:pPr>
        <w:spacing w:line="360" w:lineRule="auto"/>
        <w:jc w:val="both"/>
        <w:rPr>
          <w:rFonts w:ascii="Cambria" w:hAnsi="Cambria"/>
        </w:rPr>
      </w:pPr>
      <w:r w:rsidRPr="00531789">
        <w:rPr>
          <w:rFonts w:ascii="Cambria" w:hAnsi="Cambria"/>
        </w:rPr>
        <w:t xml:space="preserve">Treatments were imposed to manipulate the carbon </w:t>
      </w:r>
      <w:proofErr w:type="spellStart"/>
      <w:r w:rsidRPr="00531789">
        <w:rPr>
          <w:rFonts w:ascii="Cambria" w:hAnsi="Cambria"/>
        </w:rPr>
        <w:t>source:sink</w:t>
      </w:r>
      <w:proofErr w:type="spellEnd"/>
      <w:r w:rsidRPr="00531789">
        <w:rPr>
          <w:rFonts w:ascii="Cambria" w:hAnsi="Cambria"/>
        </w:rPr>
        <w:t xml:space="preserve"> ratio in annual barley (</w:t>
      </w:r>
      <w:proofErr w:type="spellStart"/>
      <w:r w:rsidRPr="00531789">
        <w:rPr>
          <w:rFonts w:ascii="Cambria" w:hAnsi="Cambria"/>
          <w:i/>
        </w:rPr>
        <w:t>Hordeum</w:t>
      </w:r>
      <w:proofErr w:type="spellEnd"/>
      <w:r w:rsidRPr="00531789">
        <w:rPr>
          <w:rFonts w:ascii="Cambria" w:hAnsi="Cambria"/>
          <w:i/>
        </w:rPr>
        <w:t xml:space="preserve"> </w:t>
      </w:r>
      <w:proofErr w:type="spellStart"/>
      <w:r w:rsidRPr="00531789">
        <w:rPr>
          <w:rFonts w:ascii="Cambria" w:hAnsi="Cambria"/>
          <w:i/>
        </w:rPr>
        <w:t>vulgare</w:t>
      </w:r>
      <w:proofErr w:type="spellEnd"/>
      <w:r w:rsidRPr="00531789">
        <w:rPr>
          <w:rFonts w:ascii="Cambria" w:hAnsi="Cambria"/>
        </w:rPr>
        <w:t xml:space="preserve"> cv. Optic).  Barley is the second most widely grown cereal crop in the UK and amongst the most widely grown crops globally</w:t>
      </w:r>
      <w:r>
        <w:rPr>
          <w:rFonts w:ascii="Cambria" w:hAnsi="Cambria"/>
        </w:rPr>
        <w:t xml:space="preserve">: in the 2013-14 growing season, 144 million metric tons of barley were produced worldwide, of which 60 million were produced in the European Union and the majority of the rest produced in the former Soviet Union, the Middle East, Canada and Australia </w:t>
      </w:r>
      <w:r>
        <w:rPr>
          <w:rFonts w:ascii="Cambria" w:hAnsi="Cambria"/>
        </w:rPr>
        <w:fldChar w:fldCharType="begin" w:fldLock="1"/>
      </w:r>
      <w:r w:rsidR="00D05EDB">
        <w:rPr>
          <w:rFonts w:ascii="Cambria" w:hAnsi="Cambria"/>
        </w:rPr>
        <w:instrText>ADDIN CSL_CITATION { "citationItems" : [ { "id" : "ITEM-1", "itemData" : { "URL" : "http://apps.fas.usda.gov/psdonline/circulars/production.pdf", "accessed" : { "date-parts" : [ [ "2016", "4", "19" ] ] }, "author" : [ { "dropping-particle" : "", "family" : "USDA-FAS", "given" : "", "non-dropping-particle" : "", "parse-names" : false, "suffix" : "" } ], "id" : "ITEM-1", "issued" : { "date-parts" : [ [ "2016" ] ] }, "title" : "World Agricultural Production", "type" : "webpage" }, "uris" : [ "http://www.mendeley.com/documents/?uuid=c7ad6a7e-4ca2-4cf1-8a1b-d095c3bc3805" ] } ], "mendeley" : { "formattedCitation" : "(USDA-FAS, 2016)", "plainTextFormattedCitation" : "(USDA-FAS, 2016)", "previouslyFormattedCitation" : "(USDA-FAS, 2016)" }, "properties" : { "noteIndex" : 0 }, "schema" : "https://github.com/citation-style-language/schema/raw/master/csl-citation.json" }</w:instrText>
      </w:r>
      <w:r>
        <w:rPr>
          <w:rFonts w:ascii="Cambria" w:hAnsi="Cambria"/>
        </w:rPr>
        <w:fldChar w:fldCharType="separate"/>
      </w:r>
      <w:r w:rsidRPr="00904D91">
        <w:rPr>
          <w:rFonts w:ascii="Cambria" w:hAnsi="Cambria"/>
          <w:noProof/>
        </w:rPr>
        <w:t>(USDA-FAS, 2016)</w:t>
      </w:r>
      <w:r>
        <w:rPr>
          <w:rFonts w:ascii="Cambria" w:hAnsi="Cambria"/>
        </w:rPr>
        <w:fldChar w:fldCharType="end"/>
      </w:r>
      <w:r>
        <w:rPr>
          <w:rFonts w:ascii="Cambria" w:hAnsi="Cambria"/>
        </w:rPr>
        <w:t xml:space="preserve">.  In Europe, barley was amongst the top 20 agricultural commodities produced in 2012 </w:t>
      </w:r>
      <w:r>
        <w:rPr>
          <w:rFonts w:ascii="Cambria" w:hAnsi="Cambria"/>
        </w:rPr>
        <w:fldChar w:fldCharType="begin" w:fldLock="1"/>
      </w:r>
      <w:r>
        <w:rPr>
          <w:rFonts w:ascii="Cambria" w:hAnsi="Cambria"/>
        </w:rPr>
        <w:instrText>ADDIN CSL_CITATION { "citationItems" : [ { "id" : "ITEM-1", "itemData" : { "URL" : "http://faostat.fao.org/site/339/default.aspx", "accessed" : { "date-parts" : [ [ "2016", "4", "19" ] ] }, "author" : [ { "dropping-particle" : "", "family" : "FAO", "given" : "", "non-dropping-particle" : "", "parse-names" : false, "suffix" : "" } ], "id" : "ITEM-1", "issued" : { "date-parts" : [ [ "2014" ] ] }, "title" : "FAOSTAT", "type" : "webpage" }, "uris" : [ "http://www.mendeley.com/documents/?uuid=4809f022-4e36-4948-9d7d-3d13aada4b28" ] } ], "mendeley" : { "formattedCitation" : "(FAO, 2014)", "plainTextFormattedCitation" : "(FAO, 2014)", "previouslyFormattedCitation" : "(FAO, 2014)" }, "properties" : { "noteIndex" : 0 }, "schema" : "https://github.com/citation-style-language/schema/raw/master/csl-citation.json" }</w:instrText>
      </w:r>
      <w:r>
        <w:rPr>
          <w:rFonts w:ascii="Cambria" w:hAnsi="Cambria"/>
        </w:rPr>
        <w:fldChar w:fldCharType="separate"/>
      </w:r>
      <w:r w:rsidRPr="00904D91">
        <w:rPr>
          <w:rFonts w:ascii="Cambria" w:hAnsi="Cambria"/>
          <w:noProof/>
        </w:rPr>
        <w:t>(FAO, 2014)</w:t>
      </w:r>
      <w:r>
        <w:rPr>
          <w:rFonts w:ascii="Cambria" w:hAnsi="Cambria"/>
        </w:rPr>
        <w:fldChar w:fldCharType="end"/>
      </w:r>
      <w:r>
        <w:rPr>
          <w:rFonts w:ascii="Cambria" w:hAnsi="Cambria"/>
        </w:rPr>
        <w:t xml:space="preserve"> and the UK was the fourth largest European Union cereal producer in 2014 </w:t>
      </w:r>
      <w:r>
        <w:rPr>
          <w:rFonts w:ascii="Cambria" w:hAnsi="Cambria"/>
        </w:rPr>
        <w:fldChar w:fldCharType="begin" w:fldLock="1"/>
      </w:r>
      <w:r w:rsidR="00D05EDB">
        <w:rPr>
          <w:rFonts w:ascii="Cambria" w:hAnsi="Cambria"/>
        </w:rPr>
        <w:instrText>ADDIN CSL_CITATION { "citationItems" : [ { "id" : "ITEM-1", "itemData" : { "URL" : "http://ec.europa.eu/eurostat/statistics-explained/index.php/Agricultural_production_-_crops#Cereals", "accessed" : { "date-parts" : [ [ "2016", "4", "19" ] ] }, "author" : [ { "dropping-particle" : "", "family" : "Eurostat", "given" : "", "non-dropping-particle" : "", "parse-names" : false, "suffix" : "" } ], "id" : "ITEM-1", "issued" : { "date-parts" : [ [ "2015" ] ] }, "title" : "Agricultural production - crops", "type" : "webpage" }, "uris" : [ "http://www.mendeley.com/documents/?uuid=becdcf78-1f6d-464d-a0a1-3e464cc43a25" ] } ], "mendeley" : { "formattedCitation" : "(Eurostat, 2015)", "plainTextFormattedCitation" : "(Eurostat, 2015)", "previouslyFormattedCitation" : "(Eurostat, 2015)" }, "properties" : { "noteIndex" : 0 }, "schema" : "https://github.com/citation-style-language/schema/raw/master/csl-citation.json" }</w:instrText>
      </w:r>
      <w:r>
        <w:rPr>
          <w:rFonts w:ascii="Cambria" w:hAnsi="Cambria"/>
        </w:rPr>
        <w:fldChar w:fldCharType="separate"/>
      </w:r>
      <w:r w:rsidRPr="00904D91">
        <w:rPr>
          <w:rFonts w:ascii="Cambria" w:hAnsi="Cambria"/>
          <w:noProof/>
        </w:rPr>
        <w:t>(Eurostat, 2015)</w:t>
      </w:r>
      <w:r>
        <w:rPr>
          <w:rFonts w:ascii="Cambria" w:hAnsi="Cambria"/>
        </w:rPr>
        <w:fldChar w:fldCharType="end"/>
      </w:r>
      <w:r>
        <w:rPr>
          <w:rFonts w:ascii="Cambria" w:hAnsi="Cambria"/>
        </w:rPr>
        <w:t xml:space="preserve">.  Therefore, barley is not only a useful experimental model species that is easy to cultivate and harvest in controlled environment growth chambers, but also a crop with important global relevance for cereal improvement. </w:t>
      </w:r>
    </w:p>
    <w:p w14:paraId="437FE592" w14:textId="77777777" w:rsidR="00DF4522" w:rsidRDefault="00DF4522" w:rsidP="00DF4522">
      <w:pPr>
        <w:spacing w:line="360" w:lineRule="auto"/>
        <w:jc w:val="both"/>
        <w:rPr>
          <w:rFonts w:ascii="Cambria" w:hAnsi="Cambria"/>
        </w:rPr>
      </w:pPr>
    </w:p>
    <w:p w14:paraId="1C96EBA8" w14:textId="61A2A129" w:rsidR="00DF4522" w:rsidRPr="00531789" w:rsidRDefault="00DF4522" w:rsidP="00DF4522">
      <w:pPr>
        <w:spacing w:line="360" w:lineRule="auto"/>
        <w:jc w:val="both"/>
        <w:rPr>
          <w:rFonts w:ascii="Cambria" w:hAnsi="Cambria"/>
        </w:rPr>
      </w:pPr>
      <w:r w:rsidRPr="00531789">
        <w:rPr>
          <w:rFonts w:ascii="Cambria" w:hAnsi="Cambria"/>
        </w:rPr>
        <w:t xml:space="preserve">To increase the carbon </w:t>
      </w:r>
      <w:proofErr w:type="spellStart"/>
      <w:r w:rsidRPr="00531789">
        <w:rPr>
          <w:rFonts w:ascii="Cambria" w:hAnsi="Cambria"/>
        </w:rPr>
        <w:t>source:sink</w:t>
      </w:r>
      <w:proofErr w:type="spellEnd"/>
      <w:r w:rsidRPr="00531789">
        <w:rPr>
          <w:rFonts w:ascii="Cambria" w:hAnsi="Cambria"/>
        </w:rPr>
        <w:t xml:space="preserve"> ratio, an elevated carbon dioxide (CO</w:t>
      </w:r>
      <w:r w:rsidRPr="00531789">
        <w:rPr>
          <w:rFonts w:ascii="Cambria" w:hAnsi="Cambria"/>
          <w:vertAlign w:val="subscript"/>
        </w:rPr>
        <w:t>2</w:t>
      </w:r>
      <w:r w:rsidRPr="00531789">
        <w:rPr>
          <w:rFonts w:ascii="Cambria" w:hAnsi="Cambria"/>
        </w:rPr>
        <w:t xml:space="preserve">) treatment of 1500 </w:t>
      </w:r>
      <w:proofErr w:type="spellStart"/>
      <w:r w:rsidRPr="00531789">
        <w:rPr>
          <w:rFonts w:ascii="Cambria" w:hAnsi="Cambria"/>
        </w:rPr>
        <w:t>μmol</w:t>
      </w:r>
      <w:proofErr w:type="spellEnd"/>
      <w:r w:rsidRPr="00531789">
        <w:rPr>
          <w:rFonts w:ascii="Cambria" w:hAnsi="Cambria"/>
        </w:rPr>
        <w:t xml:space="preserve"> mol</w:t>
      </w:r>
      <w:r w:rsidRPr="00531789">
        <w:rPr>
          <w:rFonts w:ascii="Cambria" w:hAnsi="Cambria"/>
          <w:vertAlign w:val="superscript"/>
        </w:rPr>
        <w:t>-1</w:t>
      </w:r>
      <w:r w:rsidRPr="00531789">
        <w:rPr>
          <w:rFonts w:ascii="Cambria" w:hAnsi="Cambria"/>
        </w:rPr>
        <w:t xml:space="preserve">  was imposed for 14 days on plants grown at 280 </w:t>
      </w:r>
      <w:proofErr w:type="spellStart"/>
      <w:r w:rsidRPr="00531789">
        <w:rPr>
          <w:rFonts w:ascii="Cambria" w:hAnsi="Cambria"/>
        </w:rPr>
        <w:t>μmol</w:t>
      </w:r>
      <w:proofErr w:type="spellEnd"/>
      <w:r w:rsidRPr="00531789">
        <w:rPr>
          <w:rFonts w:ascii="Cambria" w:hAnsi="Cambria"/>
        </w:rPr>
        <w:t xml:space="preserve"> mol</w:t>
      </w:r>
      <w:r w:rsidRPr="00531789">
        <w:rPr>
          <w:rFonts w:ascii="Cambria" w:hAnsi="Cambria"/>
          <w:vertAlign w:val="superscript"/>
        </w:rPr>
        <w:t>-1</w:t>
      </w:r>
      <w:r w:rsidRPr="00531789">
        <w:rPr>
          <w:rFonts w:ascii="Cambria" w:hAnsi="Cambria"/>
        </w:rPr>
        <w:t xml:space="preserve"> CO</w:t>
      </w:r>
      <w:r w:rsidRPr="00531789">
        <w:rPr>
          <w:rFonts w:ascii="Cambria" w:hAnsi="Cambria"/>
          <w:vertAlign w:val="subscript"/>
        </w:rPr>
        <w:t>2</w:t>
      </w:r>
      <w:r w:rsidRPr="00531789">
        <w:rPr>
          <w:rFonts w:ascii="Cambria" w:hAnsi="Cambria"/>
        </w:rPr>
        <w:t>.  This transiently increas</w:t>
      </w:r>
      <w:r>
        <w:rPr>
          <w:rFonts w:ascii="Cambria" w:hAnsi="Cambria"/>
        </w:rPr>
        <w:t xml:space="preserve">ed </w:t>
      </w:r>
      <w:r w:rsidRPr="00531789">
        <w:rPr>
          <w:rFonts w:ascii="Cambria" w:hAnsi="Cambria"/>
        </w:rPr>
        <w:t>the availability of carbon and therefore increase</w:t>
      </w:r>
      <w:r>
        <w:rPr>
          <w:rFonts w:ascii="Cambria" w:hAnsi="Cambria"/>
        </w:rPr>
        <w:t>d</w:t>
      </w:r>
      <w:r w:rsidRPr="00531789">
        <w:rPr>
          <w:rFonts w:ascii="Cambria" w:hAnsi="Cambria"/>
        </w:rPr>
        <w:t xml:space="preserve"> carbon source activity relative to the sink.  To decrease the carbon </w:t>
      </w:r>
      <w:proofErr w:type="spellStart"/>
      <w:r w:rsidRPr="00531789">
        <w:rPr>
          <w:rFonts w:ascii="Cambria" w:hAnsi="Cambria"/>
        </w:rPr>
        <w:t>source:sink</w:t>
      </w:r>
      <w:proofErr w:type="spellEnd"/>
      <w:r w:rsidRPr="00531789">
        <w:rPr>
          <w:rFonts w:ascii="Cambria" w:hAnsi="Cambria"/>
        </w:rPr>
        <w:t xml:space="preserve"> ratio, a partial defoliation treatment was imposed on plants grown at 280 </w:t>
      </w:r>
      <w:proofErr w:type="spellStart"/>
      <w:r w:rsidRPr="00531789">
        <w:rPr>
          <w:rFonts w:ascii="Cambria" w:hAnsi="Cambria"/>
        </w:rPr>
        <w:t>μmol</w:t>
      </w:r>
      <w:proofErr w:type="spellEnd"/>
      <w:r w:rsidRPr="00531789">
        <w:rPr>
          <w:rFonts w:ascii="Cambria" w:hAnsi="Cambria"/>
        </w:rPr>
        <w:t xml:space="preserve"> mol</w:t>
      </w:r>
      <w:r w:rsidRPr="00531789">
        <w:rPr>
          <w:rFonts w:ascii="Cambria" w:hAnsi="Cambria"/>
          <w:vertAlign w:val="superscript"/>
        </w:rPr>
        <w:t>-1</w:t>
      </w:r>
      <w:r w:rsidRPr="00531789">
        <w:rPr>
          <w:rFonts w:ascii="Cambria" w:hAnsi="Cambria"/>
        </w:rPr>
        <w:t xml:space="preserve"> CO</w:t>
      </w:r>
      <w:r w:rsidRPr="00531789">
        <w:rPr>
          <w:rFonts w:ascii="Cambria" w:hAnsi="Cambria"/>
          <w:vertAlign w:val="subscript"/>
        </w:rPr>
        <w:t>2</w:t>
      </w:r>
      <w:r w:rsidRPr="00531789">
        <w:rPr>
          <w:rFonts w:ascii="Cambria" w:hAnsi="Cambria"/>
        </w:rPr>
        <w:t>.  This involve</w:t>
      </w:r>
      <w:r>
        <w:rPr>
          <w:rFonts w:ascii="Cambria" w:hAnsi="Cambria"/>
        </w:rPr>
        <w:t>d the</w:t>
      </w:r>
      <w:r w:rsidRPr="00531789">
        <w:rPr>
          <w:rFonts w:ascii="Cambria" w:hAnsi="Cambria"/>
        </w:rPr>
        <w:t xml:space="preserve"> removal of carbon source tissue at a single point in time, thereby reducing the carbon source activity relative to the sink.  The short-term elevated CO</w:t>
      </w:r>
      <w:r w:rsidRPr="00531789">
        <w:rPr>
          <w:rFonts w:ascii="Cambria" w:hAnsi="Cambria"/>
          <w:vertAlign w:val="subscript"/>
        </w:rPr>
        <w:t xml:space="preserve">2 </w:t>
      </w:r>
      <w:r w:rsidRPr="00531789">
        <w:rPr>
          <w:rFonts w:ascii="Cambria" w:hAnsi="Cambria"/>
        </w:rPr>
        <w:t xml:space="preserve">treatment was expected to increase photosynthetic rate </w:t>
      </w:r>
      <w:r w:rsidRPr="00531789">
        <w:rPr>
          <w:rFonts w:ascii="Cambria" w:hAnsi="Cambria"/>
        </w:rPr>
        <w:fldChar w:fldCharType="begin" w:fldLock="1"/>
      </w:r>
      <w:r>
        <w:rPr>
          <w:rFonts w:ascii="Cambria" w:hAnsi="Cambria"/>
        </w:rPr>
        <w:instrText>ADDIN CSL_CITATION { "citationItems" : [ { "id" : "ITEM-1", "itemData" : { "DOI" : "10.1146/annurev.arplant.55.031903.141610", "ISSN" : "1543-5008", "PMID" : "15377233", "abstract" : "Atmospheric CO(2) concentration ([CO(2)]) is now higher than it was at any time in the past 26 million years and is expected to nearly double during this century. Terrestrial plants with the C(3) photosynthetic pathway respond in the short term to increased [CO(2)] via increased net photosynthesis and decreased transpiration. In the longer term this increase is often offset by downregulation of photosynthetic capacity. But much of what is currently known about plant responses to elevated [CO(2)] comes from enclosure studies, where the responses of plants may be modified by size constraints and the limited life-cycle stages that are examined. Free-Air CO(2) Enrichment (FACE) was developed as a means to grow plants in the field at controlled elevation of CO(2) under fully open-air field conditions. The findings of FACE experiments are quantitatively summarized via meta-analytic statistics and compared to findings from chamber studies. Although trends agree with parallel summaries of enclosure studies, important quantitative differences emerge that have important implications both for predicting the future terrestrial biosphere and understanding how crops may need to be adapted to the changed and changing atmosphere.", "author" : [ { "dropping-particle" : "", "family" : "Long", "given" : "Stephen P", "non-dropping-particle" : "", "parse-names" : false, "suffix" : "" }, { "dropping-particle" : "", "family" : "Ainsworth", "given" : "Elizabeth A", "non-dropping-particle" : "", "parse-names" : false, "suffix" : "" }, { "dropping-particle" : "", "family" : "Rogers", "given" : "Alistair", "non-dropping-particle" : "", "parse-names" : false, "suffix" : "" }, { "dropping-particle" : "", "family" : "Ort", "given" : "Donald R", "non-dropping-particle" : "", "parse-names" : false, "suffix" : "" } ], "container-title" : "Annual Review of Plant Biology", "id" : "ITEM-1", "issued" : { "date-parts" : [ [ "2004", "1" ] ] }, "page" : "591-628", "title" : "Rising atmospheric carbon dioxide: plants FACE the future.", "type" : "article-journal", "volume" : "55" }, "uris" : [ "http://www.mendeley.com/documents/?uuid=26cf908c-0122-4e7c-b24f-8546f0c8ff30" ] } ], "mendeley" : { "formattedCitation" : "(Long &lt;i&gt;et al.&lt;/i&gt;, 2004)", "plainTextFormattedCitation" : "(Long et al., 2004)", "previouslyFormattedCitation" : "(Long &lt;i&gt;et al.&lt;/i&gt;, 2004)"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(Long </w:t>
      </w:r>
      <w:r w:rsidRPr="002C5907">
        <w:rPr>
          <w:rFonts w:ascii="Cambria" w:hAnsi="Cambria"/>
          <w:i/>
          <w:noProof/>
        </w:rPr>
        <w:t>et al.</w:t>
      </w:r>
      <w:r w:rsidRPr="002C5907">
        <w:rPr>
          <w:rFonts w:ascii="Cambria" w:hAnsi="Cambria"/>
          <w:noProof/>
        </w:rPr>
        <w:t>, 2004)</w:t>
      </w:r>
      <w:r w:rsidRPr="00531789">
        <w:rPr>
          <w:rFonts w:ascii="Cambria" w:hAnsi="Cambria"/>
        </w:rPr>
        <w:fldChar w:fldCharType="end"/>
      </w:r>
      <w:r w:rsidRPr="00531789">
        <w:rPr>
          <w:rFonts w:ascii="Cambria" w:hAnsi="Cambria"/>
        </w:rPr>
        <w:t xml:space="preserve"> and increase the growth rate </w:t>
      </w:r>
      <w:r w:rsidRPr="00531789">
        <w:rPr>
          <w:rFonts w:ascii="Cambria" w:hAnsi="Cambria"/>
        </w:rPr>
        <w:fldChar w:fldCharType="begin" w:fldLock="1"/>
      </w:r>
      <w:r>
        <w:rPr>
          <w:rFonts w:ascii="Cambria" w:hAnsi="Cambria"/>
        </w:rPr>
        <w:instrText>ADDIN CSL_CITATION { "citationItems" : [ { "id" : "ITEM-1", "itemData" : { "DOI" : "10.1007/BF00566971", "ISSN" : "0029-8549", "author" : [ { "dropping-particle" : "", "family" : "McConnaughay", "given" : "K. D. M.", "non-dropping-particle" : "", "parse-names" : false, "suffix" : "" }, { "dropping-particle" : "", "family" : "Berntson", "given" : "G. M.", "non-dropping-particle" : "", "parse-names" : false, "suffix" : "" }, { "dropping-particle" : "", "family" : "Bazzaz", "given" : "F. A.", "non-dropping-particle" : "", "parse-names" : false, "suffix" : "" } ], "container-title" : "Oecologia", "id" : "ITEM-1", "issue" : "4", "issued" : { "date-parts" : [ [ "1993", "7" ] ] }, "note" : "Need to read properly!", "page" : "550-557", "title" : "Limitations to CO2-induced growth enhancement in pot studies", "type" : "article-journal", "volume" : "94" }, "uris" : [ "http://www.mendeley.com/documents/?uuid=e2836029-3e9b-4005-a8d1-9243d5886f96" ] } ], "mendeley" : { "formattedCitation" : "(McConnaughay &lt;i&gt;et al.&lt;/i&gt;, 1993)", "plainTextFormattedCitation" : "(McConnaughay et al., 1993)", "previouslyFormattedCitation" : "(McConnaughay &lt;i&gt;et al.&lt;/i&gt;, 1993)"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(McConnaughay </w:t>
      </w:r>
      <w:r w:rsidRPr="002C5907">
        <w:rPr>
          <w:rFonts w:ascii="Cambria" w:hAnsi="Cambria"/>
          <w:i/>
          <w:noProof/>
        </w:rPr>
        <w:t>et al.</w:t>
      </w:r>
      <w:r w:rsidRPr="002C5907">
        <w:rPr>
          <w:rFonts w:ascii="Cambria" w:hAnsi="Cambria"/>
          <w:noProof/>
        </w:rPr>
        <w:t>, 1993)</w:t>
      </w:r>
      <w:r w:rsidRPr="00531789">
        <w:rPr>
          <w:rFonts w:ascii="Cambria" w:hAnsi="Cambria"/>
        </w:rPr>
        <w:fldChar w:fldCharType="end"/>
      </w:r>
      <w:r w:rsidRPr="00531789">
        <w:rPr>
          <w:rFonts w:ascii="Cambria" w:hAnsi="Cambria"/>
        </w:rPr>
        <w:t xml:space="preserve">, but because the control of growth shifts from source towards sink in this treatment, non-structural carbohydrates were expected to build up in the leaf </w:t>
      </w:r>
      <w:r w:rsidRPr="00531789">
        <w:rPr>
          <w:rFonts w:ascii="Cambria" w:hAnsi="Cambria"/>
        </w:rPr>
        <w:fldChar w:fldCharType="begin" w:fldLock="1"/>
      </w:r>
      <w:r w:rsidR="00906E41">
        <w:rPr>
          <w:rFonts w:ascii="Cambria" w:hAnsi="Cambria"/>
        </w:rPr>
        <w:instrText>ADDIN CSL_CITATION { "citationItems" : [ { "id" : "ITEM-1", "itemData" : { "author" : [ { "dropping-particle" : "", "family" : "Rogers", "given" : "A", "non-dropping-particle" : "", "parse-names" : false, "suffix" : "" }, { "dropping-particle" : "", "family" : "Ainsworth", "given" : "Elizabeth A", "non-dropping-particle" : "", "parse-names" : false, "suffix" : "" } ], "chapter-number" : "16", "container-title" : "Managed ecosystems and CO2 case studies processes and perspectives", "editor" : [ { "dropping-particle" : "", "family" : "Nosberger", "given" : "J", "non-dropping-particle" : "", "parse-names" : false, "suffix" : "" }, { "dropping-particle" : "", "family" : "Long", "given" : "SP", "non-dropping-particle" : "", "parse-names" : false, "suffix" : "" }, { "dropping-particle" : "", "family" : "Blum", "given" : "H", "non-dropping-particle" : "", "parse-names" : false, "suffix" : "" }, { "dropping-particle" : "", "family" : "Norby", "given" : "RJ", "non-dropping-particle" : "", "parse-names" : false, "suffix" : "" }, { "dropping-particle" : "", "family" : "Hendrey", "given" : "GR", "non-dropping-particle" : "", "parse-names" : false, "suffix" : "" }, { "dropping-particle" : "", "family" : "Stitt", "given" : "M", "non-dropping-particle" : "", "parse-names" : false, "suffix" : "" } ], "id" : "ITEM-1", "issued" : { "date-parts" : [ [ "2006" ] ] }, "page" : "293-308", "publisher" : "Springer-Verlag", "publisher-place" : "Heidelberg, Berlin", "title" : "The response of foliar carbohydrates to elevated [CO2]", "type" : "chapter" }, "uris" : [ "http://www.mendeley.com/documents/?uuid=ad611b43-52b4-4728-8d67-4ff9617c644b" ] } ], "mendeley" : { "formattedCitation" : "(Rogers and Ainsworth, 2006)", "plainTextFormattedCitation" : "(Rogers and Ainsworth, 2006)", "previouslyFormattedCitation" : "(Rogers and Ainsworth, 2006)"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(Rogers and Ainsworth, 2006)</w:t>
      </w:r>
      <w:r w:rsidRPr="00531789">
        <w:rPr>
          <w:rFonts w:ascii="Cambria" w:hAnsi="Cambria"/>
        </w:rPr>
        <w:fldChar w:fldCharType="end"/>
      </w:r>
      <w:r w:rsidRPr="00531789">
        <w:rPr>
          <w:rFonts w:ascii="Cambria" w:hAnsi="Cambria"/>
        </w:rPr>
        <w:t xml:space="preserve">.  The opposite was expected in the short-term defoliation treatment, where removal of photosynthetic leaves shifts the control of growth from sink to source, leading to a decrease in the concentration of non-structural carbohydrates in remaining leaves </w:t>
      </w:r>
      <w:r w:rsidRPr="00531789">
        <w:rPr>
          <w:rFonts w:ascii="Cambria" w:hAnsi="Cambria"/>
        </w:rPr>
        <w:fldChar w:fldCharType="begin" w:fldLock="1"/>
      </w:r>
      <w:r w:rsidR="00906E41">
        <w:rPr>
          <w:rFonts w:ascii="Cambria" w:hAnsi="Cambria"/>
        </w:rPr>
        <w:instrText>ADDIN CSL_CITATION { "citationItems" : [ { "id" : "ITEM-1", "itemData" : { "ISBN" : "0011-183X", "author" : [ { "dropping-particle" : "", "family" : "Jaikumar", "given" : "Nikhil S", "non-dropping-particle" : "", "parse-names" : false, "suffix" : "" }, { "dropping-particle" : "", "family" : "Snapp", "given" : "Sieglinde S", "non-dropping-particle" : "", "parse-names" : false, "suffix" : "" }, { "dropping-particle" : "", "family" : "Flore", "given" : "James A", "non-dropping-particle" : "", "parse-names" : false, "suffix" : "" }, { "dropping-particle" : "", "family" : "Loescher", "given" : "Wayne", "non-dropping-particle" : "", "parse-names" : false, "suffix" : "" } ], "container-title" : "Crop Science", "id" : "ITEM-1", "issued" : { "date-parts" : [ [ "2014" ] ] }, "page" : "274-283", "title" : "Photosynthetic Responses in Annual Rye, Perennial Wheat, and Perennial Rye Subjected to Modest Source: Sink Ratio Changes", "type" : "article-journal", "volume" : "54" }, "uris" : [ "http://www.mendeley.com/documents/?uuid=4586da10-7cdb-47f8-84b1-4ad27a5284ad" ] }, { "id" : "ITEM-2", "itemData" : { "ISSN" : "1532-2548", "PMID" : "9765554", "abstract" : "Acclimation of photosynthesis to elevated CO2 has previously been shown to be more pronounced when N supply is poor. Is this a direct effect of N or an indirect effect of N by limiting the development of sinks for photoassimilate? This question was tested by growing a perennial ryegrass (Lolium perenne) in the field under elevated (60 Pa) and current (36 Pa) partial pressures of CO2 (pCO2) at low and high levels of N fertilization. Cutting of this herbage crop at 4- to 8-week intervals removed about 80% of the canopy, therefore decreasing the ratio of photosynthetic area to sinks for photoassimilate. Leaf photosynthesis, in vivo carboxylation capacity, carbohydrate, N, ribulose-1,5-bisphosphate carboxylase/oxygenase, sedoheptulose-1,7-bisphosphatase, and chloroplastic fructose-1, 6-bisphosphatase levels were determined for mature lamina during two consecutive summers. Just before the cut, when the canopy was relatively large, growth at elevated pCO2 and low N resulted in significant decreases in carboxylation capacity and the amount of ribulose-1,5-bisphosphate carboxylase/oxygenase protein. In high N there were no significant decreases in carboxylation capacity or proteins, but chloroplastic fructose-1,6-bisphosphatase protein levels increased significantly. Elevated pCO2 resulted in a marked and significant increase in leaf carbohydrate content at low N, but had no effect at high N. This acclimation at low N was absent after the harvest, when the canopy size was small. These results suggest that acclimation under low N is caused by limitation of sink development rather than being a direct effect of N supply on photosynthesis.", "author" : [ { "dropping-particle" : "", "family" : "Rogers", "given" : "A", "non-dropping-particle" : "", "parse-names" : false, "suffix" : "" }, { "dropping-particle" : "", "family" : "Fischer", "given" : "BU", "non-dropping-particle" : "", "parse-names" : false, "suffix" : "" }, { "dropping-particle" : "", "family" : "Bryant", "given" : "J", "non-dropping-particle" : "", "parse-names" : false, "suffix" : "" }, { "dropping-particle" : "", "family" : "Frehner", "given" : "M", "non-dropping-particle" : "", "parse-names" : false, "suffix" : "" }, { "dropping-particle" : "", "family" : "Blum", "given" : "H", "non-dropping-particle" : "", "parse-names" : false, "suffix" : "" }, { "dropping-particle" : "", "family" : "Raines", "given" : "CA", "non-dropping-particle" : "", "parse-names" : false, "suffix" : "" }, { "dropping-particle" : "", "family" : "Long", "given" : "SP", "non-dropping-particle" : "", "parse-names" : false, "suffix" : "" } ], "container-title" : "Plant Physiology", "id" : "ITEM-2", "issue" : "2", "issued" : { "date-parts" : [ [ "1998", "10" ] ] }, "page" : "683-9", "title" : "Acclimation of photosynthesis to elevated CO2 under low-nitrogen nutrition is affected by the capacity for assimilate utilization. Perennial ryegrass under free-air CO2 enrichment", "type" : "article-journal", "volume" : "118" }, "uris" : [ "http://www.mendeley.com/documents/?uuid=cbd02c05-1a1f-4c95-812f-93fcf1df820a" ] } ], "mendeley" : { "formattedCitation" : "(Rogers &lt;i&gt;et al.&lt;/i&gt;, 1998; Jaikumar &lt;i&gt;et al.&lt;/i&gt;, 2014)", "manualFormatting" : "(as observed after defoliation, Rogers et al., 1998, and when a subset of leaves was rendered photosynthetically inactive, Jaikumar et al., 2014)", "plainTextFormattedCitation" : "(Rogers et al., 1998; Jaikumar et al., 2014)", "previouslyFormattedCitation" : "(Rogers &lt;i&gt;et al.&lt;/i&gt;, 1998; Jaikumar &lt;i&gt;et al.&lt;/i&gt;, 2014)"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 xml:space="preserve">(as observed after defoliation, Rogers </w:t>
      </w:r>
      <w:r w:rsidRPr="00531789">
        <w:rPr>
          <w:rFonts w:ascii="Cambria" w:hAnsi="Cambria"/>
          <w:i/>
          <w:noProof/>
        </w:rPr>
        <w:t>et al.</w:t>
      </w:r>
      <w:r w:rsidRPr="00531789">
        <w:rPr>
          <w:rFonts w:ascii="Cambria" w:hAnsi="Cambria"/>
          <w:noProof/>
        </w:rPr>
        <w:t xml:space="preserve">, 1998, and when a subset of leaves was rendered photosynthetically inactive, Jaikumar </w:t>
      </w:r>
      <w:r w:rsidRPr="00531789">
        <w:rPr>
          <w:rFonts w:ascii="Cambria" w:hAnsi="Cambria"/>
          <w:i/>
          <w:noProof/>
        </w:rPr>
        <w:t>et al.</w:t>
      </w:r>
      <w:r w:rsidRPr="00531789">
        <w:rPr>
          <w:rFonts w:ascii="Cambria" w:hAnsi="Cambria"/>
          <w:noProof/>
        </w:rPr>
        <w:t>, 2014)</w:t>
      </w:r>
      <w:r w:rsidRPr="00531789">
        <w:rPr>
          <w:rFonts w:ascii="Cambria" w:hAnsi="Cambria"/>
        </w:rPr>
        <w:fldChar w:fldCharType="end"/>
      </w:r>
      <w:r w:rsidRPr="00531789">
        <w:rPr>
          <w:rFonts w:ascii="Cambria" w:hAnsi="Cambria"/>
        </w:rPr>
        <w:t xml:space="preserve">, and an increase in the photosynthetic capacity of the remaining leaves </w:t>
      </w:r>
      <w:r w:rsidRPr="00531789">
        <w:rPr>
          <w:rFonts w:ascii="Cambria" w:hAnsi="Cambria"/>
        </w:rPr>
        <w:fldChar w:fldCharType="begin" w:fldLock="1"/>
      </w:r>
      <w:r w:rsidR="00FB53C0">
        <w:rPr>
          <w:rFonts w:ascii="Cambria" w:hAnsi="Cambria"/>
        </w:rPr>
        <w:instrText>ADDIN CSL_CITATION { "citationItems" : [ { "id" : "ITEM-1", "itemData" : { "DOI" : "10.1093/jxb/ert017", "ISSN" : "1460-2431", "PMID" : "23382548", "abstract" : "Increases in photosynthetic capacity (A(1500)) after defoliation have been attributed to changes in leaf-level biochemistry, water, and/or nutrient status. The hypothesis that transient photosynthetic responses to partial defoliation are regulated by whole-plant (e.g. source-sink relationships or changes in hydraulic conductance) rather than leaf-level mechanisms is tested here. Temporal variation in leaf-level gas exchange, chemistry, whole-plant soil-to-leaf hydraulic conductance (K(P)), and aboveground biomass partitioning were determined to evaluate mechanisms responsible for increases in A(1500) of Eucalyptus globulus L. potted saplings. A(1500) increased in response to debudding (B), partial defoliation (D), and combined B&amp;D treatments by up to 36% at 5 weeks after treatment. Changes in leaf-level factors partly explained increases in A(1500) of B and B&amp;D treatments but not for D treatment. By week 5, saplings in B, B&amp;D, and D treatments had similar leaf-specific K(P) to control trees by maintaining lower midday water potentials and higher transpiration rate per leaf area. Whole-plant source:sink ratios correlated strongly with A(1500). Further, unlike K(P), temporal changes in source:sink ratios tracked well with those observed for A(1500). The results indicate that increases in A(1500) after partial defoliation treatments were largely driven by an increased demand for assimilate by developing sinks rather than improvements in whole-plant water relations and changes in leaf-level factors. Three carbohydrates, galactional, stachyose, and, to a lesser extent, raffinose, correlated strongly with photosynthetic capacity, indicating that these sugars may function as signalling molecules in the regulation of longer term defoliation-induced gas exchange responses.", "author" : [ { "dropping-particle" : "", "family" : "Eyles", "given" : "Alieta", "non-dropping-particle" : "", "parse-names" : false, "suffix" : "" }, { "dropping-particle" : "", "family" : "Pinkard", "given" : "Elizabeth A", "non-dropping-particle" : "", "parse-names" : false, "suffix" : "" }, { "dropping-particle" : "", "family" : "Davies", "given" : "Noel W", "non-dropping-particle" : "", "parse-names" : false, "suffix" : "" }, { "dropping-particle" : "", "family" : "Corkrey", "given" : "Ross", "non-dropping-particle" : "", "parse-names" : false, "suffix" : "" }, { "dropping-particle" : "", "family" : "Churchill", "given" : "Keith", "non-dropping-particle" : "", "parse-names" : false, "suffix" : "" }, { "dropping-particle" : "", "family" : "O'Grady", "given" : "Anthony P", "non-dropping-particle" : "", "parse-names" : false, "suffix" : "" }, { "dropping-particle" : "", "family" : "Sands", "given" : "Peter", "non-dropping-particle" : "", "parse-names" : false, "suffix" : "" }, { "dropping-particle" : "", "family" : "Mohammed", "given" : "Caroline", "non-dropping-particle" : "", "parse-names" : false, "suffix" : "" } ], "container-title" : "Journal of Experimental Botany", "id" : "ITEM-1", "issued" : { "date-parts" : [ [ "2013", "2", "4" ] ] }, "page" : "1625-1636", "title" : "Whole-plant- versus leaf-level regulation of photosynthetic responses after partial defoliation in Eucalyptus globulus saplings.", "type" : "article-journal", "volume" : "64" }, "uris" : [ "http://www.mendeley.com/documents/?uuid=806913fb-60bb-4055-8f33-a68e82fe25c6" ] }, { "id" : "ITEM-2", "itemData" : { "abstract" : "The response of CO2-assimilation rate to the intercellular partial pressure of CO 2 (p(CO2)) is used to analyse the effects of various growth treatments on the photosynthetic charac- teristics of P. vulgaris. Partial defoliation caused an increase in CO2-assimilation rate at all intercel- lular p(CO2). A change in the light regime for growth from high to low light levels caused a de- crease of CO2-assimilation rate at all intercellular p(CO2). Growth in a CO2-enriched atmosphere re- sulted in lowered assimilation rates compared with controls at comparable intercellular p(CO2). Short-term water stress initially caused only a de- cline in the CO2-assimilation rate at high intercel- lular p(CO2) , but not at low intercellular p(CO2). Except under severe water stress, changes in the initial slope of the response of CO2-assimilation rate to intercellular p(CO2) were in parallel to those of the in-vitro activity of ribulose-l,5-bis- phosphate (RuBP) carboxylase. From the results, we infer that partial defoliation, changes in the light regime for growth, and growth in a CO 2- enriched atmosphere cause parallel changes in RuBP-carboxylase (EC 4.1.1.39) activity and the \"capacity for RuBP regeneration\", whereas short- term water stress initially causes only a decline in the RuBP-regeneration capacity.", "author" : [ { "dropping-particle" : "", "family" : "Caemmerer", "given" : "S", "non-dropping-particle" : "von", "parse-names" : false, "suffix" : "" }, { "dropping-particle" : "", "family" : "Farquhar", "given" : "G D", "non-dropping-particle" : "", "parse-names" : false, "suffix" : "" } ], "container-title" : "Planta", "id" : "ITEM-2", "issued" : { "date-parts" : [ [ "1984" ] ] }, "page" : "320-329", "title" : "Effects of partial defoliation, changes of irradiance during growth, short-term water stress and growth at enhanced p(CO2) on the photosynthetic capacity of leaves of Phaseolus vulgaris L.", "type" : "article-journal", "volume" : "160" }, "uris" : [ "http://www.mendeley.com/documents/?uuid=977f1aec-7e33-4bd4-aa58-97cfe55b97b2" ] } ], "mendeley" : { "formattedCitation" : "(von Caemmerer and Farquhar, 1984; Eyles &lt;i&gt;et al.&lt;/i&gt;, 2013&lt;i&gt;a&lt;/i&gt;)", "manualFormatting" : "(von Caemmerer and Farquhar, 1984; Eyles et al., 2013)", "plainTextFormattedCitation" : "(von Caemmerer and Farquhar, 1984; Eyles et al., 2013a)", "previouslyFormattedCitation" : "(von Caemmerer and Farquhar, 1984; Eyles &lt;i&gt;et al.&lt;/i&gt;, 2013&lt;i&gt;a&lt;/i&gt;)"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w:t>
      </w:r>
      <w:r>
        <w:rPr>
          <w:rFonts w:ascii="Cambria" w:hAnsi="Cambria"/>
          <w:noProof/>
        </w:rPr>
        <w:t xml:space="preserve">von </w:t>
      </w:r>
      <w:r w:rsidRPr="002C5907">
        <w:rPr>
          <w:rFonts w:ascii="Cambria" w:hAnsi="Cambria"/>
          <w:noProof/>
        </w:rPr>
        <w:t xml:space="preserve">Caemmerer and Farquhar, 1984; Eyles </w:t>
      </w:r>
      <w:r w:rsidRPr="002C5907">
        <w:rPr>
          <w:rFonts w:ascii="Cambria" w:hAnsi="Cambria"/>
          <w:i/>
          <w:noProof/>
        </w:rPr>
        <w:t>et al.</w:t>
      </w:r>
      <w:r w:rsidRPr="002C5907">
        <w:rPr>
          <w:rFonts w:ascii="Cambria" w:hAnsi="Cambria"/>
          <w:noProof/>
        </w:rPr>
        <w:t>, 2013)</w:t>
      </w:r>
      <w:r w:rsidRPr="00531789">
        <w:rPr>
          <w:rFonts w:ascii="Cambria" w:hAnsi="Cambria"/>
        </w:rPr>
        <w:fldChar w:fldCharType="end"/>
      </w:r>
      <w:r w:rsidRPr="00531789">
        <w:rPr>
          <w:rFonts w:ascii="Cambria" w:hAnsi="Cambria"/>
        </w:rPr>
        <w:t xml:space="preserve">.  Each manipulation was compared to a common control.  </w:t>
      </w:r>
    </w:p>
    <w:p w14:paraId="64DB48CC" w14:textId="77777777" w:rsidR="00DF4522" w:rsidRPr="00531789" w:rsidRDefault="00DF4522" w:rsidP="00DF4522">
      <w:pPr>
        <w:spacing w:line="360" w:lineRule="auto"/>
        <w:jc w:val="both"/>
        <w:rPr>
          <w:rFonts w:ascii="Cambria" w:hAnsi="Cambria"/>
        </w:rPr>
      </w:pPr>
    </w:p>
    <w:p w14:paraId="4B849FDD" w14:textId="62B897E4" w:rsidR="00DF4522" w:rsidRPr="00531789" w:rsidRDefault="00200774" w:rsidP="00DF4522">
      <w:pPr>
        <w:spacing w:line="360" w:lineRule="auto"/>
        <w:jc w:val="both"/>
        <w:rPr>
          <w:rFonts w:ascii="Cambria" w:hAnsi="Cambria"/>
        </w:rPr>
      </w:pPr>
      <w:r>
        <w:rPr>
          <w:rFonts w:ascii="Cambria" w:hAnsi="Cambria"/>
        </w:rPr>
        <w:t>Based on the</w:t>
      </w:r>
      <w:r w:rsidR="00DF4522" w:rsidRPr="00531789">
        <w:rPr>
          <w:rFonts w:ascii="Cambria" w:hAnsi="Cambria"/>
        </w:rPr>
        <w:t xml:space="preserve"> hypothesis that plants transition from sink towards source limitation during vegetative growth, we predicted that the increase in growth under short-term elevated CO</w:t>
      </w:r>
      <w:r w:rsidR="00DF4522" w:rsidRPr="00531789">
        <w:rPr>
          <w:rFonts w:ascii="Cambria" w:hAnsi="Cambria"/>
          <w:vertAlign w:val="subscript"/>
        </w:rPr>
        <w:t>2</w:t>
      </w:r>
      <w:r w:rsidR="00DF4522" w:rsidRPr="00531789">
        <w:rPr>
          <w:rFonts w:ascii="Cambria" w:hAnsi="Cambria"/>
        </w:rPr>
        <w:t xml:space="preserve"> would be greatest later in development when the source is more limiting to growth (because increased CO</w:t>
      </w:r>
      <w:r w:rsidR="00DF4522" w:rsidRPr="00531789">
        <w:rPr>
          <w:rFonts w:ascii="Cambria" w:hAnsi="Cambria"/>
          <w:vertAlign w:val="subscript"/>
        </w:rPr>
        <w:t>2</w:t>
      </w:r>
      <w:r w:rsidR="00DF4522" w:rsidRPr="00531789">
        <w:rPr>
          <w:rFonts w:ascii="Cambria" w:hAnsi="Cambria"/>
        </w:rPr>
        <w:t xml:space="preserve"> alleviates source limitation), and that the increase in leaf carbohydrate concentration under short-term elevated CO</w:t>
      </w:r>
      <w:r w:rsidR="00DF4522" w:rsidRPr="00531789">
        <w:rPr>
          <w:rFonts w:ascii="Cambria" w:hAnsi="Cambria"/>
          <w:vertAlign w:val="subscript"/>
        </w:rPr>
        <w:t>2</w:t>
      </w:r>
      <w:r w:rsidR="00DF4522" w:rsidRPr="00531789">
        <w:rPr>
          <w:rFonts w:ascii="Cambria" w:hAnsi="Cambria"/>
        </w:rPr>
        <w:t xml:space="preserve"> would be greatest earlier in development when sink is more limiting to growth.  Conversely, we expected that the increase in photosynthetic capacity after partial defoliation would be greatest earlier in development when the sink is more limiting to growth (because defoliation increases the relative size of the sink compared to the source), and that the decrease in carbohydrate concentration in the leaves that remain after defoliation would be greatest later in development when the source is more limiting to growth.</w:t>
      </w:r>
    </w:p>
    <w:p w14:paraId="39F5AE63" w14:textId="77777777" w:rsidR="00DF4522" w:rsidRPr="00531789" w:rsidRDefault="00DF4522" w:rsidP="00DF4522">
      <w:pPr>
        <w:spacing w:line="360" w:lineRule="auto"/>
        <w:jc w:val="both"/>
        <w:rPr>
          <w:rFonts w:ascii="Cambria" w:hAnsi="Cambria"/>
        </w:rPr>
      </w:pPr>
    </w:p>
    <w:p w14:paraId="212FE249" w14:textId="77777777" w:rsidR="00DF4522" w:rsidRPr="00531789" w:rsidRDefault="00DF4522" w:rsidP="00DF4522">
      <w:pPr>
        <w:pStyle w:val="Heading2"/>
        <w:rPr>
          <w:rFonts w:ascii="Cambria" w:hAnsi="Cambria"/>
          <w:color w:val="auto"/>
        </w:rPr>
      </w:pPr>
      <w:bookmarkStart w:id="71" w:name="_Toc322267589"/>
      <w:bookmarkStart w:id="72" w:name="_Toc322267711"/>
      <w:bookmarkStart w:id="73" w:name="_Toc322267875"/>
      <w:bookmarkStart w:id="74" w:name="_Toc331253017"/>
      <w:r w:rsidRPr="00531789">
        <w:rPr>
          <w:rFonts w:ascii="Cambria" w:hAnsi="Cambria"/>
          <w:color w:val="auto"/>
        </w:rPr>
        <w:t>MATERIALS AND METHODS</w:t>
      </w:r>
      <w:bookmarkEnd w:id="71"/>
      <w:bookmarkEnd w:id="72"/>
      <w:bookmarkEnd w:id="73"/>
      <w:bookmarkEnd w:id="74"/>
    </w:p>
    <w:p w14:paraId="4508C796" w14:textId="77777777" w:rsidR="00DF4522" w:rsidRPr="00531789" w:rsidRDefault="00DF4522" w:rsidP="00DF4522">
      <w:pPr>
        <w:spacing w:line="360" w:lineRule="auto"/>
        <w:jc w:val="both"/>
        <w:rPr>
          <w:rFonts w:ascii="Cambria" w:hAnsi="Cambria"/>
        </w:rPr>
      </w:pPr>
    </w:p>
    <w:p w14:paraId="7CDDA0C0" w14:textId="77777777" w:rsidR="00DF4522" w:rsidRPr="00531789" w:rsidRDefault="00DF4522" w:rsidP="00DF4522">
      <w:pPr>
        <w:spacing w:line="360" w:lineRule="auto"/>
        <w:jc w:val="both"/>
        <w:rPr>
          <w:rFonts w:ascii="Cambria" w:hAnsi="Cambria"/>
          <w:b/>
        </w:rPr>
      </w:pPr>
      <w:r w:rsidRPr="00531789">
        <w:rPr>
          <w:rFonts w:ascii="Cambria" w:hAnsi="Cambria"/>
          <w:b/>
        </w:rPr>
        <w:t>Plant material and growth conditions</w:t>
      </w:r>
    </w:p>
    <w:p w14:paraId="5D6CEF18" w14:textId="77777777" w:rsidR="00DF4522" w:rsidRPr="00531789" w:rsidRDefault="00DF4522" w:rsidP="00DF4522">
      <w:pPr>
        <w:spacing w:line="360" w:lineRule="auto"/>
        <w:jc w:val="both"/>
        <w:rPr>
          <w:rFonts w:ascii="Cambria" w:hAnsi="Cambria"/>
        </w:rPr>
      </w:pPr>
    </w:p>
    <w:p w14:paraId="371D439C" w14:textId="77777777" w:rsidR="00DF4522" w:rsidRPr="00531789" w:rsidRDefault="00DF4522" w:rsidP="00DF4522">
      <w:pPr>
        <w:spacing w:line="360" w:lineRule="auto"/>
        <w:jc w:val="both"/>
        <w:rPr>
          <w:rFonts w:ascii="Cambria" w:hAnsi="Cambria"/>
        </w:rPr>
      </w:pPr>
      <w:r w:rsidRPr="00531789">
        <w:rPr>
          <w:rFonts w:ascii="Cambria" w:hAnsi="Cambria"/>
        </w:rPr>
        <w:t xml:space="preserve">Seeds of </w:t>
      </w:r>
      <w:proofErr w:type="spellStart"/>
      <w:r w:rsidRPr="00531789">
        <w:rPr>
          <w:rFonts w:ascii="Cambria" w:hAnsi="Cambria"/>
          <w:i/>
        </w:rPr>
        <w:t>Hordeum</w:t>
      </w:r>
      <w:proofErr w:type="spellEnd"/>
      <w:r w:rsidRPr="00531789">
        <w:rPr>
          <w:rFonts w:ascii="Cambria" w:hAnsi="Cambria"/>
          <w:i/>
        </w:rPr>
        <w:t xml:space="preserve"> </w:t>
      </w:r>
      <w:proofErr w:type="spellStart"/>
      <w:r w:rsidRPr="00531789">
        <w:rPr>
          <w:rFonts w:ascii="Cambria" w:hAnsi="Cambria"/>
          <w:i/>
        </w:rPr>
        <w:t>vulgare</w:t>
      </w:r>
      <w:proofErr w:type="spellEnd"/>
      <w:r w:rsidRPr="00531789">
        <w:rPr>
          <w:rFonts w:ascii="Cambria" w:hAnsi="Cambria"/>
        </w:rPr>
        <w:t xml:space="preserve"> cv. Optic, an elite UK spring barley variety </w:t>
      </w:r>
      <w:r w:rsidRPr="00531789">
        <w:rPr>
          <w:rFonts w:ascii="Cambria" w:hAnsi="Cambria"/>
        </w:rPr>
        <w:fldChar w:fldCharType="begin" w:fldLock="1"/>
      </w:r>
      <w:r w:rsidRPr="00531789">
        <w:rPr>
          <w:rFonts w:ascii="Cambria" w:hAnsi="Cambria"/>
        </w:rPr>
        <w:instrText>ADDIN CSL_CITATION { "citationItems" : [ { "id" : "ITEM-1", "itemData" : { "author" : [ { "dropping-particle" : "", "family" : "HGCA", "given" : "", "non-dropping-particle" : "", "parse-names" : false, "suffix" : "" } ], "id" : "ITEM-1", "issued" : { "date-parts" : [ [ "2013" ] ] }, "title" : "HGCA Recommended List Spring barley 2013", "type" : "report" }, "uris" : [ "http://www.mendeley.com/documents/?uuid=0ac77621-6368-4dc5-b318-abfd98cc13a0", "http://www.mendeley.com/documents/?uuid=84ca9b52-c5dc-41cb-9b08-fb11a0c2f13c" ] } ], "mendeley" : { "formattedCitation" : "(HGCA, 2013)", "plainTextFormattedCitation" : "(HGCA, 2013)", "previouslyFormattedCitation" : "(HGCA, 2013)"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(HGCA, 2013)</w:t>
      </w:r>
      <w:r w:rsidRPr="00531789">
        <w:rPr>
          <w:rFonts w:ascii="Cambria" w:hAnsi="Cambria"/>
        </w:rPr>
        <w:fldChar w:fldCharType="end"/>
      </w:r>
      <w:r w:rsidRPr="00531789">
        <w:rPr>
          <w:rFonts w:ascii="Cambria" w:hAnsi="Cambria"/>
        </w:rPr>
        <w:t xml:space="preserve">, were obtained from </w:t>
      </w:r>
      <w:r>
        <w:rPr>
          <w:rFonts w:ascii="Cambria" w:hAnsi="Cambria"/>
        </w:rPr>
        <w:t xml:space="preserve">the </w:t>
      </w:r>
      <w:r w:rsidRPr="00531789">
        <w:rPr>
          <w:rFonts w:ascii="Cambria" w:hAnsi="Cambria"/>
        </w:rPr>
        <w:t xml:space="preserve">John Innes Centre (Norwich, UK).  Seeds were germinated on wet filter paper, transplanted to 10-litre pots filled with a 1:10 </w:t>
      </w:r>
      <w:proofErr w:type="spellStart"/>
      <w:r w:rsidRPr="00531789">
        <w:rPr>
          <w:rFonts w:ascii="Cambria" w:hAnsi="Cambria"/>
        </w:rPr>
        <w:t>sand:vermiculite</w:t>
      </w:r>
      <w:proofErr w:type="spellEnd"/>
      <w:r w:rsidRPr="00531789">
        <w:rPr>
          <w:rFonts w:ascii="Cambria" w:hAnsi="Cambria"/>
        </w:rPr>
        <w:t xml:space="preserve"> mix and topped with an additional layer of sand to aid root development of the seedlings.  Plants were grown in one control </w:t>
      </w:r>
      <w:r>
        <w:rPr>
          <w:rFonts w:ascii="Cambria" w:hAnsi="Cambria" w:cs="Courier New"/>
        </w:rPr>
        <w:t xml:space="preserve">controlled environment </w:t>
      </w:r>
      <w:r w:rsidRPr="00531789">
        <w:rPr>
          <w:rFonts w:ascii="Cambria" w:hAnsi="Cambria" w:cs="Courier New"/>
        </w:rPr>
        <w:t xml:space="preserve">growth chamber </w:t>
      </w:r>
      <w:r>
        <w:rPr>
          <w:rFonts w:ascii="Cambria" w:hAnsi="Cambria" w:cs="Courier New"/>
        </w:rPr>
        <w:t>(</w:t>
      </w:r>
      <w:r w:rsidRPr="00531789">
        <w:rPr>
          <w:rFonts w:ascii="Cambria" w:hAnsi="Cambria" w:cs="Courier New"/>
        </w:rPr>
        <w:t>BDR 16</w:t>
      </w:r>
      <w:r>
        <w:rPr>
          <w:rFonts w:ascii="Cambria" w:hAnsi="Cambria" w:cs="Courier New"/>
        </w:rPr>
        <w:t xml:space="preserve">, </w:t>
      </w:r>
      <w:proofErr w:type="spellStart"/>
      <w:r>
        <w:rPr>
          <w:rFonts w:ascii="Cambria" w:hAnsi="Cambria" w:cs="Courier New"/>
        </w:rPr>
        <w:t>Conviron</w:t>
      </w:r>
      <w:proofErr w:type="spellEnd"/>
      <w:r>
        <w:rPr>
          <w:rFonts w:ascii="Cambria" w:hAnsi="Cambria" w:cs="Courier New"/>
        </w:rPr>
        <w:t xml:space="preserve">, </w:t>
      </w:r>
      <w:proofErr w:type="spellStart"/>
      <w:r w:rsidRPr="00531789">
        <w:rPr>
          <w:rFonts w:ascii="Cambria" w:hAnsi="Cambria"/>
        </w:rPr>
        <w:t>Isleham</w:t>
      </w:r>
      <w:proofErr w:type="spellEnd"/>
      <w:r w:rsidRPr="00531789">
        <w:rPr>
          <w:rFonts w:ascii="Cambria" w:hAnsi="Cambria"/>
        </w:rPr>
        <w:t>, UK</w:t>
      </w:r>
      <w:r>
        <w:rPr>
          <w:rFonts w:ascii="Cambria" w:hAnsi="Cambria" w:cs="Courier New"/>
        </w:rPr>
        <w:t>)</w:t>
      </w:r>
      <w:r w:rsidRPr="00531789">
        <w:rPr>
          <w:rFonts w:ascii="Cambria" w:hAnsi="Cambria"/>
        </w:rPr>
        <w:t xml:space="preserve"> at the University of Sheffield, adapted to scrub CO</w:t>
      </w:r>
      <w:r w:rsidRPr="00531789">
        <w:rPr>
          <w:rFonts w:ascii="Cambria" w:hAnsi="Cambria"/>
          <w:vertAlign w:val="subscript"/>
        </w:rPr>
        <w:t>2</w:t>
      </w:r>
      <w:r w:rsidRPr="00531789">
        <w:rPr>
          <w:rFonts w:ascii="Cambria" w:hAnsi="Cambria"/>
        </w:rPr>
        <w:t xml:space="preserve"> using soda lime.  Plants were grown under a 16-hour photoperiod with day/night temperatures of 20/18 °C, 50% humidity, and daytime light levels of 600 </w:t>
      </w:r>
      <w:proofErr w:type="spellStart"/>
      <w:r w:rsidRPr="00531789">
        <w:rPr>
          <w:rFonts w:ascii="Cambria" w:hAnsi="Cambria"/>
        </w:rPr>
        <w:t>μmol</w:t>
      </w:r>
      <w:proofErr w:type="spellEnd"/>
      <w:r w:rsidRPr="00531789">
        <w:rPr>
          <w:rFonts w:ascii="Cambria" w:hAnsi="Cambria"/>
        </w:rPr>
        <w:t xml:space="preserve"> photons m</w:t>
      </w:r>
      <w:r w:rsidRPr="00531789">
        <w:rPr>
          <w:rFonts w:ascii="Cambria" w:hAnsi="Cambria"/>
          <w:vertAlign w:val="superscript"/>
        </w:rPr>
        <w:t>-2</w:t>
      </w:r>
      <w:r w:rsidRPr="00531789">
        <w:rPr>
          <w:rFonts w:ascii="Cambria" w:hAnsi="Cambria"/>
        </w:rPr>
        <w:t xml:space="preserve"> s</w:t>
      </w:r>
      <w:r w:rsidRPr="00531789">
        <w:rPr>
          <w:rFonts w:ascii="Cambria" w:hAnsi="Cambria"/>
          <w:vertAlign w:val="superscript"/>
        </w:rPr>
        <w:t>-1</w:t>
      </w:r>
      <w:r w:rsidRPr="00531789">
        <w:rPr>
          <w:rFonts w:ascii="Cambria" w:hAnsi="Cambria"/>
        </w:rPr>
        <w:t xml:space="preserve"> at plant height resulting in a da</w:t>
      </w:r>
      <w:r>
        <w:rPr>
          <w:rFonts w:ascii="Cambria" w:hAnsi="Cambria"/>
        </w:rPr>
        <w:t xml:space="preserve">ily light integral of 34.56 </w:t>
      </w:r>
      <w:proofErr w:type="spellStart"/>
      <w:r>
        <w:rPr>
          <w:rFonts w:ascii="Cambria" w:hAnsi="Cambria"/>
        </w:rPr>
        <w:t>mol</w:t>
      </w:r>
      <w:proofErr w:type="spellEnd"/>
      <w:r w:rsidRPr="00531789">
        <w:rPr>
          <w:rFonts w:ascii="Cambria" w:hAnsi="Cambria"/>
        </w:rPr>
        <w:t xml:space="preserve"> photons m</w:t>
      </w:r>
      <w:r w:rsidRPr="00531789">
        <w:rPr>
          <w:rFonts w:ascii="Cambria" w:hAnsi="Cambria"/>
          <w:vertAlign w:val="superscript"/>
        </w:rPr>
        <w:t>-2</w:t>
      </w:r>
      <w:r w:rsidRPr="00531789">
        <w:rPr>
          <w:rFonts w:ascii="Cambria" w:hAnsi="Cambria"/>
        </w:rPr>
        <w:t xml:space="preserve"> day</w:t>
      </w:r>
      <w:r w:rsidRPr="00531789">
        <w:rPr>
          <w:rFonts w:ascii="Cambria" w:hAnsi="Cambria"/>
          <w:vertAlign w:val="superscript"/>
        </w:rPr>
        <w:t>-1</w:t>
      </w:r>
      <w:r w:rsidRPr="00531789">
        <w:rPr>
          <w:rFonts w:ascii="Cambria" w:hAnsi="Cambria"/>
        </w:rPr>
        <w:t>.  The CO</w:t>
      </w:r>
      <w:r w:rsidRPr="00531789">
        <w:rPr>
          <w:rFonts w:ascii="Cambria" w:hAnsi="Cambria"/>
          <w:vertAlign w:val="subscript"/>
        </w:rPr>
        <w:t>2</w:t>
      </w:r>
      <w:r w:rsidRPr="00531789">
        <w:rPr>
          <w:rFonts w:ascii="Cambria" w:hAnsi="Cambria"/>
        </w:rPr>
        <w:t xml:space="preserve"> concentration in the control chamber was 280 </w:t>
      </w:r>
      <w:proofErr w:type="spellStart"/>
      <w:r w:rsidRPr="00531789">
        <w:rPr>
          <w:rFonts w:ascii="Cambria" w:hAnsi="Cambria"/>
        </w:rPr>
        <w:t>μmol</w:t>
      </w:r>
      <w:proofErr w:type="spellEnd"/>
      <w:r w:rsidRPr="00531789">
        <w:rPr>
          <w:rFonts w:ascii="Cambria" w:hAnsi="Cambria"/>
        </w:rPr>
        <w:t xml:space="preserve"> mol</w:t>
      </w:r>
      <w:r w:rsidRPr="00531789">
        <w:rPr>
          <w:rFonts w:ascii="Cambria" w:hAnsi="Cambria"/>
          <w:vertAlign w:val="superscript"/>
        </w:rPr>
        <w:t>-1</w:t>
      </w:r>
      <w:r w:rsidRPr="00531789">
        <w:rPr>
          <w:rFonts w:ascii="Cambria" w:hAnsi="Cambria"/>
        </w:rPr>
        <w:t xml:space="preserve"> CO</w:t>
      </w:r>
      <w:r w:rsidRPr="00531789">
        <w:rPr>
          <w:rFonts w:ascii="Cambria" w:hAnsi="Cambria"/>
          <w:vertAlign w:val="subscript"/>
        </w:rPr>
        <w:t>2</w:t>
      </w:r>
      <w:r w:rsidRPr="00531789">
        <w:rPr>
          <w:rFonts w:ascii="Cambria" w:hAnsi="Cambria"/>
        </w:rPr>
        <w:t>.  This is the pre-industrial atmospheric CO</w:t>
      </w:r>
      <w:r w:rsidRPr="00531789">
        <w:rPr>
          <w:rFonts w:ascii="Cambria" w:hAnsi="Cambria"/>
          <w:vertAlign w:val="subscript"/>
        </w:rPr>
        <w:t>2</w:t>
      </w:r>
      <w:r w:rsidRPr="00531789">
        <w:rPr>
          <w:rFonts w:ascii="Cambria" w:hAnsi="Cambria"/>
        </w:rPr>
        <w:t xml:space="preserve"> level and was chosen because it is recent enough that plants are able to grow well – photosynthesis in modern plants is adapted to pre-industrial CO</w:t>
      </w:r>
      <w:r w:rsidRPr="00531789">
        <w:rPr>
          <w:rFonts w:ascii="Cambria" w:hAnsi="Cambria"/>
          <w:vertAlign w:val="subscript"/>
        </w:rPr>
        <w:t>2</w:t>
      </w:r>
      <w:r w:rsidRPr="00531789">
        <w:rPr>
          <w:rFonts w:ascii="Cambria" w:hAnsi="Cambria"/>
        </w:rPr>
        <w:t xml:space="preserve"> concentrations </w:t>
      </w:r>
      <w:r w:rsidRPr="00531789">
        <w:rPr>
          <w:rFonts w:ascii="Cambria" w:hAnsi="Cambria"/>
        </w:rPr>
        <w:fldChar w:fldCharType="begin" w:fldLock="1"/>
      </w:r>
      <w:r>
        <w:rPr>
          <w:rFonts w:ascii="Cambria" w:hAnsi="Cambria"/>
        </w:rPr>
        <w:instrText>ADDIN CSL_CITATION { "citationItems" : [ { "id" : "ITEM-1", "itemData" : { "author" : [ { "dropping-particle" : "", "family" : "Zhu", "given" : "Xin-Guang", "non-dropping-particle" : "", "parse-names" : false, "suffix" : "" }, { "dropping-particle" : "", "family" : "Sturler", "given" : "Eric", "non-dropping-particle" : "de", "parse-names" : false, "suffix" : "" }, { "dropping-particle" : "", "family" : "Long", "given" : "Stephen P", "non-dropping-particle" : "", "parse-names" : false, "suffix" : "" } ], "container-title" : "Plant Physiology", "id" : "ITEM-1", "issue" : "2", "issued" : { "date-parts" : [ [ "2007" ] ] }, "page" : "513-526", "title" : "Optimizing the distribution of resources between enzymes of carbon metabolism can dramatically increase photosynthetic rate: a numerical simulation using an evolutionary algorithm", "type" : "article-journal", "volume" : "145" }, "uris" : [ "http://www.mendeley.com/documents/?uuid=5ecc1840-1cbc-48e7-9be3-06ab1ecbbe7f" ] } ], "mendeley" : { "formattedCitation" : "(Zhu &lt;i&gt;et al.&lt;/i&gt;, 2007)", "plainTextFormattedCitation" : "(Zhu et al., 2007)", "previouslyFormattedCitation" : "(Zhu &lt;i&gt;et al.&lt;/i&gt;, 2007)"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(Zhu </w:t>
      </w:r>
      <w:r w:rsidRPr="002C5907">
        <w:rPr>
          <w:rFonts w:ascii="Cambria" w:hAnsi="Cambria"/>
          <w:i/>
          <w:noProof/>
        </w:rPr>
        <w:t>et al.</w:t>
      </w:r>
      <w:r w:rsidRPr="002C5907">
        <w:rPr>
          <w:rFonts w:ascii="Cambria" w:hAnsi="Cambria"/>
          <w:noProof/>
        </w:rPr>
        <w:t>, 2007)</w:t>
      </w:r>
      <w:r w:rsidRPr="00531789">
        <w:rPr>
          <w:rFonts w:ascii="Cambria" w:hAnsi="Cambria"/>
        </w:rPr>
        <w:fldChar w:fldCharType="end"/>
      </w:r>
      <w:r w:rsidRPr="00531789">
        <w:rPr>
          <w:rFonts w:ascii="Cambria" w:hAnsi="Cambria"/>
        </w:rPr>
        <w:t xml:space="preserve"> – yet it is sufficiently low that a large difference in CO</w:t>
      </w:r>
      <w:r w:rsidRPr="00531789">
        <w:rPr>
          <w:rFonts w:ascii="Cambria" w:hAnsi="Cambria"/>
          <w:vertAlign w:val="subscript"/>
        </w:rPr>
        <w:t>2</w:t>
      </w:r>
      <w:r w:rsidRPr="00531789">
        <w:rPr>
          <w:rFonts w:ascii="Cambria" w:hAnsi="Cambria"/>
        </w:rPr>
        <w:t xml:space="preserve"> level can be achieved using the elevated CO</w:t>
      </w:r>
      <w:r w:rsidRPr="00531789">
        <w:rPr>
          <w:rFonts w:ascii="Cambria" w:hAnsi="Cambria"/>
          <w:vertAlign w:val="subscript"/>
        </w:rPr>
        <w:t>2</w:t>
      </w:r>
      <w:r w:rsidRPr="00531789">
        <w:rPr>
          <w:rFonts w:ascii="Cambria" w:hAnsi="Cambria"/>
        </w:rPr>
        <w:t xml:space="preserve"> treatment.  A second </w:t>
      </w:r>
      <w:r>
        <w:rPr>
          <w:rFonts w:ascii="Cambria" w:hAnsi="Cambria" w:cs="Courier New"/>
        </w:rPr>
        <w:t xml:space="preserve">controlled environment </w:t>
      </w:r>
      <w:r w:rsidRPr="00531789">
        <w:rPr>
          <w:rFonts w:ascii="Cambria" w:hAnsi="Cambria" w:cs="Courier New"/>
        </w:rPr>
        <w:t xml:space="preserve">growth chamber </w:t>
      </w:r>
      <w:r>
        <w:rPr>
          <w:rFonts w:ascii="Cambria" w:hAnsi="Cambria" w:cs="Courier New"/>
        </w:rPr>
        <w:t>(</w:t>
      </w:r>
      <w:r w:rsidRPr="00531789">
        <w:rPr>
          <w:rFonts w:ascii="Cambria" w:hAnsi="Cambria" w:cs="Courier New"/>
        </w:rPr>
        <w:t>BDR 16</w:t>
      </w:r>
      <w:r>
        <w:rPr>
          <w:rFonts w:ascii="Cambria" w:hAnsi="Cambria" w:cs="Courier New"/>
        </w:rPr>
        <w:t xml:space="preserve">, </w:t>
      </w:r>
      <w:proofErr w:type="spellStart"/>
      <w:r>
        <w:rPr>
          <w:rFonts w:ascii="Cambria" w:hAnsi="Cambria" w:cs="Courier New"/>
        </w:rPr>
        <w:t>Conviron</w:t>
      </w:r>
      <w:proofErr w:type="spellEnd"/>
      <w:r>
        <w:rPr>
          <w:rFonts w:ascii="Cambria" w:hAnsi="Cambria" w:cs="Courier New"/>
        </w:rPr>
        <w:t xml:space="preserve">, </w:t>
      </w:r>
      <w:proofErr w:type="spellStart"/>
      <w:r w:rsidRPr="00531789">
        <w:rPr>
          <w:rFonts w:ascii="Cambria" w:hAnsi="Cambria"/>
        </w:rPr>
        <w:t>Isleham</w:t>
      </w:r>
      <w:proofErr w:type="spellEnd"/>
      <w:r w:rsidRPr="00531789">
        <w:rPr>
          <w:rFonts w:ascii="Cambria" w:hAnsi="Cambria"/>
        </w:rPr>
        <w:t>, UK</w:t>
      </w:r>
      <w:r>
        <w:rPr>
          <w:rFonts w:ascii="Cambria" w:hAnsi="Cambria" w:cs="Courier New"/>
        </w:rPr>
        <w:t>)</w:t>
      </w:r>
      <w:r w:rsidRPr="00531789">
        <w:rPr>
          <w:rFonts w:ascii="Cambria" w:hAnsi="Cambria"/>
        </w:rPr>
        <w:t xml:space="preserve"> was used to impose the elevated CO</w:t>
      </w:r>
      <w:r w:rsidRPr="00531789">
        <w:rPr>
          <w:rFonts w:ascii="Cambria" w:hAnsi="Cambria"/>
          <w:vertAlign w:val="subscript"/>
        </w:rPr>
        <w:t>2</w:t>
      </w:r>
      <w:r w:rsidRPr="00531789">
        <w:rPr>
          <w:rFonts w:ascii="Cambria" w:hAnsi="Cambria"/>
        </w:rPr>
        <w:t xml:space="preserve"> treatment; this chamber provided 1500 </w:t>
      </w:r>
      <w:proofErr w:type="spellStart"/>
      <w:r w:rsidRPr="00531789">
        <w:rPr>
          <w:rFonts w:ascii="Cambria" w:hAnsi="Cambria"/>
        </w:rPr>
        <w:t>μmol</w:t>
      </w:r>
      <w:proofErr w:type="spellEnd"/>
      <w:r w:rsidRPr="00531789">
        <w:rPr>
          <w:rFonts w:ascii="Cambria" w:hAnsi="Cambria"/>
        </w:rPr>
        <w:t xml:space="preserve"> mol</w:t>
      </w:r>
      <w:r w:rsidRPr="00531789">
        <w:rPr>
          <w:rFonts w:ascii="Cambria" w:hAnsi="Cambria"/>
          <w:vertAlign w:val="superscript"/>
        </w:rPr>
        <w:t>-1</w:t>
      </w:r>
      <w:r w:rsidRPr="00531789">
        <w:rPr>
          <w:rFonts w:ascii="Cambria" w:hAnsi="Cambria"/>
        </w:rPr>
        <w:t xml:space="preserve"> CO</w:t>
      </w:r>
      <w:r w:rsidRPr="00531789">
        <w:rPr>
          <w:rFonts w:ascii="Cambria" w:hAnsi="Cambria"/>
          <w:vertAlign w:val="subscript"/>
        </w:rPr>
        <w:t>2</w:t>
      </w:r>
      <w:r w:rsidRPr="00531789">
        <w:rPr>
          <w:rFonts w:ascii="Cambria" w:hAnsi="Cambria"/>
        </w:rPr>
        <w:t xml:space="preserve">, but all other conditions were identical to those in the control growth chamber.  During seedling establishment and initial </w:t>
      </w:r>
      <w:r>
        <w:rPr>
          <w:rFonts w:ascii="Cambria" w:hAnsi="Cambria"/>
        </w:rPr>
        <w:t>water-saturation of the growth medium,</w:t>
      </w:r>
      <w:r w:rsidRPr="00531789">
        <w:rPr>
          <w:rFonts w:ascii="Cambria" w:hAnsi="Cambria"/>
        </w:rPr>
        <w:t xml:space="preserve"> plants were watered with 200ml Reverse Osmosis water twice daily.  Long Ashton’s nutrient solution was introduced 8 days after germination, and the frequency of watering was gradually reduced over the following week until plants were watered three times per week with 400ml 20% Long Ashton’s nutrient solution.  </w:t>
      </w:r>
    </w:p>
    <w:p w14:paraId="78B793FB" w14:textId="77777777" w:rsidR="00DF4522" w:rsidRPr="00531789" w:rsidRDefault="00DF4522" w:rsidP="00DF4522">
      <w:pPr>
        <w:spacing w:line="360" w:lineRule="auto"/>
        <w:jc w:val="both"/>
        <w:rPr>
          <w:rFonts w:ascii="Cambria" w:hAnsi="Cambria"/>
        </w:rPr>
      </w:pPr>
    </w:p>
    <w:p w14:paraId="35B4FBFF" w14:textId="77777777" w:rsidR="00DF4522" w:rsidRPr="00531789" w:rsidRDefault="00DF4522" w:rsidP="00DF4522">
      <w:pPr>
        <w:spacing w:line="360" w:lineRule="auto"/>
        <w:jc w:val="both"/>
        <w:rPr>
          <w:rFonts w:ascii="Cambria" w:hAnsi="Cambria"/>
          <w:b/>
        </w:rPr>
      </w:pPr>
      <w:r w:rsidRPr="00531789">
        <w:rPr>
          <w:rFonts w:ascii="Cambria" w:hAnsi="Cambria"/>
          <w:b/>
        </w:rPr>
        <w:t>Elevated CO</w:t>
      </w:r>
      <w:r w:rsidRPr="00531789">
        <w:rPr>
          <w:rFonts w:ascii="Cambria" w:hAnsi="Cambria"/>
          <w:b/>
          <w:vertAlign w:val="subscript"/>
        </w:rPr>
        <w:t>2</w:t>
      </w:r>
      <w:r w:rsidRPr="00531789">
        <w:rPr>
          <w:rFonts w:ascii="Cambria" w:hAnsi="Cambria"/>
          <w:b/>
        </w:rPr>
        <w:t xml:space="preserve"> transient and partial defoliation treatments</w:t>
      </w:r>
    </w:p>
    <w:p w14:paraId="7B342A31" w14:textId="77777777" w:rsidR="00DF4522" w:rsidRPr="00531789" w:rsidRDefault="00DF4522" w:rsidP="00DF4522">
      <w:pPr>
        <w:spacing w:line="360" w:lineRule="auto"/>
        <w:jc w:val="both"/>
        <w:rPr>
          <w:rFonts w:ascii="Cambria" w:hAnsi="Cambria"/>
        </w:rPr>
      </w:pPr>
    </w:p>
    <w:p w14:paraId="1B43A1B9" w14:textId="77777777" w:rsidR="00DF4522" w:rsidRPr="00531789" w:rsidRDefault="00DF4522" w:rsidP="00DF4522">
      <w:pPr>
        <w:spacing w:line="360" w:lineRule="auto"/>
        <w:jc w:val="both"/>
        <w:rPr>
          <w:rFonts w:ascii="Cambria" w:hAnsi="Cambria"/>
        </w:rPr>
      </w:pPr>
      <w:r w:rsidRPr="00531789">
        <w:rPr>
          <w:rFonts w:ascii="Cambria" w:hAnsi="Cambria"/>
        </w:rPr>
        <w:t>For the transient elevated CO</w:t>
      </w:r>
      <w:r w:rsidRPr="00531789">
        <w:rPr>
          <w:rFonts w:ascii="Cambria" w:hAnsi="Cambria"/>
          <w:vertAlign w:val="subscript"/>
        </w:rPr>
        <w:t>2</w:t>
      </w:r>
      <w:r w:rsidRPr="00531789">
        <w:rPr>
          <w:rFonts w:ascii="Cambria" w:hAnsi="Cambria"/>
        </w:rPr>
        <w:t xml:space="preserve"> treatment, plants were transferred from the control chamber to the elevated CO</w:t>
      </w:r>
      <w:r w:rsidRPr="00531789">
        <w:rPr>
          <w:rFonts w:ascii="Cambria" w:hAnsi="Cambria"/>
          <w:vertAlign w:val="subscript"/>
        </w:rPr>
        <w:t>2</w:t>
      </w:r>
      <w:r w:rsidRPr="00531789">
        <w:rPr>
          <w:rFonts w:ascii="Cambria" w:hAnsi="Cambria"/>
        </w:rPr>
        <w:t xml:space="preserve"> chamber 14 days before harvest.  10 extraneous plants were kept in the elevated CO</w:t>
      </w:r>
      <w:r w:rsidRPr="00531789">
        <w:rPr>
          <w:rFonts w:ascii="Cambria" w:hAnsi="Cambria"/>
          <w:vertAlign w:val="subscript"/>
        </w:rPr>
        <w:t>2</w:t>
      </w:r>
      <w:r w:rsidRPr="00531789">
        <w:rPr>
          <w:rFonts w:ascii="Cambria" w:hAnsi="Cambria"/>
        </w:rPr>
        <w:t xml:space="preserve"> chamber throughout the experiment to provide a canopy, so that the experimental plants being transferred to the elevated CO</w:t>
      </w:r>
      <w:r w:rsidRPr="00531789">
        <w:rPr>
          <w:rFonts w:ascii="Cambria" w:hAnsi="Cambria"/>
          <w:vertAlign w:val="subscript"/>
        </w:rPr>
        <w:t>2</w:t>
      </w:r>
      <w:r w:rsidRPr="00531789">
        <w:rPr>
          <w:rFonts w:ascii="Cambria" w:hAnsi="Cambria"/>
        </w:rPr>
        <w:t xml:space="preserve"> chamber would experience similar shading from neighbouring plants as they had done in the control chamber, rather than experiencing an increase in light level that would confound the effect of elevated CO</w:t>
      </w:r>
      <w:r w:rsidRPr="00531789">
        <w:rPr>
          <w:rFonts w:ascii="Cambria" w:hAnsi="Cambria"/>
          <w:vertAlign w:val="subscript"/>
        </w:rPr>
        <w:t>2</w:t>
      </w:r>
      <w:r w:rsidRPr="00531789">
        <w:rPr>
          <w:rFonts w:ascii="Cambria" w:hAnsi="Cambria"/>
        </w:rPr>
        <w:t>.</w:t>
      </w:r>
    </w:p>
    <w:p w14:paraId="0C9FFCDE" w14:textId="77777777" w:rsidR="00DF4522" w:rsidRPr="00531789" w:rsidRDefault="00DF4522" w:rsidP="00DF4522">
      <w:pPr>
        <w:spacing w:line="360" w:lineRule="auto"/>
        <w:jc w:val="both"/>
        <w:rPr>
          <w:rFonts w:ascii="Cambria" w:hAnsi="Cambria"/>
        </w:rPr>
      </w:pPr>
    </w:p>
    <w:p w14:paraId="70B48F23" w14:textId="77777777" w:rsidR="00DF4522" w:rsidRPr="00531789" w:rsidRDefault="00DF4522" w:rsidP="00DF4522">
      <w:pPr>
        <w:spacing w:line="360" w:lineRule="auto"/>
        <w:jc w:val="both"/>
        <w:rPr>
          <w:rFonts w:ascii="Cambria" w:hAnsi="Cambria"/>
        </w:rPr>
      </w:pPr>
      <w:r w:rsidRPr="00531789">
        <w:rPr>
          <w:rFonts w:ascii="Cambria" w:hAnsi="Cambria"/>
        </w:rPr>
        <w:t>For the partial defoliation treatment, 50% of the leaf material was removed using scissors 8 days before harvest (5 days before for harvest 1).  This treatment involved removing alternate leaves from every tiller, removing a representative sample of older and younger leaves.  Defoliated and control plants were kept in the control growth chamber throughout the experiment.</w:t>
      </w:r>
    </w:p>
    <w:p w14:paraId="59E41E49" w14:textId="77777777" w:rsidR="00DF4522" w:rsidRPr="00531789" w:rsidRDefault="00DF4522" w:rsidP="00DF4522">
      <w:pPr>
        <w:spacing w:line="360" w:lineRule="auto"/>
        <w:jc w:val="both"/>
        <w:rPr>
          <w:rFonts w:ascii="Cambria" w:hAnsi="Cambria"/>
        </w:rPr>
      </w:pPr>
    </w:p>
    <w:p w14:paraId="1F6AB801" w14:textId="77777777" w:rsidR="00DF4522" w:rsidRPr="00531789" w:rsidRDefault="00DF4522" w:rsidP="00DF4522">
      <w:pPr>
        <w:spacing w:line="360" w:lineRule="auto"/>
        <w:jc w:val="both"/>
        <w:rPr>
          <w:rFonts w:ascii="Cambria" w:hAnsi="Cambria"/>
        </w:rPr>
      </w:pPr>
      <w:r w:rsidRPr="00531789">
        <w:rPr>
          <w:rFonts w:ascii="Cambria" w:hAnsi="Cambria"/>
        </w:rPr>
        <w:t xml:space="preserve">Treatments were carried out at three </w:t>
      </w:r>
      <w:proofErr w:type="spellStart"/>
      <w:r w:rsidRPr="00531789">
        <w:rPr>
          <w:rFonts w:ascii="Cambria" w:hAnsi="Cambria"/>
        </w:rPr>
        <w:t>timepoints</w:t>
      </w:r>
      <w:proofErr w:type="spellEnd"/>
      <w:r w:rsidRPr="00531789">
        <w:rPr>
          <w:rFonts w:ascii="Cambria" w:hAnsi="Cambria"/>
        </w:rPr>
        <w:t xml:space="preserve"> during the vegetative growth stage such that measurements were repeated three times: 4, 6 and 10 weeks after germination.  Six sets of measurements had been scheduled, but the experiment was truncated due to a </w:t>
      </w:r>
      <w:proofErr w:type="spellStart"/>
      <w:r w:rsidRPr="00531789">
        <w:rPr>
          <w:rFonts w:ascii="Cambria" w:hAnsi="Cambria"/>
          <w:i/>
        </w:rPr>
        <w:t>Ramularia</w:t>
      </w:r>
      <w:proofErr w:type="spellEnd"/>
      <w:r w:rsidRPr="00531789">
        <w:rPr>
          <w:rFonts w:ascii="Cambria" w:hAnsi="Cambria"/>
        </w:rPr>
        <w:t xml:space="preserve"> infection which led to severe leaf damage developing in plants before the fourth harvest.  For the third harvest, only undamaged leaves were measured.  For each set of measurements, three plants were transferred to elevated CO</w:t>
      </w:r>
      <w:r w:rsidRPr="00531789">
        <w:rPr>
          <w:rFonts w:ascii="Cambria" w:hAnsi="Cambria"/>
          <w:vertAlign w:val="subscript"/>
        </w:rPr>
        <w:t>2</w:t>
      </w:r>
      <w:r w:rsidRPr="00531789">
        <w:rPr>
          <w:rFonts w:ascii="Cambria" w:hAnsi="Cambria"/>
        </w:rPr>
        <w:t>, three plants were defoliated, and three plants were used as controls; thus a total of 27 plants were measured in the study.</w:t>
      </w:r>
    </w:p>
    <w:p w14:paraId="5C21BDE7" w14:textId="77777777" w:rsidR="00DF4522" w:rsidRPr="00531789" w:rsidRDefault="00DF4522" w:rsidP="00DF4522">
      <w:pPr>
        <w:spacing w:line="360" w:lineRule="auto"/>
        <w:jc w:val="both"/>
        <w:rPr>
          <w:rFonts w:ascii="Cambria" w:hAnsi="Cambria"/>
        </w:rPr>
      </w:pPr>
    </w:p>
    <w:p w14:paraId="157F21F5" w14:textId="77777777" w:rsidR="00DF4522" w:rsidRPr="00531789" w:rsidRDefault="00DF4522" w:rsidP="00DF4522">
      <w:pPr>
        <w:spacing w:line="360" w:lineRule="auto"/>
        <w:jc w:val="both"/>
        <w:rPr>
          <w:rFonts w:ascii="Cambria" w:hAnsi="Cambria"/>
          <w:b/>
        </w:rPr>
      </w:pPr>
      <w:r w:rsidRPr="00531789">
        <w:rPr>
          <w:rFonts w:ascii="Cambria" w:hAnsi="Cambria"/>
          <w:b/>
        </w:rPr>
        <w:t xml:space="preserve">Gas exchange measurements </w:t>
      </w:r>
    </w:p>
    <w:p w14:paraId="49468214" w14:textId="77777777" w:rsidR="00DF4522" w:rsidRPr="00531789" w:rsidRDefault="00DF4522" w:rsidP="00DF4522">
      <w:pPr>
        <w:spacing w:line="360" w:lineRule="auto"/>
        <w:jc w:val="both"/>
        <w:rPr>
          <w:rFonts w:ascii="Cambria" w:hAnsi="Cambria"/>
        </w:rPr>
      </w:pPr>
    </w:p>
    <w:p w14:paraId="30F91D72" w14:textId="77777777" w:rsidR="00DF4522" w:rsidRPr="00531789" w:rsidRDefault="00DF4522" w:rsidP="00DF4522">
      <w:pPr>
        <w:spacing w:line="360" w:lineRule="auto"/>
        <w:jc w:val="both"/>
        <w:rPr>
          <w:rFonts w:ascii="Cambria" w:hAnsi="Cambria"/>
        </w:rPr>
      </w:pPr>
      <w:r w:rsidRPr="00531789">
        <w:rPr>
          <w:rFonts w:ascii="Cambria" w:hAnsi="Cambria"/>
        </w:rPr>
        <w:t>Leaf gas exchange measurements were performed in the growth chambers, using a portable open gas exchange system (LI-6400XT</w:t>
      </w:r>
      <w:r>
        <w:rPr>
          <w:rFonts w:ascii="Cambria" w:hAnsi="Cambria"/>
        </w:rPr>
        <w:t xml:space="preserve"> </w:t>
      </w:r>
      <w:r w:rsidRPr="00531789">
        <w:rPr>
          <w:rFonts w:ascii="Cambria" w:hAnsi="Cambria"/>
        </w:rPr>
        <w:t xml:space="preserve">with Leaf Chamber </w:t>
      </w:r>
      <w:proofErr w:type="spellStart"/>
      <w:r w:rsidRPr="00531789">
        <w:rPr>
          <w:rFonts w:ascii="Cambria" w:hAnsi="Cambria"/>
        </w:rPr>
        <w:t>Fluorometer</w:t>
      </w:r>
      <w:proofErr w:type="spellEnd"/>
      <w:r w:rsidRPr="00531789">
        <w:rPr>
          <w:rFonts w:ascii="Cambria" w:hAnsi="Cambria"/>
        </w:rPr>
        <w:t xml:space="preserve"> attachment, LI-COR Biosciences, Lincoln, Nebraska, USA).  These measurements were made at regular intervals from the time each treatment was applied until each harvest.  For the elevated CO</w:t>
      </w:r>
      <w:r w:rsidRPr="00531789">
        <w:rPr>
          <w:rFonts w:ascii="Cambria" w:hAnsi="Cambria"/>
          <w:vertAlign w:val="subscript"/>
        </w:rPr>
        <w:t>2</w:t>
      </w:r>
      <w:r w:rsidRPr="00531789">
        <w:rPr>
          <w:rFonts w:ascii="Cambria" w:hAnsi="Cambria"/>
        </w:rPr>
        <w:t xml:space="preserve"> treatment, measurements of net photosynthetic rate were made under chamber conditions on elevated CO</w:t>
      </w:r>
      <w:r w:rsidRPr="00531789">
        <w:rPr>
          <w:rFonts w:ascii="Cambria" w:hAnsi="Cambria"/>
          <w:vertAlign w:val="subscript"/>
        </w:rPr>
        <w:t>2</w:t>
      </w:r>
      <w:r w:rsidRPr="00531789">
        <w:rPr>
          <w:rFonts w:ascii="Cambria" w:hAnsi="Cambria"/>
        </w:rPr>
        <w:t xml:space="preserve"> plants and control plants to confirm that the treatment had increased source activity, following a 2-minute acclimation period in the leaf cuvette.  For the defoliation treatment, which was expected to </w:t>
      </w:r>
      <w:proofErr w:type="spellStart"/>
      <w:r w:rsidRPr="00531789">
        <w:rPr>
          <w:rFonts w:ascii="Cambria" w:hAnsi="Cambria"/>
        </w:rPr>
        <w:t>upregulate</w:t>
      </w:r>
      <w:proofErr w:type="spellEnd"/>
      <w:r w:rsidRPr="00531789">
        <w:rPr>
          <w:rFonts w:ascii="Cambria" w:hAnsi="Cambria"/>
        </w:rPr>
        <w:t xml:space="preserve"> photosynthetic capacity in the remaining leaves, A/</w:t>
      </w:r>
      <w:proofErr w:type="spellStart"/>
      <w:r w:rsidRPr="00531789">
        <w:rPr>
          <w:rFonts w:ascii="Cambria" w:hAnsi="Cambria"/>
        </w:rPr>
        <w:t>C</w:t>
      </w:r>
      <w:r w:rsidRPr="00531789">
        <w:rPr>
          <w:rFonts w:ascii="Cambria" w:hAnsi="Cambria"/>
          <w:vertAlign w:val="subscript"/>
        </w:rPr>
        <w:t>i</w:t>
      </w:r>
      <w:proofErr w:type="spellEnd"/>
      <w:r w:rsidRPr="00531789">
        <w:rPr>
          <w:rFonts w:ascii="Cambria" w:hAnsi="Cambria"/>
        </w:rPr>
        <w:t xml:space="preserve"> curves, dose-response functions of net photosynthetic rate (A) to leaf internal CO</w:t>
      </w:r>
      <w:r w:rsidRPr="00531789">
        <w:rPr>
          <w:rFonts w:ascii="Cambria" w:hAnsi="Cambria"/>
          <w:vertAlign w:val="subscript"/>
        </w:rPr>
        <w:t>2</w:t>
      </w:r>
      <w:r w:rsidRPr="00531789">
        <w:rPr>
          <w:rFonts w:ascii="Cambria" w:hAnsi="Cambria"/>
        </w:rPr>
        <w:t xml:space="preserve"> concentration (</w:t>
      </w:r>
      <w:proofErr w:type="spellStart"/>
      <w:r w:rsidRPr="00531789">
        <w:rPr>
          <w:rFonts w:ascii="Cambria" w:hAnsi="Cambria"/>
        </w:rPr>
        <w:t>C</w:t>
      </w:r>
      <w:r w:rsidRPr="00531789">
        <w:rPr>
          <w:rFonts w:ascii="Cambria" w:hAnsi="Cambria"/>
          <w:vertAlign w:val="subscript"/>
        </w:rPr>
        <w:t>i</w:t>
      </w:r>
      <w:proofErr w:type="spellEnd"/>
      <w:r w:rsidRPr="00531789">
        <w:rPr>
          <w:rFonts w:ascii="Cambria" w:hAnsi="Cambria"/>
        </w:rPr>
        <w:t xml:space="preserve">), were measured for defoliated plants and control plants by running an </w:t>
      </w:r>
      <w:proofErr w:type="spellStart"/>
      <w:r w:rsidRPr="00531789">
        <w:rPr>
          <w:rFonts w:ascii="Cambria" w:hAnsi="Cambria"/>
        </w:rPr>
        <w:t>autoprogramme</w:t>
      </w:r>
      <w:proofErr w:type="spellEnd"/>
      <w:r w:rsidRPr="00531789">
        <w:rPr>
          <w:rFonts w:ascii="Cambria" w:hAnsi="Cambria"/>
        </w:rPr>
        <w:t xml:space="preserve"> measuring A at a range of values of </w:t>
      </w:r>
      <w:proofErr w:type="spellStart"/>
      <w:r w:rsidRPr="00531789">
        <w:rPr>
          <w:rFonts w:ascii="Cambria" w:hAnsi="Cambria"/>
        </w:rPr>
        <w:t>C</w:t>
      </w:r>
      <w:r w:rsidRPr="00531789">
        <w:rPr>
          <w:rFonts w:ascii="Cambria" w:hAnsi="Cambria"/>
          <w:vertAlign w:val="subscript"/>
        </w:rPr>
        <w:t>i</w:t>
      </w:r>
      <w:proofErr w:type="spellEnd"/>
      <w:r w:rsidRPr="00531789">
        <w:rPr>
          <w:rFonts w:ascii="Cambria" w:hAnsi="Cambria"/>
        </w:rPr>
        <w:t>.  These curves were also measured for defoliated plants before the defoliation treatment was imposed so that pre-existing differences in photosynthetic parameters could be accounted for during analysis.  The youngest fully expanded leaf was selected for gas exchange and the same leaf on each individual was always used.  The reference CO</w:t>
      </w:r>
      <w:r w:rsidRPr="00531789">
        <w:rPr>
          <w:rFonts w:ascii="Cambria" w:hAnsi="Cambria"/>
          <w:vertAlign w:val="subscript"/>
        </w:rPr>
        <w:t>2</w:t>
      </w:r>
      <w:r w:rsidRPr="00531789">
        <w:rPr>
          <w:rFonts w:ascii="Cambria" w:hAnsi="Cambria"/>
        </w:rPr>
        <w:t xml:space="preserve"> values used were 320, 200, 100, 50, 320, 320, 600, 800, 1000, 1200, 1400, 320 </w:t>
      </w:r>
      <w:proofErr w:type="spellStart"/>
      <w:r w:rsidRPr="00531789">
        <w:rPr>
          <w:rFonts w:ascii="Cambria" w:hAnsi="Cambria"/>
        </w:rPr>
        <w:t>μmol</w:t>
      </w:r>
      <w:proofErr w:type="spellEnd"/>
      <w:r w:rsidRPr="00531789">
        <w:rPr>
          <w:rFonts w:ascii="Cambria" w:hAnsi="Cambria"/>
        </w:rPr>
        <w:t xml:space="preserve"> mol</w:t>
      </w:r>
      <w:r w:rsidRPr="00531789">
        <w:rPr>
          <w:rFonts w:ascii="Cambria" w:hAnsi="Cambria"/>
          <w:vertAlign w:val="superscript"/>
        </w:rPr>
        <w:t>-1</w:t>
      </w:r>
      <w:r w:rsidRPr="00531789">
        <w:rPr>
          <w:rFonts w:ascii="Cambria" w:hAnsi="Cambria"/>
        </w:rPr>
        <w:t xml:space="preserve">, with wait times of 60-150 seconds between points to enable photosynthesis to reach steady state.  Curves were performed at a photon flux density of 1500 </w:t>
      </w:r>
      <w:proofErr w:type="spellStart"/>
      <w:r w:rsidRPr="00531789">
        <w:rPr>
          <w:rFonts w:ascii="Cambria" w:hAnsi="Cambria"/>
        </w:rPr>
        <w:t>μmol</w:t>
      </w:r>
      <w:proofErr w:type="spellEnd"/>
      <w:r w:rsidRPr="00531789">
        <w:rPr>
          <w:rFonts w:ascii="Cambria" w:hAnsi="Cambria"/>
        </w:rPr>
        <w:t xml:space="preserve"> photons m</w:t>
      </w:r>
      <w:r w:rsidRPr="00531789">
        <w:rPr>
          <w:rFonts w:ascii="Cambria" w:hAnsi="Cambria"/>
          <w:vertAlign w:val="superscript"/>
        </w:rPr>
        <w:t>-2</w:t>
      </w:r>
      <w:r w:rsidRPr="00531789">
        <w:rPr>
          <w:rFonts w:ascii="Cambria" w:hAnsi="Cambria"/>
        </w:rPr>
        <w:t xml:space="preserve"> s</w:t>
      </w:r>
      <w:r w:rsidRPr="00531789">
        <w:rPr>
          <w:rFonts w:ascii="Cambria" w:hAnsi="Cambria"/>
          <w:vertAlign w:val="superscript"/>
        </w:rPr>
        <w:t>-1</w:t>
      </w:r>
      <w:r w:rsidRPr="00531789">
        <w:rPr>
          <w:rFonts w:ascii="Cambria" w:hAnsi="Cambria"/>
        </w:rPr>
        <w:t xml:space="preserve"> in order to light-saturate photosynthesis, relative humidity of approximately 60% (controlled by keeping a constant H</w:t>
      </w:r>
      <w:r w:rsidRPr="00531789">
        <w:rPr>
          <w:rFonts w:ascii="Cambria" w:hAnsi="Cambria"/>
          <w:vertAlign w:val="subscript"/>
        </w:rPr>
        <w:t>2</w:t>
      </w:r>
      <w:r w:rsidRPr="00531789">
        <w:rPr>
          <w:rFonts w:ascii="Cambria" w:hAnsi="Cambria"/>
        </w:rPr>
        <w:t xml:space="preserve">O </w:t>
      </w:r>
      <w:proofErr w:type="spellStart"/>
      <w:r w:rsidRPr="00531789">
        <w:rPr>
          <w:rFonts w:ascii="Cambria" w:hAnsi="Cambria"/>
        </w:rPr>
        <w:t>mol</w:t>
      </w:r>
      <w:proofErr w:type="spellEnd"/>
      <w:r w:rsidRPr="00531789">
        <w:rPr>
          <w:rFonts w:ascii="Cambria" w:hAnsi="Cambria"/>
        </w:rPr>
        <w:t xml:space="preserve"> fraction), leaf temperature of 20</w:t>
      </w:r>
      <w:r w:rsidRPr="00531789">
        <w:rPr>
          <w:rFonts w:ascii="Cambria" w:hAnsi="Cambria" w:cs="Lucida Grande"/>
          <w:b/>
        </w:rPr>
        <w:t>°</w:t>
      </w:r>
      <w:r w:rsidRPr="00531789">
        <w:rPr>
          <w:rFonts w:ascii="Cambria" w:hAnsi="Cambria"/>
        </w:rPr>
        <w:t>C, and a flow rate in the leaf cuvette of 300</w:t>
      </w:r>
      <w:r w:rsidRPr="00531789">
        <w:rPr>
          <w:rFonts w:ascii="Cambria" w:hAnsi="Cambria" w:cs="Lucida Grande"/>
        </w:rPr>
        <w:t xml:space="preserve"> </w:t>
      </w:r>
      <w:proofErr w:type="spellStart"/>
      <w:r w:rsidRPr="00531789">
        <w:rPr>
          <w:rFonts w:ascii="Cambria" w:hAnsi="Cambria"/>
        </w:rPr>
        <w:t>μmol</w:t>
      </w:r>
      <w:proofErr w:type="spellEnd"/>
      <w:r w:rsidRPr="00531789">
        <w:rPr>
          <w:rFonts w:ascii="Cambria" w:hAnsi="Cambria"/>
        </w:rPr>
        <w:t xml:space="preserve"> s</w:t>
      </w:r>
      <w:r w:rsidRPr="00531789">
        <w:rPr>
          <w:rFonts w:ascii="Cambria" w:hAnsi="Cambria"/>
          <w:vertAlign w:val="superscript"/>
        </w:rPr>
        <w:t>-1</w:t>
      </w:r>
      <w:r w:rsidRPr="00531789">
        <w:rPr>
          <w:rFonts w:ascii="Cambria" w:hAnsi="Cambria"/>
        </w:rPr>
        <w:t xml:space="preserve">.  These curves were subsequently modelled using the approach of Sharkey </w:t>
      </w:r>
      <w:r w:rsidRPr="00531789">
        <w:rPr>
          <w:rFonts w:ascii="Cambria" w:hAnsi="Cambria"/>
          <w:i/>
        </w:rPr>
        <w:t>et al</w:t>
      </w:r>
      <w:r w:rsidRPr="00531789">
        <w:rPr>
          <w:rFonts w:ascii="Cambria" w:hAnsi="Cambria"/>
        </w:rPr>
        <w:t xml:space="preserve">. </w:t>
      </w:r>
      <w:r w:rsidRPr="00531789">
        <w:rPr>
          <w:rFonts w:ascii="Cambria" w:hAnsi="Cambria"/>
        </w:rPr>
        <w:fldChar w:fldCharType="begin" w:fldLock="1"/>
      </w:r>
      <w:r>
        <w:rPr>
          <w:rFonts w:ascii="Cambria" w:hAnsi="Cambria"/>
        </w:rPr>
        <w:instrText>ADDIN CSL_CITATION { "citationItems" : [ { "id" : "ITEM-1", "itemData" : { "DOI" : "10.1111/j.1365-3040.2007.01710.x", "ISSN" : "0140-7791", "PMID" : "17661745", "abstract" : "Photosynthetic responses to carbon dioxide concentration can provide data on a number of important parameters related to leaf physiology. Methods for fitting a model to such data are briefly described. The method will fit the following parameters: V(cmax), J, TPU, R(d) and g(m)[maximum carboxylation rate allowed by ribulose 1.5-bisphosphate carboxylase/oxygenase (Rubisco), rate of photosynthetic electron transport (based on NADPH requirement), triose phosphate use, day respiration and mesophyll conductance, respectively]. The method requires at least five data pairs of net CO(2) assimilation (A) and [CO(2)] in the intercellular airspaces of the leaf (C(i)) and requires users to indicate the presumed limiting factor. The output is (1) calculated CO(2) partial pressure at the sites of carboxylation, C(c), (2) values for the five parameters at the measurement temperature and (3) values adjusted to 25 degrees C to facilitate comparisons. Fitting this model is a way of exploring leaf level photosynthesis. However, interpreting leaf level photosynthesis in terms of underlying biochemistry and biophysics is subject to assumptions that hold to a greater or lesser degree, a major assumption being that all parts of the leaf are behaving in the same way at each instant.", "author" : [ { "dropping-particle" : "", "family" : "Sharkey", "given" : "Thomas D", "non-dropping-particle" : "", "parse-names" : false, "suffix" : "" }, { "dropping-particle" : "", "family" : "Bernacchi", "given" : "Carl J", "non-dropping-particle" : "", "parse-names" : false, "suffix" : "" }, { "dropping-particle" : "", "family" : "Farquhar", "given" : "Graham D", "non-dropping-particle" : "", "parse-names" : false, "suffix" : "" }, { "dropping-particle" : "", "family" : "Singsaas", "given" : "Eric L", "non-dropping-particle" : "", "parse-names" : false, "suffix" : "" } ], "container-title" : "Plant, Cell &amp; Environment", "id" : "ITEM-1", "issue" : "9", "issued" : { "date-parts" : [ [ "2007", "9" ] ] }, "page" : "1035-40", "title" : "Fitting photosynthetic carbon dioxide response curves for C3 leaves.", "type" : "article-journal", "volume" : "30" }, "uris" : [ "http://www.mendeley.com/documents/?uuid=8d8b2784-0309-4469-a80e-62a79670b7f8" ] } ], "mendeley" : { "formattedCitation" : "(Sharkey &lt;i&gt;et al.&lt;/i&gt;, 2007)", "manualFormatting" : "(2007)", "plainTextFormattedCitation" : "(Sharkey et al., 2007)", "previouslyFormattedCitation" : "(Sharkey &lt;i&gt;et al.&lt;/i&gt;, 2007)"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(2007)</w:t>
      </w:r>
      <w:r w:rsidRPr="00531789">
        <w:rPr>
          <w:rFonts w:ascii="Cambria" w:hAnsi="Cambria"/>
        </w:rPr>
        <w:fldChar w:fldCharType="end"/>
      </w:r>
      <w:r w:rsidRPr="00531789">
        <w:rPr>
          <w:rFonts w:ascii="Cambria" w:hAnsi="Cambria"/>
        </w:rPr>
        <w:t xml:space="preserve">.  Due to technical problems, only stabilised ambient measurements of net photosynthesis and </w:t>
      </w:r>
      <w:proofErr w:type="spellStart"/>
      <w:r w:rsidRPr="00531789">
        <w:rPr>
          <w:rFonts w:ascii="Cambria" w:hAnsi="Cambria"/>
        </w:rPr>
        <w:t>stomatal</w:t>
      </w:r>
      <w:proofErr w:type="spellEnd"/>
      <w:r w:rsidRPr="00531789">
        <w:rPr>
          <w:rFonts w:ascii="Cambria" w:hAnsi="Cambria"/>
        </w:rPr>
        <w:t xml:space="preserve"> conductance were measured for plants at 10 weeks old</w:t>
      </w:r>
      <w:r>
        <w:rPr>
          <w:rFonts w:ascii="Cambria" w:hAnsi="Cambria"/>
        </w:rPr>
        <w:t xml:space="preserve"> (the third harvest)</w:t>
      </w:r>
      <w:r w:rsidRPr="00531789">
        <w:rPr>
          <w:rFonts w:ascii="Cambria" w:hAnsi="Cambria"/>
        </w:rPr>
        <w:t xml:space="preserve">.   </w:t>
      </w:r>
    </w:p>
    <w:p w14:paraId="5FEB72A2" w14:textId="77777777" w:rsidR="00DF4522" w:rsidRDefault="00DF4522" w:rsidP="00DF4522">
      <w:pPr>
        <w:spacing w:line="360" w:lineRule="auto"/>
        <w:jc w:val="both"/>
        <w:rPr>
          <w:rFonts w:ascii="Cambria" w:hAnsi="Cambria"/>
        </w:rPr>
      </w:pPr>
    </w:p>
    <w:p w14:paraId="669990FC" w14:textId="77777777" w:rsidR="00DF4522" w:rsidRPr="00531789" w:rsidRDefault="00DF4522" w:rsidP="00DF4522">
      <w:pPr>
        <w:spacing w:line="360" w:lineRule="auto"/>
        <w:jc w:val="both"/>
        <w:rPr>
          <w:rFonts w:ascii="Cambria" w:hAnsi="Cambria"/>
          <w:b/>
        </w:rPr>
      </w:pPr>
      <w:r w:rsidRPr="00531789">
        <w:rPr>
          <w:rFonts w:ascii="Cambria" w:hAnsi="Cambria"/>
          <w:b/>
        </w:rPr>
        <w:t>Determination of non-structural carbohydrates and protein</w:t>
      </w:r>
    </w:p>
    <w:p w14:paraId="2C5BEF1C" w14:textId="77777777" w:rsidR="00DF4522" w:rsidRDefault="00DF4522" w:rsidP="00DF4522">
      <w:pPr>
        <w:spacing w:before="240" w:line="360" w:lineRule="auto"/>
        <w:jc w:val="both"/>
        <w:rPr>
          <w:rFonts w:ascii="Cambria" w:hAnsi="Cambria" w:cs="Courier New"/>
        </w:rPr>
      </w:pPr>
      <w:r w:rsidRPr="00531789">
        <w:rPr>
          <w:rFonts w:ascii="Cambria" w:hAnsi="Cambria"/>
        </w:rPr>
        <w:t xml:space="preserve">Leaves were harvested at the end of the photoperiod.  A subsample of leaf midsections representing all leaf ages were flash frozen </w:t>
      </w:r>
      <w:r>
        <w:rPr>
          <w:rFonts w:ascii="Cambria" w:hAnsi="Cambria"/>
        </w:rPr>
        <w:t>in liquid nitrogen, stored at -</w:t>
      </w:r>
      <w:r w:rsidRPr="00531789">
        <w:rPr>
          <w:rFonts w:ascii="Cambria" w:hAnsi="Cambria"/>
        </w:rPr>
        <w:t xml:space="preserve">80°C, and </w:t>
      </w:r>
      <w:proofErr w:type="spellStart"/>
      <w:r w:rsidRPr="00531789">
        <w:rPr>
          <w:rFonts w:ascii="Cambria" w:hAnsi="Cambria"/>
        </w:rPr>
        <w:t>cryoshipped</w:t>
      </w:r>
      <w:proofErr w:type="spellEnd"/>
      <w:r w:rsidRPr="00531789">
        <w:rPr>
          <w:rFonts w:ascii="Cambria" w:hAnsi="Cambria"/>
        </w:rPr>
        <w:t xml:space="preserve"> to Brookhaven National Laboratory for analysis.  Metabolites were extracted from the frozen tissue using </w:t>
      </w:r>
      <w:r>
        <w:rPr>
          <w:rFonts w:ascii="Cambria" w:hAnsi="Cambria"/>
        </w:rPr>
        <w:t xml:space="preserve">sequential ethanol extractions.  </w:t>
      </w:r>
      <w:r w:rsidRPr="00531789">
        <w:rPr>
          <w:rFonts w:ascii="Cambria" w:hAnsi="Cambria" w:cs="Courier New"/>
        </w:rPr>
        <w:t xml:space="preserve">All biochemical analysis was conducted in standard 96-well </w:t>
      </w:r>
      <w:proofErr w:type="spellStart"/>
      <w:r w:rsidRPr="00531789">
        <w:rPr>
          <w:rFonts w:ascii="Cambria" w:hAnsi="Cambria" w:cs="Courier New"/>
        </w:rPr>
        <w:t>microplates</w:t>
      </w:r>
      <w:proofErr w:type="spellEnd"/>
      <w:r w:rsidRPr="00531789">
        <w:rPr>
          <w:rFonts w:ascii="Cambria" w:hAnsi="Cambria" w:cs="Courier New"/>
        </w:rPr>
        <w:t xml:space="preserve"> (</w:t>
      </w:r>
      <w:proofErr w:type="spellStart"/>
      <w:r w:rsidRPr="00531789">
        <w:rPr>
          <w:rFonts w:ascii="Cambria" w:hAnsi="Cambria" w:cs="Courier New"/>
        </w:rPr>
        <w:t>Microtest</w:t>
      </w:r>
      <w:proofErr w:type="spellEnd"/>
      <w:r w:rsidRPr="00531789">
        <w:rPr>
          <w:rFonts w:ascii="Cambria" w:hAnsi="Cambria" w:cs="Courier New"/>
        </w:rPr>
        <w:t xml:space="preserve"> Plate 96-Well Flat Bottom, </w:t>
      </w:r>
      <w:proofErr w:type="spellStart"/>
      <w:r w:rsidRPr="00531789">
        <w:rPr>
          <w:rFonts w:ascii="Cambria" w:hAnsi="Cambria" w:cs="Courier New"/>
        </w:rPr>
        <w:t>Sarstedt</w:t>
      </w:r>
      <w:proofErr w:type="spellEnd"/>
      <w:r w:rsidRPr="00531789">
        <w:rPr>
          <w:rFonts w:ascii="Cambria" w:hAnsi="Cambria" w:cs="Courier New"/>
        </w:rPr>
        <w:t xml:space="preserve">, </w:t>
      </w:r>
      <w:proofErr w:type="spellStart"/>
      <w:r w:rsidRPr="00531789">
        <w:rPr>
          <w:rFonts w:ascii="Cambria" w:hAnsi="Cambria" w:cs="Courier New"/>
        </w:rPr>
        <w:t>Nümbrecht</w:t>
      </w:r>
      <w:proofErr w:type="spellEnd"/>
      <w:r w:rsidRPr="00531789">
        <w:rPr>
          <w:rFonts w:ascii="Cambria" w:hAnsi="Cambria" w:cs="Courier New"/>
        </w:rPr>
        <w:t>, Germany), using a robotic liquid handling system (Evolution P</w:t>
      </w:r>
      <w:r w:rsidRPr="00531789">
        <w:rPr>
          <w:rFonts w:ascii="Cambria" w:hAnsi="Cambria" w:cs="Courier New"/>
          <w:vertAlign w:val="superscript"/>
        </w:rPr>
        <w:t>3</w:t>
      </w:r>
      <w:r w:rsidRPr="00531789">
        <w:rPr>
          <w:rFonts w:ascii="Cambria" w:hAnsi="Cambria" w:cs="Courier New"/>
        </w:rPr>
        <w:t xml:space="preserve"> Precision Pipetting Platform, Perkin Elmer, Waltham, MA, USA).</w:t>
      </w:r>
      <w:r>
        <w:rPr>
          <w:rFonts w:ascii="Cambria" w:hAnsi="Cambria" w:cs="Courier New"/>
        </w:rPr>
        <w:t xml:space="preserve">  </w:t>
      </w:r>
    </w:p>
    <w:p w14:paraId="5DF0DDA9" w14:textId="77777777" w:rsidR="00DF4522" w:rsidRDefault="00DF4522" w:rsidP="00DF4522">
      <w:pPr>
        <w:spacing w:before="240" w:line="360" w:lineRule="auto"/>
        <w:jc w:val="both"/>
        <w:rPr>
          <w:rFonts w:ascii="Cambria" w:hAnsi="Cambria" w:cs="Courier New"/>
        </w:rPr>
      </w:pPr>
    </w:p>
    <w:p w14:paraId="7C748A16" w14:textId="77777777" w:rsidR="00DF4522" w:rsidRDefault="00DF4522" w:rsidP="00DF4522">
      <w:pPr>
        <w:spacing w:line="360" w:lineRule="auto"/>
        <w:jc w:val="both"/>
        <w:rPr>
          <w:rFonts w:ascii="Cambria" w:hAnsi="Cambria" w:cs="Courier New"/>
        </w:rPr>
      </w:pPr>
      <w:r>
        <w:rPr>
          <w:rFonts w:ascii="Cambria" w:hAnsi="Cambria" w:cs="Courier New"/>
        </w:rPr>
        <w:t>E</w:t>
      </w:r>
      <w:r w:rsidRPr="00531789">
        <w:rPr>
          <w:rFonts w:ascii="Cambria" w:hAnsi="Cambria" w:cs="Courier New"/>
        </w:rPr>
        <w:t xml:space="preserve">thanol soluble carbohydrates (glucose, fructose, sucrose, low degree of polymerisation (LDP) </w:t>
      </w:r>
      <w:proofErr w:type="spellStart"/>
      <w:r w:rsidRPr="00531789">
        <w:rPr>
          <w:rFonts w:ascii="Cambria" w:hAnsi="Cambria" w:cs="Courier New"/>
        </w:rPr>
        <w:t>fructan</w:t>
      </w:r>
      <w:proofErr w:type="spellEnd"/>
      <w:r w:rsidRPr="00531789">
        <w:rPr>
          <w:rFonts w:ascii="Cambria" w:hAnsi="Cambria" w:cs="Courier New"/>
        </w:rPr>
        <w:t xml:space="preserve">) were analysed using a continuous enzymatic substrate assay as described previously </w:t>
      </w:r>
      <w:r w:rsidRPr="00531789">
        <w:rPr>
          <w:rFonts w:ascii="Cambria" w:hAnsi="Cambria" w:cs="Courier New"/>
        </w:rPr>
        <w:fldChar w:fldCharType="begin" w:fldLock="1"/>
      </w:r>
      <w:r>
        <w:rPr>
          <w:rFonts w:ascii="Cambria" w:hAnsi="Cambria" w:cs="Courier New"/>
        </w:rPr>
        <w:instrText>ADDIN CSL_CITATION { "citationItems" : [ { "id" : "ITEM-1", "itemData" : { "DOI" : "10.1093/jxb/erl233", "ISSN" : "0022-0957", "PMID" : "17158509", "abstract" : "Increases in growth at elevated [CO2] may be constrained by a plant's ability to assimilate the nutrients needed for new tissue in sufficient quantity to match the increase in carbon fixation and/or the ability to transport those nutrients and carbon in sufficient quantity to growing organs and tissues. Analysis of metabolites provides an indication of shifts in carbon and nitrogen partitioning due to rising atmospheric [CO2] and can help identify where bottlenecks in carbon utilization occur. In this study, the carbon and nitrogen balance was investigated in growing and fully expanded soybean leaves exposed to elevated [CO2] in a free air CO2 enrichment experiment. Diurnal photosynthesis and diurnal profiles of carbon and nitrogen metabolites were measured during two different crop growth stages. Diurnal carbon gain was increased by c. 20% in elevated [CO2] in fully expanded leaves, which led to significant increases in leaf hexose, sucrose, and starch contents. However, there was no detectable difference in nitrogen-rich amino acids and ureides in mature leaves. By contrast to mature leaves, developing leaves had high concentrations of ureides and amino acids relative to low concentrations of carbohydrates. Developing leaves at elevated [CO2] had smaller pools of ureides compared with developing leaves at ambient [CO2], which suggests N assimilation in young leaves was improved by elevated [CO2]. This work shows that elevated [CO2] alters the balance of carbon and nitrogen pools in both mature and growing soybean leaves, which could have down-stream impacts on growth and productivity.", "author" : [ { "dropping-particle" : "", "family" : "Ainsworth", "given" : "Elizabeth A", "non-dropping-particle" : "", "parse-names" : false, "suffix" : "" }, { "dropping-particle" : "", "family" : "Rogers", "given" : "Alistair", "non-dropping-particle" : "", "parse-names" : false, "suffix" : "" }, { "dropping-particle" : "", "family" : "Leakey", "given" : "Andrew D B", "non-dropping-particle" : "", "parse-names" : false, "suffix" : "" }, { "dropping-particle" : "", "family" : "Heady", "given" : "Lindsey E", "non-dropping-particle" : "", "parse-names" : false, "suffix" : "" }, { "dropping-particle" : "", "family" : "Gibon", "given" : "Yves", "non-dropping-particle" : "", "parse-names" : false, "suffix" : "" }, { "dropping-particle" : "", "family" : "Stitt", "given" : "Mark", "non-dropping-particle" : "", "parse-names" : false, "suffix" : "" }, { "dropping-particle" : "", "family" : "Schurr", "given" : "Ulrich", "non-dropping-particle" : "", "parse-names" : false, "suffix" : "" } ], "container-title" : "Journal of Experimental Botany", "id" : "ITEM-1", "issue" : "3", "issued" : { "date-parts" : [ [ "2007", "1" ] ] }, "page" : "579-91", "title" : "Does elevated atmospheric [CO2] alter diurnal C uptake and the balance of C and N metabolites in growing and fully expanded soybean leaves?", "type" : "article-journal", "volume" : "58" }, "uris" : [ "http://www.mendeley.com/documents/?uuid=f82a9f7c-fb52-4ea0-90d7-8b361aabe56b" ] } ], "mendeley" : { "formattedCitation" : "(Ainsworth &lt;i&gt;et al.&lt;/i&gt;, 2007)", "plainTextFormattedCitation" : "(Ainsworth et al., 2007)", "previouslyFormattedCitation" : "(Ainsworth &lt;i&gt;et al.&lt;/i&gt;, 2007)" }, "properties" : { "noteIndex" : 0 }, "schema" : "https://github.com/citation-style-language/schema/raw/master/csl-citation.json" }</w:instrText>
      </w:r>
      <w:r w:rsidRPr="00531789">
        <w:rPr>
          <w:rFonts w:ascii="Cambria" w:hAnsi="Cambria" w:cs="Courier New"/>
        </w:rPr>
        <w:fldChar w:fldCharType="separate"/>
      </w:r>
      <w:r w:rsidRPr="002C5907">
        <w:rPr>
          <w:rFonts w:ascii="Cambria" w:hAnsi="Cambria" w:cs="Courier New"/>
          <w:noProof/>
        </w:rPr>
        <w:t xml:space="preserve">(Ainsworth </w:t>
      </w:r>
      <w:r w:rsidRPr="002C5907">
        <w:rPr>
          <w:rFonts w:ascii="Cambria" w:hAnsi="Cambria" w:cs="Courier New"/>
          <w:i/>
          <w:noProof/>
        </w:rPr>
        <w:t>et al.</w:t>
      </w:r>
      <w:r w:rsidRPr="002C5907">
        <w:rPr>
          <w:rFonts w:ascii="Cambria" w:hAnsi="Cambria" w:cs="Courier New"/>
          <w:noProof/>
        </w:rPr>
        <w:t>, 2007)</w:t>
      </w:r>
      <w:r w:rsidRPr="00531789">
        <w:rPr>
          <w:rFonts w:ascii="Cambria" w:hAnsi="Cambria" w:cs="Courier New"/>
        </w:rPr>
        <w:fldChar w:fldCharType="end"/>
      </w:r>
      <w:r w:rsidRPr="00531789">
        <w:rPr>
          <w:rFonts w:ascii="Cambria" w:hAnsi="Cambria" w:cs="Courier New"/>
        </w:rPr>
        <w:t xml:space="preserve"> adapted for measuring sucrose in the presence of LDP </w:t>
      </w:r>
      <w:proofErr w:type="spellStart"/>
      <w:r w:rsidRPr="00531789">
        <w:rPr>
          <w:rFonts w:ascii="Cambria" w:hAnsi="Cambria" w:cs="Courier New"/>
        </w:rPr>
        <w:t>fructans</w:t>
      </w:r>
      <w:proofErr w:type="spellEnd"/>
      <w:r w:rsidRPr="00531789">
        <w:rPr>
          <w:rFonts w:ascii="Cambria" w:hAnsi="Cambria" w:cs="Courier New"/>
        </w:rPr>
        <w:t xml:space="preserve"> </w:t>
      </w:r>
      <w:r w:rsidRPr="00531789">
        <w:rPr>
          <w:rFonts w:ascii="Cambria" w:hAnsi="Cambria" w:cs="Courier New"/>
        </w:rPr>
        <w:fldChar w:fldCharType="begin" w:fldLock="1"/>
      </w:r>
      <w:r>
        <w:rPr>
          <w:rFonts w:ascii="Cambria" w:hAnsi="Cambria" w:cs="Courier New"/>
        </w:rPr>
        <w:instrText>ADDIN CSL_CITATION { "citationItems" : [ { "id" : "ITEM-1", "itemData" : { "DOI" : "10.1016/S0176-1617(97)80061-2", "ISSN" : "01761617", "abstract" : "A simple three-step assay has been developed for the analysis of nanomole quantities of glucose, fructose and sucrose from small plant samples in the presence of fructans. The assay of crude ethanol/water extracts proceeds by the sequential addition of the commercially available enzymes; hexokinase, phosphogluco-iso- merase, and sucrose phosphorylase. The assay was compared with conventional coupled assays for glucose and fructose, together with TLC and HPLC assays for total water-soluble carbohydrates. All assays showed similar results over the range of standards and plant samples tested. The assay has been developed for use on microtiter plate readers, allowing for the screening of large numbers of samples rapidly. Fructan con- tent in the same plant samples can be calculated following the determination of tOtal free and combined hexoses. Key", "author" : [ { "dropping-particle" : "", "family" : "Harrison", "given" : "J.", "non-dropping-particle" : "", "parse-names" : false, "suffix" : "" }, { "dropping-particle" : "", "family" : "Gallagher", "given" : "J.A.", "non-dropping-particle" : "", "parse-names" : false, "suffix" : "" }, { "dropping-particle" : "", "family" : "Pollock", "given" : "C.J.", "non-dropping-particle" : "", "parse-names" : false, "suffix" : "" } ], "container-title" : "Journal of Plant Physiology", "id" : "ITEM-1", "issue" : "6", "issued" : { "date-parts" : [ [ "1997", "1" ] ] }, "note" : "From Alistair, at BNL Jan 2014", "page" : "654-659", "title" : "A simple and rapid method for the analysis of water-soluble carbohydrates from small segments of cereal leaf tissue", "type" : "article-journal", "volume" : "151" }, "uris" : [ "http://www.mendeley.com/documents/?uuid=dc22adb8-f113-467c-8167-c3d7e69ea9e1" ] } ], "mendeley" : { "formattedCitation" : "(Harrison &lt;i&gt;et al.&lt;/i&gt;, 1997)", "plainTextFormattedCitation" : "(Harrison et al., 1997)", "previouslyFormattedCitation" : "(Harrison &lt;i&gt;et al.&lt;/i&gt;, 1997)" }, "properties" : { "noteIndex" : 0 }, "schema" : "https://github.com/citation-style-language/schema/raw/master/csl-citation.json" }</w:instrText>
      </w:r>
      <w:r w:rsidRPr="00531789">
        <w:rPr>
          <w:rFonts w:ascii="Cambria" w:hAnsi="Cambria" w:cs="Courier New"/>
        </w:rPr>
        <w:fldChar w:fldCharType="separate"/>
      </w:r>
      <w:r w:rsidRPr="002C5907">
        <w:rPr>
          <w:rFonts w:ascii="Cambria" w:hAnsi="Cambria" w:cs="Courier New"/>
          <w:noProof/>
        </w:rPr>
        <w:t xml:space="preserve">(Harrison </w:t>
      </w:r>
      <w:r w:rsidRPr="002C5907">
        <w:rPr>
          <w:rFonts w:ascii="Cambria" w:hAnsi="Cambria" w:cs="Courier New"/>
          <w:i/>
          <w:noProof/>
        </w:rPr>
        <w:t>et al.</w:t>
      </w:r>
      <w:r w:rsidRPr="002C5907">
        <w:rPr>
          <w:rFonts w:ascii="Cambria" w:hAnsi="Cambria" w:cs="Courier New"/>
          <w:noProof/>
        </w:rPr>
        <w:t>, 1997)</w:t>
      </w:r>
      <w:r w:rsidRPr="00531789">
        <w:rPr>
          <w:rFonts w:ascii="Cambria" w:hAnsi="Cambria" w:cs="Courier New"/>
        </w:rPr>
        <w:fldChar w:fldCharType="end"/>
      </w:r>
      <w:r w:rsidRPr="00531789">
        <w:rPr>
          <w:rFonts w:ascii="Cambria" w:hAnsi="Cambria" w:cs="Courier New"/>
        </w:rPr>
        <w:t>.</w:t>
      </w:r>
      <w:r>
        <w:rPr>
          <w:rFonts w:ascii="Cambria" w:hAnsi="Cambria" w:cs="Courier New"/>
        </w:rPr>
        <w:t xml:space="preserve">  </w:t>
      </w:r>
      <w:r w:rsidRPr="00280726">
        <w:rPr>
          <w:rFonts w:ascii="Cambria" w:hAnsi="Cambria"/>
        </w:rPr>
        <w:t xml:space="preserve">After testing the assay of Harrison et al. (1997) it was decided to omit the coupling enzyme </w:t>
      </w:r>
      <w:proofErr w:type="spellStart"/>
      <w:r w:rsidRPr="00280726">
        <w:rPr>
          <w:rFonts w:ascii="Cambria" w:hAnsi="Cambria"/>
        </w:rPr>
        <w:t>phosphoglucomutase</w:t>
      </w:r>
      <w:proofErr w:type="spellEnd"/>
      <w:r w:rsidRPr="00280726">
        <w:rPr>
          <w:rFonts w:ascii="Cambria" w:hAnsi="Cambria"/>
        </w:rPr>
        <w:t xml:space="preserve"> (EC 2.7.5.1) and the substrate glucose-1-phosphate and simply multiply the signal associated with fructose liberated from sucrose by two rather than independently measure the liberated glucose.  </w:t>
      </w:r>
      <w:r w:rsidRPr="00280726">
        <w:rPr>
          <w:rFonts w:ascii="Cambria" w:hAnsi="Cambria" w:cs="Courier New"/>
        </w:rPr>
        <w:t>As described previously, a glucose assay mix of HEPES buffer containing 3.6U well</w:t>
      </w:r>
      <w:r w:rsidRPr="00280726">
        <w:rPr>
          <w:rFonts w:ascii="Cambria" w:hAnsi="Cambria" w:cs="Courier New"/>
          <w:vertAlign w:val="superscript"/>
        </w:rPr>
        <w:t>-1</w:t>
      </w:r>
      <w:r w:rsidRPr="00280726">
        <w:rPr>
          <w:rFonts w:ascii="Cambria" w:hAnsi="Cambria" w:cs="Courier New"/>
        </w:rPr>
        <w:t xml:space="preserve"> glucose-6-phosphate dehydrogenase and sufficient ATP, NADP and inorganic phosphate to complete the subsequent </w:t>
      </w:r>
      <w:proofErr w:type="spellStart"/>
      <w:r w:rsidRPr="00280726">
        <w:rPr>
          <w:rFonts w:ascii="Cambria" w:hAnsi="Cambria" w:cs="Courier New"/>
        </w:rPr>
        <w:t>enzymic</w:t>
      </w:r>
      <w:proofErr w:type="spellEnd"/>
      <w:r w:rsidRPr="00280726">
        <w:rPr>
          <w:rFonts w:ascii="Cambria" w:hAnsi="Cambria" w:cs="Courier New"/>
        </w:rPr>
        <w:t xml:space="preserve"> reactions was added to an aliquot of the ethanol extract obtained from the frozen tissue samples.  Enzymes were added sequentially; when the amount of NADPH released due to the presence of a given carbohydrate stabilised, the next enzyme was added.  In this manner, 1U well</w:t>
      </w:r>
      <w:r w:rsidRPr="00280726">
        <w:rPr>
          <w:rFonts w:ascii="Cambria" w:hAnsi="Cambria" w:cs="Courier New"/>
          <w:vertAlign w:val="superscript"/>
        </w:rPr>
        <w:t>-1</w:t>
      </w:r>
      <w:r w:rsidRPr="00280726">
        <w:rPr>
          <w:rFonts w:ascii="Cambria" w:hAnsi="Cambria" w:cs="Courier New"/>
        </w:rPr>
        <w:t xml:space="preserve"> of the enzymes </w:t>
      </w:r>
      <w:r w:rsidRPr="00280726">
        <w:rPr>
          <w:rFonts w:ascii="Cambria" w:hAnsi="Cambria"/>
        </w:rPr>
        <w:t xml:space="preserve">hexokinase (EC 2.7.1.1), </w:t>
      </w:r>
      <w:proofErr w:type="spellStart"/>
      <w:r w:rsidRPr="00280726">
        <w:rPr>
          <w:rFonts w:ascii="Cambria" w:hAnsi="Cambria"/>
        </w:rPr>
        <w:t>phosphoglucose-isomerase</w:t>
      </w:r>
      <w:proofErr w:type="spellEnd"/>
      <w:r w:rsidRPr="00280726">
        <w:rPr>
          <w:rFonts w:ascii="Cambria" w:hAnsi="Cambria"/>
        </w:rPr>
        <w:t xml:space="preserve"> (EC 5.3.1.9), sucrose </w:t>
      </w:r>
      <w:proofErr w:type="spellStart"/>
      <w:r w:rsidRPr="00280726">
        <w:rPr>
          <w:rFonts w:ascii="Cambria" w:hAnsi="Cambria"/>
        </w:rPr>
        <w:t>phosphorylase</w:t>
      </w:r>
      <w:proofErr w:type="spellEnd"/>
      <w:r w:rsidRPr="00280726">
        <w:rPr>
          <w:rFonts w:ascii="Cambria" w:hAnsi="Cambria"/>
        </w:rPr>
        <w:t xml:space="preserve"> (EC 2.4.1.7) and a combined solution of </w:t>
      </w:r>
      <w:proofErr w:type="spellStart"/>
      <w:r w:rsidRPr="00280726">
        <w:rPr>
          <w:rFonts w:ascii="Cambria" w:hAnsi="Cambria"/>
        </w:rPr>
        <w:t>exo-inulinase</w:t>
      </w:r>
      <w:proofErr w:type="spellEnd"/>
      <w:r w:rsidRPr="00280726">
        <w:rPr>
          <w:rFonts w:ascii="Cambria" w:hAnsi="Cambria"/>
        </w:rPr>
        <w:t xml:space="preserve"> (EC 3.2.1.80) and </w:t>
      </w:r>
      <w:proofErr w:type="spellStart"/>
      <w:r w:rsidRPr="00280726">
        <w:rPr>
          <w:rFonts w:ascii="Cambria" w:hAnsi="Cambria"/>
        </w:rPr>
        <w:t>endo-inulinase</w:t>
      </w:r>
      <w:proofErr w:type="spellEnd"/>
      <w:r w:rsidRPr="00280726">
        <w:rPr>
          <w:rFonts w:ascii="Cambria" w:hAnsi="Cambria"/>
        </w:rPr>
        <w:t xml:space="preserve"> (EC 3.2.1.7) was added in HEPES buffer.  The </w:t>
      </w:r>
      <w:r w:rsidRPr="00280726">
        <w:rPr>
          <w:rFonts w:ascii="Cambria" w:hAnsi="Cambria" w:cs="Courier New"/>
        </w:rPr>
        <w:t>NADPH signal associated with each carbohydrate in the sample was measured at A</w:t>
      </w:r>
      <w:r w:rsidRPr="00280726">
        <w:rPr>
          <w:rFonts w:ascii="Cambria" w:hAnsi="Cambria" w:cs="Courier New"/>
          <w:vertAlign w:val="subscript"/>
        </w:rPr>
        <w:t>340</w:t>
      </w:r>
      <w:r w:rsidRPr="00280726">
        <w:rPr>
          <w:rFonts w:ascii="Cambria" w:hAnsi="Cambria" w:cs="Courier New"/>
        </w:rPr>
        <w:t xml:space="preserve"> (ELx808, </w:t>
      </w:r>
      <w:proofErr w:type="spellStart"/>
      <w:r w:rsidRPr="00280726">
        <w:rPr>
          <w:rFonts w:ascii="Cambria" w:hAnsi="Cambria" w:cs="Courier New"/>
        </w:rPr>
        <w:t>BioTek</w:t>
      </w:r>
      <w:proofErr w:type="spellEnd"/>
      <w:r w:rsidRPr="00280726">
        <w:rPr>
          <w:rFonts w:ascii="Cambria" w:hAnsi="Cambria" w:cs="Courier New"/>
        </w:rPr>
        <w:t>, Winooski, VT, USA)</w:t>
      </w:r>
      <w:r>
        <w:rPr>
          <w:rFonts w:ascii="Cambria" w:hAnsi="Cambria" w:cs="Courier New"/>
        </w:rPr>
        <w:t xml:space="preserve"> and converted to </w:t>
      </w:r>
      <w:proofErr w:type="spellStart"/>
      <w:r>
        <w:rPr>
          <w:rFonts w:ascii="Cambria" w:hAnsi="Cambria" w:cs="Courier New"/>
        </w:rPr>
        <w:t>nmol</w:t>
      </w:r>
      <w:proofErr w:type="spellEnd"/>
      <w:r>
        <w:rPr>
          <w:rFonts w:ascii="Cambria" w:hAnsi="Cambria" w:cs="Courier New"/>
        </w:rPr>
        <w:t xml:space="preserve"> hexose equivalents using a standard curve loaded on each plate</w:t>
      </w:r>
      <w:r w:rsidRPr="00280726">
        <w:rPr>
          <w:rFonts w:ascii="Cambria" w:hAnsi="Cambria" w:cs="Courier New"/>
        </w:rPr>
        <w:t>.</w:t>
      </w:r>
    </w:p>
    <w:p w14:paraId="1DE26B33" w14:textId="77777777" w:rsidR="00DF4522" w:rsidRDefault="00DF4522" w:rsidP="00DF4522">
      <w:pPr>
        <w:spacing w:line="360" w:lineRule="auto"/>
        <w:jc w:val="both"/>
        <w:rPr>
          <w:rFonts w:ascii="Cambria" w:hAnsi="Cambria" w:cs="Courier New"/>
        </w:rPr>
      </w:pPr>
    </w:p>
    <w:p w14:paraId="12374B16"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 xml:space="preserve">The pellets from the ethanol extraction were heated to 95°C in 0.1M </w:t>
      </w:r>
      <w:proofErr w:type="spellStart"/>
      <w:r w:rsidRPr="00531789">
        <w:rPr>
          <w:rFonts w:ascii="Cambria" w:hAnsi="Cambria" w:cs="Courier New"/>
        </w:rPr>
        <w:t>NaOH</w:t>
      </w:r>
      <w:proofErr w:type="spellEnd"/>
      <w:r w:rsidRPr="00531789">
        <w:rPr>
          <w:rFonts w:ascii="Cambria" w:hAnsi="Cambria" w:cs="Courier New"/>
        </w:rPr>
        <w:t xml:space="preserve">, to solubilise protein. A commercially available protein assay kit (Pierce BCA protein assay kit, </w:t>
      </w:r>
      <w:proofErr w:type="spellStart"/>
      <w:r w:rsidRPr="00531789">
        <w:rPr>
          <w:rFonts w:ascii="Cambria" w:hAnsi="Cambria" w:cs="Courier New"/>
        </w:rPr>
        <w:t>Thermoscientific</w:t>
      </w:r>
      <w:proofErr w:type="spellEnd"/>
      <w:r w:rsidRPr="00531789">
        <w:rPr>
          <w:rFonts w:ascii="Cambria" w:hAnsi="Cambria" w:cs="Courier New"/>
        </w:rPr>
        <w:t xml:space="preserve">, Rockford, IL, USA) based on the Lowry method was used to measure protein content </w:t>
      </w:r>
      <w:r w:rsidRPr="00531789">
        <w:rPr>
          <w:rFonts w:ascii="Cambria" w:hAnsi="Cambria" w:cs="Courier New"/>
        </w:rPr>
        <w:fldChar w:fldCharType="begin" w:fldLock="1"/>
      </w:r>
      <w:r>
        <w:rPr>
          <w:rFonts w:ascii="Cambria" w:hAnsi="Cambria" w:cs="Courier New"/>
        </w:rPr>
        <w:instrText>ADDIN CSL_CITATION { "citationItems" : [ { "id" : "ITEM-1", "itemData" : { "DOI" : "10.1016/0304-3894(92)87011-4", "ISBN" : "0021-9258 (Print)\\r0021-9258 (Linking)", "ISSN" : "0021-9258", "PMID" : "14907713", "abstract" : "Since 1922 when Wu proposed the use of the Folin phenol reagent for the measurement of proteins (l), a number of modified analytical procedures utilizing this reagent have been reported for the determination of proteins in serum (2-G), in antigen-antibody precipitates (7-9), and in insulin (10). Although the reagent would seem to be recommended by its great sensitivity and the simplicity of procedure possible with its use, it has not found great favor for general biochemical purposes. In the belief that this reagent, nevertheless, has considerable merit for certain application, but that its peculiarities and limitations need to be understood for its fullest exploitation, it has been studied with regard to effects of variations in pH, time of reaction, and concentration of reactants, permissible levels of reagents commonly used in handling proteins, and interfering substances. Procedures are described for measuring protein in solution or after precipitation with acids or other agents, and for the determination of as little as 0.2 y of protein.", "author" : [ { "dropping-particle" : "", "family" : "Lowry", "given" : "OH", "non-dropping-particle" : "", "parse-names" : false, "suffix" : "" }, { "dropping-particle" : "", "family" : "Rosebrough", "given" : "NJ", "non-dropping-particle" : "", "parse-names" : false, "suffix" : "" }, { "dropping-particle" : "", "family" : "Farr", "given" : "AL", "non-dropping-particle" : "", "parse-names" : false, "suffix" : "" }, { "dropping-particle" : "", "family" : "Randall", "given" : "RJ", "non-dropping-particle" : "", "parse-names" : false, "suffix" : "" } ], "container-title" : "The Journal of Biological Chemistry", "id" : "ITEM-1", "issue" : "1", "issued" : { "date-parts" : [ [ "1951" ] ] }, "page" : "265-275", "title" : "Protein measurement with the folin phenol reagent", "type" : "article-journal", "volume" : "193" }, "uris" : [ "http://www.mendeley.com/documents/?uuid=92ae06ea-fa4a-4e7b-a923-f221b4eb13e7" ] } ], "mendeley" : { "formattedCitation" : "(Lowry &lt;i&gt;et al.&lt;/i&gt;, 1951)", "plainTextFormattedCitation" : "(Lowry et al., 1951)", "previouslyFormattedCitation" : "(Lowry &lt;i&gt;et al.&lt;/i&gt;, 1951)" }, "properties" : { "noteIndex" : 0 }, "schema" : "https://github.com/citation-style-language/schema/raw/master/csl-citation.json" }</w:instrText>
      </w:r>
      <w:r w:rsidRPr="00531789">
        <w:rPr>
          <w:rFonts w:ascii="Cambria" w:hAnsi="Cambria" w:cs="Courier New"/>
        </w:rPr>
        <w:fldChar w:fldCharType="separate"/>
      </w:r>
      <w:r w:rsidRPr="002C5907">
        <w:rPr>
          <w:rFonts w:ascii="Cambria" w:hAnsi="Cambria" w:cs="Courier New"/>
          <w:noProof/>
        </w:rPr>
        <w:t xml:space="preserve">(Lowry </w:t>
      </w:r>
      <w:r w:rsidRPr="002C5907">
        <w:rPr>
          <w:rFonts w:ascii="Cambria" w:hAnsi="Cambria" w:cs="Courier New"/>
          <w:i/>
          <w:noProof/>
        </w:rPr>
        <w:t>et al.</w:t>
      </w:r>
      <w:r w:rsidRPr="002C5907">
        <w:rPr>
          <w:rFonts w:ascii="Cambria" w:hAnsi="Cambria" w:cs="Courier New"/>
          <w:noProof/>
        </w:rPr>
        <w:t>, 1951)</w:t>
      </w:r>
      <w:r w:rsidRPr="00531789">
        <w:rPr>
          <w:rFonts w:ascii="Cambria" w:hAnsi="Cambria" w:cs="Courier New"/>
        </w:rPr>
        <w:fldChar w:fldCharType="end"/>
      </w:r>
      <w:r w:rsidRPr="00531789">
        <w:rPr>
          <w:rFonts w:ascii="Cambria" w:hAnsi="Cambria" w:cs="Courier New"/>
        </w:rPr>
        <w:t xml:space="preserve"> using BSA as a standard.  Following the protein assay, samples were neutralised with </w:t>
      </w:r>
      <w:proofErr w:type="spellStart"/>
      <w:r w:rsidRPr="00531789">
        <w:rPr>
          <w:rFonts w:ascii="Cambria" w:hAnsi="Cambria" w:cs="Courier New"/>
        </w:rPr>
        <w:t>HCl</w:t>
      </w:r>
      <w:proofErr w:type="spellEnd"/>
      <w:r w:rsidRPr="00531789">
        <w:rPr>
          <w:rFonts w:ascii="Cambria" w:hAnsi="Cambria" w:cs="Courier New"/>
        </w:rPr>
        <w:t xml:space="preserve">. </w:t>
      </w:r>
    </w:p>
    <w:p w14:paraId="6E485060" w14:textId="77777777" w:rsidR="00DF4522" w:rsidRPr="00531789" w:rsidRDefault="00DF4522" w:rsidP="00DF4522">
      <w:pPr>
        <w:spacing w:line="360" w:lineRule="auto"/>
        <w:jc w:val="both"/>
        <w:rPr>
          <w:rFonts w:ascii="Cambria" w:hAnsi="Cambria" w:cs="Courier New"/>
        </w:rPr>
      </w:pPr>
    </w:p>
    <w:p w14:paraId="6740545B"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 xml:space="preserve">For the starch and high degree of polymerisation (HDP) </w:t>
      </w:r>
      <w:proofErr w:type="spellStart"/>
      <w:r w:rsidRPr="00531789">
        <w:rPr>
          <w:rFonts w:ascii="Cambria" w:hAnsi="Cambria" w:cs="Courier New"/>
        </w:rPr>
        <w:t>fructan</w:t>
      </w:r>
      <w:proofErr w:type="spellEnd"/>
      <w:r w:rsidRPr="00531789">
        <w:rPr>
          <w:rFonts w:ascii="Cambria" w:hAnsi="Cambria" w:cs="Courier New"/>
        </w:rPr>
        <w:t xml:space="preserve"> assay, starch and HDP </w:t>
      </w:r>
      <w:proofErr w:type="spellStart"/>
      <w:r w:rsidRPr="00531789">
        <w:rPr>
          <w:rFonts w:ascii="Cambria" w:hAnsi="Cambria" w:cs="Courier New"/>
        </w:rPr>
        <w:t>fructans</w:t>
      </w:r>
      <w:proofErr w:type="spellEnd"/>
      <w:r w:rsidRPr="00531789">
        <w:rPr>
          <w:rFonts w:ascii="Cambria" w:hAnsi="Cambria" w:cs="Courier New"/>
        </w:rPr>
        <w:t xml:space="preserve"> from 40 µl aliquots of the suspended pellet material were digested using enzymes in 60 µl 0.05M acetate buffer as follows.  Starch: 0.17U well</w:t>
      </w:r>
      <w:r w:rsidRPr="00531789">
        <w:rPr>
          <w:rFonts w:ascii="Cambria" w:hAnsi="Cambria" w:cs="Courier New"/>
          <w:vertAlign w:val="superscript"/>
        </w:rPr>
        <w:t xml:space="preserve">-1 </w:t>
      </w:r>
      <w:proofErr w:type="spellStart"/>
      <w:r w:rsidRPr="00531789">
        <w:rPr>
          <w:rFonts w:ascii="Cambria" w:hAnsi="Cambria" w:cs="Courier New"/>
        </w:rPr>
        <w:t>amyloglucosidase</w:t>
      </w:r>
      <w:proofErr w:type="spellEnd"/>
      <w:r w:rsidRPr="00531789">
        <w:rPr>
          <w:rFonts w:ascii="Cambria" w:hAnsi="Cambria" w:cs="Courier New"/>
        </w:rPr>
        <w:t xml:space="preserve"> (EC 3.2.1.3) and 0.1U well</w:t>
      </w:r>
      <w:r w:rsidRPr="00531789">
        <w:rPr>
          <w:rFonts w:ascii="Cambria" w:hAnsi="Cambria" w:cs="Courier New"/>
          <w:vertAlign w:val="superscript"/>
        </w:rPr>
        <w:t>-1</w:t>
      </w:r>
      <w:r w:rsidRPr="00531789">
        <w:rPr>
          <w:rFonts w:ascii="Cambria" w:hAnsi="Cambria" w:cs="Courier New"/>
        </w:rPr>
        <w:t xml:space="preserve"> α-amylase (EC 3.2.1.1); starch and HD</w:t>
      </w:r>
      <w:r>
        <w:rPr>
          <w:rFonts w:ascii="Cambria" w:hAnsi="Cambria" w:cs="Courier New"/>
        </w:rPr>
        <w:t>P</w:t>
      </w:r>
      <w:r w:rsidRPr="00531789">
        <w:rPr>
          <w:rFonts w:ascii="Cambria" w:hAnsi="Cambria" w:cs="Courier New"/>
        </w:rPr>
        <w:t xml:space="preserve"> </w:t>
      </w:r>
      <w:proofErr w:type="spellStart"/>
      <w:r w:rsidRPr="00531789">
        <w:rPr>
          <w:rFonts w:ascii="Cambria" w:hAnsi="Cambria" w:cs="Courier New"/>
        </w:rPr>
        <w:t>fructan</w:t>
      </w:r>
      <w:proofErr w:type="spellEnd"/>
      <w:r w:rsidRPr="00531789">
        <w:rPr>
          <w:rFonts w:ascii="Cambria" w:hAnsi="Cambria" w:cs="Courier New"/>
        </w:rPr>
        <w:t>: 0.1U well</w:t>
      </w:r>
      <w:r w:rsidRPr="00531789">
        <w:rPr>
          <w:rFonts w:ascii="Cambria" w:hAnsi="Cambria" w:cs="Courier New"/>
          <w:vertAlign w:val="superscript"/>
        </w:rPr>
        <w:t>-1</w:t>
      </w:r>
      <w:r w:rsidRPr="00531789">
        <w:rPr>
          <w:rFonts w:ascii="Cambria" w:hAnsi="Cambria" w:cs="Courier New"/>
        </w:rPr>
        <w:t xml:space="preserve"> </w:t>
      </w:r>
      <w:proofErr w:type="spellStart"/>
      <w:r w:rsidRPr="00531789">
        <w:rPr>
          <w:rFonts w:ascii="Cambria" w:hAnsi="Cambria" w:cs="Courier New"/>
        </w:rPr>
        <w:t>exo-inulinase</w:t>
      </w:r>
      <w:proofErr w:type="spellEnd"/>
      <w:r w:rsidRPr="00531789">
        <w:rPr>
          <w:rFonts w:ascii="Cambria" w:hAnsi="Cambria" w:cs="Courier New"/>
        </w:rPr>
        <w:t xml:space="preserve"> (EC 3.2.1.80), 0.1U well</w:t>
      </w:r>
      <w:r w:rsidRPr="00531789">
        <w:rPr>
          <w:rFonts w:ascii="Cambria" w:hAnsi="Cambria" w:cs="Courier New"/>
          <w:vertAlign w:val="superscript"/>
        </w:rPr>
        <w:t>-1</w:t>
      </w:r>
      <w:r w:rsidRPr="00531789">
        <w:rPr>
          <w:rFonts w:ascii="Cambria" w:hAnsi="Cambria" w:cs="Courier New"/>
        </w:rPr>
        <w:t xml:space="preserve"> </w:t>
      </w:r>
      <w:proofErr w:type="spellStart"/>
      <w:r w:rsidRPr="00531789">
        <w:rPr>
          <w:rFonts w:ascii="Cambria" w:hAnsi="Cambria" w:cs="Courier New"/>
        </w:rPr>
        <w:t>endo-inulinase</w:t>
      </w:r>
      <w:proofErr w:type="spellEnd"/>
      <w:r w:rsidRPr="00531789">
        <w:rPr>
          <w:rFonts w:ascii="Cambria" w:hAnsi="Cambria" w:cs="Courier New"/>
        </w:rPr>
        <w:t xml:space="preserve"> (EC 3.2.1.7), 0.17U well</w:t>
      </w:r>
      <w:r w:rsidRPr="00531789">
        <w:rPr>
          <w:rFonts w:ascii="Cambria" w:hAnsi="Cambria" w:cs="Courier New"/>
          <w:vertAlign w:val="superscript"/>
        </w:rPr>
        <w:t xml:space="preserve">-1 </w:t>
      </w:r>
      <w:proofErr w:type="spellStart"/>
      <w:r w:rsidRPr="00531789">
        <w:rPr>
          <w:rFonts w:ascii="Cambria" w:hAnsi="Cambria" w:cs="Courier New"/>
        </w:rPr>
        <w:t>amyloglucosidase</w:t>
      </w:r>
      <w:proofErr w:type="spellEnd"/>
      <w:r w:rsidRPr="00531789">
        <w:rPr>
          <w:rFonts w:ascii="Cambria" w:hAnsi="Cambria" w:cs="Courier New"/>
        </w:rPr>
        <w:t xml:space="preserve"> and 0.1U well</w:t>
      </w:r>
      <w:r w:rsidRPr="00531789">
        <w:rPr>
          <w:rFonts w:ascii="Cambria" w:hAnsi="Cambria" w:cs="Courier New"/>
          <w:vertAlign w:val="superscript"/>
        </w:rPr>
        <w:t>-1</w:t>
      </w:r>
      <w:r w:rsidRPr="00531789">
        <w:rPr>
          <w:rFonts w:ascii="Cambria" w:hAnsi="Cambria" w:cs="Courier New"/>
        </w:rPr>
        <w:t xml:space="preserve"> α-amylase.  Plates were incubated overnight at 37°C. </w:t>
      </w:r>
      <w:r>
        <w:rPr>
          <w:rFonts w:ascii="Cambria" w:hAnsi="Cambria" w:cs="Courier New"/>
        </w:rPr>
        <w:t xml:space="preserve"> </w:t>
      </w:r>
      <w:r w:rsidRPr="00531789">
        <w:rPr>
          <w:rFonts w:ascii="Cambria" w:hAnsi="Cambria" w:cs="Courier New"/>
        </w:rPr>
        <w:t xml:space="preserve">40 µl of the supernatant from the overnight digest was transferred to each well of a 96-well </w:t>
      </w:r>
      <w:proofErr w:type="spellStart"/>
      <w:r w:rsidRPr="00531789">
        <w:rPr>
          <w:rFonts w:ascii="Cambria" w:hAnsi="Cambria" w:cs="Courier New"/>
        </w:rPr>
        <w:t>microplate</w:t>
      </w:r>
      <w:proofErr w:type="spellEnd"/>
      <w:r w:rsidRPr="00531789">
        <w:rPr>
          <w:rFonts w:ascii="Cambria" w:hAnsi="Cambria" w:cs="Courier New"/>
        </w:rPr>
        <w:t xml:space="preserve">. </w:t>
      </w:r>
      <w:r>
        <w:rPr>
          <w:rFonts w:ascii="Cambria" w:hAnsi="Cambria" w:cs="Courier New"/>
        </w:rPr>
        <w:t xml:space="preserve"> </w:t>
      </w:r>
      <w:r w:rsidRPr="00531789">
        <w:rPr>
          <w:rFonts w:ascii="Cambria" w:hAnsi="Cambria" w:cs="Courier New"/>
        </w:rPr>
        <w:t>262µg ATP well</w:t>
      </w:r>
      <w:r w:rsidRPr="00531789">
        <w:rPr>
          <w:rFonts w:ascii="Cambria" w:hAnsi="Cambria" w:cs="Courier New"/>
          <w:vertAlign w:val="superscript"/>
        </w:rPr>
        <w:t>-1</w:t>
      </w:r>
      <w:r w:rsidRPr="00531789">
        <w:rPr>
          <w:rFonts w:ascii="Cambria" w:hAnsi="Cambria" w:cs="Courier New"/>
        </w:rPr>
        <w:t>, 349µg NADP well</w:t>
      </w:r>
      <w:r w:rsidRPr="00531789">
        <w:rPr>
          <w:rFonts w:ascii="Cambria" w:hAnsi="Cambria" w:cs="Courier New"/>
          <w:vertAlign w:val="superscript"/>
        </w:rPr>
        <w:t xml:space="preserve">-1 </w:t>
      </w:r>
      <w:r w:rsidRPr="00531789">
        <w:rPr>
          <w:rFonts w:ascii="Cambria" w:hAnsi="Cambria" w:cs="Courier New"/>
        </w:rPr>
        <w:t>and 3.6U well</w:t>
      </w:r>
      <w:r w:rsidRPr="00531789">
        <w:rPr>
          <w:rFonts w:ascii="Cambria" w:hAnsi="Cambria" w:cs="Courier New"/>
          <w:vertAlign w:val="superscript"/>
        </w:rPr>
        <w:t xml:space="preserve">-1 </w:t>
      </w:r>
      <w:r w:rsidRPr="00531789">
        <w:rPr>
          <w:rFonts w:ascii="Cambria" w:hAnsi="Cambria" w:cs="Courier New"/>
        </w:rPr>
        <w:t>glucose-6-phosphate dehydrogenase (EC 1.1.1.49, grade II) were added in a buffer of 0.1M HEPES/KOH, 3mM MgCl</w:t>
      </w:r>
      <w:r w:rsidRPr="00531789">
        <w:rPr>
          <w:rFonts w:ascii="Cambria" w:hAnsi="Cambria" w:cs="Courier New"/>
          <w:vertAlign w:val="subscript"/>
        </w:rPr>
        <w:t>2</w:t>
      </w:r>
      <w:r w:rsidRPr="00531789">
        <w:rPr>
          <w:rFonts w:ascii="Cambria" w:hAnsi="Cambria" w:cs="Courier New"/>
        </w:rPr>
        <w:t xml:space="preserve">, ph7.0 to initiate the reaction. </w:t>
      </w:r>
      <w:proofErr w:type="spellStart"/>
      <w:r w:rsidRPr="00531789">
        <w:rPr>
          <w:rFonts w:ascii="Cambria" w:hAnsi="Cambria" w:cs="Courier New"/>
        </w:rPr>
        <w:t>Microplates</w:t>
      </w:r>
      <w:proofErr w:type="spellEnd"/>
      <w:r w:rsidRPr="00531789">
        <w:rPr>
          <w:rFonts w:ascii="Cambria" w:hAnsi="Cambria" w:cs="Courier New"/>
        </w:rPr>
        <w:t xml:space="preserve"> were centrifuged for 1 minute to remove bubbles</w:t>
      </w:r>
      <w:r>
        <w:rPr>
          <w:rFonts w:ascii="Cambria" w:hAnsi="Cambria" w:cs="Courier New"/>
        </w:rPr>
        <w:t>,</w:t>
      </w:r>
      <w:r w:rsidRPr="00531789">
        <w:rPr>
          <w:rFonts w:ascii="Cambria" w:hAnsi="Cambria" w:cs="Courier New"/>
        </w:rPr>
        <w:t xml:space="preserve"> then inserted into a plate reader</w:t>
      </w:r>
      <w:r>
        <w:rPr>
          <w:rFonts w:ascii="Cambria" w:hAnsi="Cambria" w:cs="Courier New"/>
        </w:rPr>
        <w:t>,</w:t>
      </w:r>
      <w:r w:rsidRPr="00531789">
        <w:rPr>
          <w:rFonts w:ascii="Cambria" w:hAnsi="Cambria" w:cs="Courier New"/>
        </w:rPr>
        <w:t xml:space="preserve"> and the NADPH associated with the carbohydrates in the sample was measured at A</w:t>
      </w:r>
      <w:r w:rsidRPr="00531789">
        <w:rPr>
          <w:rFonts w:ascii="Cambria" w:hAnsi="Cambria" w:cs="Courier New"/>
          <w:vertAlign w:val="subscript"/>
        </w:rPr>
        <w:t>340</w:t>
      </w:r>
      <w:r w:rsidRPr="00531789">
        <w:rPr>
          <w:rFonts w:ascii="Cambria" w:hAnsi="Cambria" w:cs="Courier New"/>
        </w:rPr>
        <w:t xml:space="preserve"> (ELx808, </w:t>
      </w:r>
      <w:proofErr w:type="spellStart"/>
      <w:r w:rsidRPr="00531789">
        <w:rPr>
          <w:rFonts w:ascii="Cambria" w:hAnsi="Cambria" w:cs="Courier New"/>
        </w:rPr>
        <w:t>BioTek</w:t>
      </w:r>
      <w:proofErr w:type="spellEnd"/>
      <w:r w:rsidRPr="00531789">
        <w:rPr>
          <w:rFonts w:ascii="Cambria" w:hAnsi="Cambria" w:cs="Courier New"/>
        </w:rPr>
        <w:t xml:space="preserve">, Winooski, VT, USA). </w:t>
      </w:r>
    </w:p>
    <w:p w14:paraId="29F10D0A" w14:textId="77777777" w:rsidR="00DF4522" w:rsidRPr="00531789" w:rsidRDefault="00DF4522" w:rsidP="00DF4522">
      <w:pPr>
        <w:spacing w:line="360" w:lineRule="auto"/>
        <w:jc w:val="both"/>
        <w:rPr>
          <w:rFonts w:ascii="Cambria" w:hAnsi="Cambria" w:cs="Courier New"/>
        </w:rPr>
      </w:pPr>
    </w:p>
    <w:p w14:paraId="1F8DF447"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 xml:space="preserve">Starch and HDP </w:t>
      </w:r>
      <w:proofErr w:type="spellStart"/>
      <w:r w:rsidRPr="00531789">
        <w:rPr>
          <w:rFonts w:ascii="Cambria" w:hAnsi="Cambria" w:cs="Courier New"/>
        </w:rPr>
        <w:t>fructans</w:t>
      </w:r>
      <w:proofErr w:type="spellEnd"/>
      <w:r w:rsidRPr="00531789">
        <w:rPr>
          <w:rFonts w:ascii="Cambria" w:hAnsi="Cambria" w:cs="Courier New"/>
        </w:rPr>
        <w:t xml:space="preserve"> were assayed by sequentially adding 1U enzyme in HEPES buffer to each well as follows, using the rationale for the soluble carbohydrates assay </w:t>
      </w:r>
      <w:r w:rsidRPr="00531789">
        <w:rPr>
          <w:rFonts w:ascii="Cambria" w:hAnsi="Cambria" w:cs="Courier New"/>
        </w:rPr>
        <w:fldChar w:fldCharType="begin" w:fldLock="1"/>
      </w:r>
      <w:r>
        <w:rPr>
          <w:rFonts w:ascii="Cambria" w:hAnsi="Cambria" w:cs="Courier New"/>
        </w:rPr>
        <w:instrText>ADDIN CSL_CITATION { "citationItems" : [ { "id" : "ITEM-1", "itemData" : { "DOI" : "10.1093/jxb/erl233", "ISSN" : "0022-0957", "PMID" : "17158509", "abstract" : "Increases in growth at elevated [CO2] may be constrained by a plant's ability to assimilate the nutrients needed for new tissue in sufficient quantity to match the increase in carbon fixation and/or the ability to transport those nutrients and carbon in sufficient quantity to growing organs and tissues. Analysis of metabolites provides an indication of shifts in carbon and nitrogen partitioning due to rising atmospheric [CO2] and can help identify where bottlenecks in carbon utilization occur. In this study, the carbon and nitrogen balance was investigated in growing and fully expanded soybean leaves exposed to elevated [CO2] in a free air CO2 enrichment experiment. Diurnal photosynthesis and diurnal profiles of carbon and nitrogen metabolites were measured during two different crop growth stages. Diurnal carbon gain was increased by c. 20% in elevated [CO2] in fully expanded leaves, which led to significant increases in leaf hexose, sucrose, and starch contents. However, there was no detectable difference in nitrogen-rich amino acids and ureides in mature leaves. By contrast to mature leaves, developing leaves had high concentrations of ureides and amino acids relative to low concentrations of carbohydrates. Developing leaves at elevated [CO2] had smaller pools of ureides compared with developing leaves at ambient [CO2], which suggests N assimilation in young leaves was improved by elevated [CO2]. This work shows that elevated [CO2] alters the balance of carbon and nitrogen pools in both mature and growing soybean leaves, which could have down-stream impacts on growth and productivity.", "author" : [ { "dropping-particle" : "", "family" : "Ainsworth", "given" : "Elizabeth A", "non-dropping-particle" : "", "parse-names" : false, "suffix" : "" }, { "dropping-particle" : "", "family" : "Rogers", "given" : "Alistair", "non-dropping-particle" : "", "parse-names" : false, "suffix" : "" }, { "dropping-particle" : "", "family" : "Leakey", "given" : "Andrew D B", "non-dropping-particle" : "", "parse-names" : false, "suffix" : "" }, { "dropping-particle" : "", "family" : "Heady", "given" : "Lindsey E", "non-dropping-particle" : "", "parse-names" : false, "suffix" : "" }, { "dropping-particle" : "", "family" : "Gibon", "given" : "Yves", "non-dropping-particle" : "", "parse-names" : false, "suffix" : "" }, { "dropping-particle" : "", "family" : "Stitt", "given" : "Mark", "non-dropping-particle" : "", "parse-names" : false, "suffix" : "" }, { "dropping-particle" : "", "family" : "Schurr", "given" : "Ulrich", "non-dropping-particle" : "", "parse-names" : false, "suffix" : "" } ], "container-title" : "Journal of Experimental Botany", "id" : "ITEM-1", "issue" : "3", "issued" : { "date-parts" : [ [ "2007", "1" ] ] }, "page" : "579-91", "title" : "Does elevated atmospheric [CO2] alter diurnal C uptake and the balance of C and N metabolites in growing and fully expanded soybean leaves?", "type" : "article-journal", "volume" : "58" }, "uris" : [ "http://www.mendeley.com/documents/?uuid=f82a9f7c-fb52-4ea0-90d7-8b361aabe56b" ] } ], "mendeley" : { "formattedCitation" : "(Ainsworth &lt;i&gt;et al.&lt;/i&gt;, 2007)", "plainTextFormattedCitation" : "(Ainsworth et al., 2007)", "previouslyFormattedCitation" : "(Ainsworth &lt;i&gt;et al.&lt;/i&gt;, 2007)" }, "properties" : { "noteIndex" : 0 }, "schema" : "https://github.com/citation-style-language/schema/raw/master/csl-citation.json" }</w:instrText>
      </w:r>
      <w:r w:rsidRPr="00531789">
        <w:rPr>
          <w:rFonts w:ascii="Cambria" w:hAnsi="Cambria" w:cs="Courier New"/>
        </w:rPr>
        <w:fldChar w:fldCharType="separate"/>
      </w:r>
      <w:r w:rsidRPr="002C5907">
        <w:rPr>
          <w:rFonts w:ascii="Cambria" w:hAnsi="Cambria" w:cs="Courier New"/>
          <w:noProof/>
        </w:rPr>
        <w:t xml:space="preserve">(Ainsworth </w:t>
      </w:r>
      <w:r w:rsidRPr="002C5907">
        <w:rPr>
          <w:rFonts w:ascii="Cambria" w:hAnsi="Cambria" w:cs="Courier New"/>
          <w:i/>
          <w:noProof/>
        </w:rPr>
        <w:t>et al.</w:t>
      </w:r>
      <w:r w:rsidRPr="002C5907">
        <w:rPr>
          <w:rFonts w:ascii="Cambria" w:hAnsi="Cambria" w:cs="Courier New"/>
          <w:noProof/>
        </w:rPr>
        <w:t>, 2007)</w:t>
      </w:r>
      <w:r w:rsidRPr="00531789">
        <w:rPr>
          <w:rFonts w:ascii="Cambria" w:hAnsi="Cambria" w:cs="Courier New"/>
        </w:rPr>
        <w:fldChar w:fldCharType="end"/>
      </w:r>
      <w:r w:rsidRPr="00531789">
        <w:rPr>
          <w:rFonts w:ascii="Cambria" w:hAnsi="Cambria" w:cs="Courier New"/>
        </w:rPr>
        <w:t xml:space="preserve">.  Starch: hexokinase (EC 2.7.1.1); starch and HDP </w:t>
      </w:r>
      <w:proofErr w:type="spellStart"/>
      <w:r w:rsidRPr="00531789">
        <w:rPr>
          <w:rFonts w:ascii="Cambria" w:hAnsi="Cambria" w:cs="Courier New"/>
        </w:rPr>
        <w:t>fructan</w:t>
      </w:r>
      <w:proofErr w:type="spellEnd"/>
      <w:r w:rsidRPr="00531789">
        <w:rPr>
          <w:rFonts w:ascii="Cambria" w:hAnsi="Cambria" w:cs="Courier New"/>
        </w:rPr>
        <w:t xml:space="preserve">: hexokinase, </w:t>
      </w:r>
      <w:proofErr w:type="spellStart"/>
      <w:r w:rsidRPr="00531789">
        <w:rPr>
          <w:rFonts w:ascii="Cambria" w:hAnsi="Cambria" w:cs="Courier New"/>
        </w:rPr>
        <w:t>phosphoglucose-isomerase</w:t>
      </w:r>
      <w:proofErr w:type="spellEnd"/>
      <w:r w:rsidRPr="00531789">
        <w:rPr>
          <w:rFonts w:ascii="Cambria" w:hAnsi="Cambria" w:cs="Courier New"/>
        </w:rPr>
        <w:t xml:space="preserve"> (EC 5.3.1.9). HDP </w:t>
      </w:r>
      <w:proofErr w:type="spellStart"/>
      <w:r w:rsidRPr="00531789">
        <w:rPr>
          <w:rFonts w:ascii="Cambria" w:hAnsi="Cambria" w:cs="Courier New"/>
        </w:rPr>
        <w:t>fructan</w:t>
      </w:r>
      <w:proofErr w:type="spellEnd"/>
      <w:r w:rsidRPr="00531789">
        <w:rPr>
          <w:rFonts w:ascii="Cambria" w:hAnsi="Cambria" w:cs="Courier New"/>
        </w:rPr>
        <w:t xml:space="preserve"> values were obtained by subtracting the starch assay values for starch from the starch and </w:t>
      </w:r>
      <w:proofErr w:type="spellStart"/>
      <w:r w:rsidRPr="00531789">
        <w:rPr>
          <w:rFonts w:ascii="Cambria" w:hAnsi="Cambria" w:cs="Courier New"/>
        </w:rPr>
        <w:t>fructan</w:t>
      </w:r>
      <w:proofErr w:type="spellEnd"/>
      <w:r w:rsidRPr="00531789">
        <w:rPr>
          <w:rFonts w:ascii="Cambria" w:hAnsi="Cambria" w:cs="Courier New"/>
        </w:rPr>
        <w:t xml:space="preserve"> values for combined starch and </w:t>
      </w:r>
      <w:proofErr w:type="spellStart"/>
      <w:r w:rsidRPr="00531789">
        <w:rPr>
          <w:rFonts w:ascii="Cambria" w:hAnsi="Cambria" w:cs="Courier New"/>
        </w:rPr>
        <w:t>fructan</w:t>
      </w:r>
      <w:proofErr w:type="spellEnd"/>
      <w:r w:rsidRPr="00531789">
        <w:rPr>
          <w:rFonts w:ascii="Cambria" w:hAnsi="Cambria" w:cs="Courier New"/>
        </w:rPr>
        <w:t xml:space="preserve">. </w:t>
      </w:r>
      <w:r>
        <w:rPr>
          <w:rFonts w:ascii="Cambria" w:hAnsi="Cambria" w:cs="Courier New"/>
        </w:rPr>
        <w:t xml:space="preserve"> </w:t>
      </w:r>
      <w:r w:rsidRPr="00531789">
        <w:rPr>
          <w:rFonts w:ascii="Cambria" w:hAnsi="Cambria" w:cs="Courier New"/>
        </w:rPr>
        <w:t xml:space="preserve">This approach was necessary because preliminary recovery experiments had shown that digesting </w:t>
      </w:r>
      <w:proofErr w:type="spellStart"/>
      <w:r w:rsidRPr="00531789">
        <w:rPr>
          <w:rFonts w:ascii="Cambria" w:hAnsi="Cambria" w:cs="Courier New"/>
        </w:rPr>
        <w:t>fructan</w:t>
      </w:r>
      <w:proofErr w:type="spellEnd"/>
      <w:r w:rsidRPr="00531789">
        <w:rPr>
          <w:rFonts w:ascii="Cambria" w:hAnsi="Cambria" w:cs="Courier New"/>
        </w:rPr>
        <w:t xml:space="preserve"> using </w:t>
      </w:r>
      <w:proofErr w:type="spellStart"/>
      <w:r w:rsidRPr="00531789">
        <w:rPr>
          <w:rFonts w:ascii="Cambria" w:hAnsi="Cambria" w:cs="Courier New"/>
        </w:rPr>
        <w:t>exoinulinase</w:t>
      </w:r>
      <w:proofErr w:type="spellEnd"/>
      <w:r w:rsidRPr="00531789">
        <w:rPr>
          <w:rFonts w:ascii="Cambria" w:hAnsi="Cambria" w:cs="Courier New"/>
        </w:rPr>
        <w:t xml:space="preserve"> and </w:t>
      </w:r>
      <w:proofErr w:type="spellStart"/>
      <w:r w:rsidRPr="00531789">
        <w:rPr>
          <w:rFonts w:ascii="Cambria" w:hAnsi="Cambria" w:cs="Courier New"/>
        </w:rPr>
        <w:t>endoinulinase</w:t>
      </w:r>
      <w:proofErr w:type="spellEnd"/>
      <w:r w:rsidRPr="00531789">
        <w:rPr>
          <w:rFonts w:ascii="Cambria" w:hAnsi="Cambria" w:cs="Courier New"/>
        </w:rPr>
        <w:t xml:space="preserve"> also degraded a small amount of starch, leading to an artificially high value for </w:t>
      </w:r>
      <w:proofErr w:type="spellStart"/>
      <w:r w:rsidRPr="00531789">
        <w:rPr>
          <w:rFonts w:ascii="Cambria" w:hAnsi="Cambria" w:cs="Courier New"/>
        </w:rPr>
        <w:t>fructan</w:t>
      </w:r>
      <w:proofErr w:type="spellEnd"/>
      <w:r w:rsidRPr="00531789">
        <w:rPr>
          <w:rFonts w:ascii="Cambria" w:hAnsi="Cambria" w:cs="Courier New"/>
        </w:rPr>
        <w:t xml:space="preserve"> content which was corrected using the approach described here.  Starch and HDP </w:t>
      </w:r>
      <w:proofErr w:type="spellStart"/>
      <w:r w:rsidRPr="00531789">
        <w:rPr>
          <w:rFonts w:ascii="Cambria" w:hAnsi="Cambria" w:cs="Courier New"/>
        </w:rPr>
        <w:t>fructan</w:t>
      </w:r>
      <w:proofErr w:type="spellEnd"/>
      <w:r w:rsidRPr="00531789">
        <w:rPr>
          <w:rFonts w:ascii="Cambria" w:hAnsi="Cambria" w:cs="Courier New"/>
        </w:rPr>
        <w:t xml:space="preserve"> content was measured as </w:t>
      </w:r>
      <w:proofErr w:type="spellStart"/>
      <w:r w:rsidRPr="00531789">
        <w:rPr>
          <w:rFonts w:ascii="Cambria" w:hAnsi="Cambria" w:cs="Courier New"/>
        </w:rPr>
        <w:t>nmol</w:t>
      </w:r>
      <w:proofErr w:type="spellEnd"/>
      <w:r w:rsidRPr="00531789">
        <w:rPr>
          <w:rFonts w:ascii="Cambria" w:hAnsi="Cambria" w:cs="Courier New"/>
        </w:rPr>
        <w:t xml:space="preserve"> hexose equivalents</w:t>
      </w:r>
      <w:r>
        <w:rPr>
          <w:rFonts w:ascii="Cambria" w:hAnsi="Cambria" w:cs="Courier New"/>
        </w:rPr>
        <w:t>,</w:t>
      </w:r>
      <w:r w:rsidRPr="00531789">
        <w:rPr>
          <w:rFonts w:ascii="Cambria" w:hAnsi="Cambria" w:cs="Courier New"/>
        </w:rPr>
        <w:t xml:space="preserve"> using a standard glucose curve loaded on each plate.</w:t>
      </w:r>
    </w:p>
    <w:p w14:paraId="23E111C0" w14:textId="77777777" w:rsidR="00DF4522" w:rsidRPr="00531789" w:rsidRDefault="00DF4522" w:rsidP="00DF4522">
      <w:pPr>
        <w:spacing w:line="360" w:lineRule="auto"/>
        <w:jc w:val="both"/>
        <w:rPr>
          <w:rFonts w:ascii="Cambria" w:hAnsi="Cambria"/>
        </w:rPr>
      </w:pPr>
    </w:p>
    <w:p w14:paraId="0C72B0F2" w14:textId="229639E4" w:rsidR="00DF4522" w:rsidRPr="00531789" w:rsidRDefault="00DF4522" w:rsidP="00DF4522">
      <w:pPr>
        <w:spacing w:line="360" w:lineRule="auto"/>
        <w:jc w:val="both"/>
        <w:rPr>
          <w:rFonts w:ascii="Cambria" w:hAnsi="Cambria"/>
        </w:rPr>
      </w:pPr>
      <w:r w:rsidRPr="00531789">
        <w:rPr>
          <w:rFonts w:ascii="Cambria" w:hAnsi="Cambria" w:cs="Courier New"/>
        </w:rPr>
        <w:t>Growth at elevated CO</w:t>
      </w:r>
      <w:r w:rsidRPr="00531789">
        <w:rPr>
          <w:rFonts w:ascii="Cambria" w:hAnsi="Cambria" w:cs="Courier New"/>
          <w:vertAlign w:val="subscript"/>
        </w:rPr>
        <w:t>2</w:t>
      </w:r>
      <w:r w:rsidRPr="00531789">
        <w:rPr>
          <w:rFonts w:ascii="Cambria" w:hAnsi="Cambria" w:cs="Courier New"/>
        </w:rPr>
        <w:t xml:space="preserve"> can lead to carbohydrate accumulation in leaves </w:t>
      </w:r>
      <w:r w:rsidRPr="00531789">
        <w:rPr>
          <w:rFonts w:ascii="Cambria" w:hAnsi="Cambria" w:cs="Courier New"/>
        </w:rPr>
        <w:fldChar w:fldCharType="begin" w:fldLock="1"/>
      </w:r>
      <w:r w:rsidR="00906E41">
        <w:rPr>
          <w:rFonts w:ascii="Cambria" w:hAnsi="Cambria" w:cs="Courier New"/>
        </w:rPr>
        <w:instrText>ADDIN CSL_CITATION { "citationItems" : [ { "id" : "ITEM-1", "itemData" : { "author" : [ { "dropping-particle" : "", "family" : "Rogers", "given" : "A", "non-dropping-particle" : "", "parse-names" : false, "suffix" : "" }, { "dropping-particle" : "", "family" : "Ainsworth", "given" : "Elizabeth A", "non-dropping-particle" : "", "parse-names" : false, "suffix" : "" } ], "chapter-number" : "16", "container-title" : "Managed ecosystems and CO2 case studies processes and perspectives", "editor" : [ { "dropping-particle" : "", "family" : "Nosberger", "given" : "J", "non-dropping-particle" : "", "parse-names" : false, "suffix" : "" }, { "dropping-particle" : "", "family" : "Long", "given" : "SP", "non-dropping-particle" : "", "parse-names" : false, "suffix" : "" }, { "dropping-particle" : "", "family" : "Blum", "given" : "H", "non-dropping-particle" : "", "parse-names" : false, "suffix" : "" }, { "dropping-particle" : "", "family" : "Norby", "given" : "RJ", "non-dropping-particle" : "", "parse-names" : false, "suffix" : "" }, { "dropping-particle" : "", "family" : "Hendrey", "given" : "GR", "non-dropping-particle" : "", "parse-names" : false, "suffix" : "" }, { "dropping-particle" : "", "family" : "Stitt", "given" : "M", "non-dropping-particle" : "", "parse-names" : false, "suffix" : "" } ], "id" : "ITEM-1", "issued" : { "date-parts" : [ [ "2006" ] ] }, "page" : "293-308", "publisher" : "Springer-Verlag", "publisher-place" : "Heidelberg, Berlin", "title" : "The response of foliar carbohydrates to elevated [CO2]", "type" : "chapter" }, "uris" : [ "http://www.mendeley.com/documents/?uuid=ad611b43-52b4-4728-8d67-4ff9617c644b" ] } ], "mendeley" : { "formattedCitation" : "(Rogers and Ainsworth, 2006)", "plainTextFormattedCitation" : "(Rogers and Ainsworth, 2006)", "previouslyFormattedCitation" : "(Rogers and Ainsworth, 2006)" }, "properties" : { "noteIndex" : 0 }, "schema" : "https://github.com/citation-style-language/schema/raw/master/csl-citation.json" }</w:instrText>
      </w:r>
      <w:r w:rsidRPr="00531789">
        <w:rPr>
          <w:rFonts w:ascii="Cambria" w:hAnsi="Cambria" w:cs="Courier New"/>
        </w:rPr>
        <w:fldChar w:fldCharType="separate"/>
      </w:r>
      <w:r w:rsidRPr="00531789">
        <w:rPr>
          <w:rFonts w:ascii="Cambria" w:hAnsi="Cambria" w:cs="Courier New"/>
          <w:noProof/>
        </w:rPr>
        <w:t>(Rogers and Ainsworth, 2006)</w:t>
      </w:r>
      <w:r w:rsidRPr="00531789">
        <w:rPr>
          <w:rFonts w:ascii="Cambria" w:hAnsi="Cambria" w:cs="Courier New"/>
        </w:rPr>
        <w:fldChar w:fldCharType="end"/>
      </w:r>
      <w:r w:rsidRPr="00531789">
        <w:rPr>
          <w:rFonts w:ascii="Cambria" w:hAnsi="Cambria" w:cs="Courier New"/>
        </w:rPr>
        <w:t xml:space="preserve"> thus metabolite data are expressed</w:t>
      </w:r>
      <w:r>
        <w:rPr>
          <w:rFonts w:ascii="Cambria" w:hAnsi="Cambria" w:cs="Courier New"/>
        </w:rPr>
        <w:t xml:space="preserve"> here</w:t>
      </w:r>
      <w:r w:rsidRPr="00531789">
        <w:rPr>
          <w:rFonts w:ascii="Cambria" w:hAnsi="Cambria" w:cs="Courier New"/>
        </w:rPr>
        <w:t xml:space="preserve"> per g carbohydrate-corrected dry weight (CCDW) in order to avoid a dilution effect when assessing the concentrations of other metabolites </w:t>
      </w:r>
      <w:r w:rsidRPr="00531789">
        <w:rPr>
          <w:rFonts w:ascii="Cambria" w:hAnsi="Cambria" w:cs="Courier New"/>
        </w:rPr>
        <w:fldChar w:fldCharType="begin" w:fldLock="1"/>
      </w:r>
      <w:r>
        <w:rPr>
          <w:rFonts w:ascii="Cambria" w:hAnsi="Cambria" w:cs="Courier New"/>
        </w:rPr>
        <w:instrText>ADDIN CSL_CITATION { "citationItems" : [ { "id" : "ITEM-1", "itemData" : { "DOI" : "10.1111/j.1365-3040.2006.01549.x", "ISBN" : "0140-7791", "ISSN" : "01407791", "PMID" : "16898025", "abstract" : "Plant growth is typically stimulated at elevated carbon dioxide concentration ([CO2]), but a sustained and maximal stimulation of growth requires acquisition of additional N in proportion to the additional C fixed at elevated [CO2]. We hypothesized that legumes would be able to avoid N limitation at elevated [CO2]. Soybean was grown without N fertilizer from germination to final senescence at elevated [CO2] over two growing seasons under fully open-air conditions, providing a model legume system. Measurements of photosynthesis and foliar carbohydrate content showed that plants growing at elevated [CO2] had a c. 25% increase in the daily integral of photosynthesis and c. 58% increase in foliar carbohydrate content, suggesting that plants at elevated [CO2] had a surplus of photosynthate. Soybeans had a low leaf N content at the beginning of the season, which was a further c. 17% lower at elevated [CO2]. In the middle of the season, ureide, total amino acid and N content increased markedly, and the effect of elevated [CO2] on leaf N content disappeared. Analysis of individual amino acid levels supported the conclusion that plants at elevated [CO2] overcame an early-season N limitation. These soybean plants showed a c. 16% increase in dry mass at final harvest and showed no significant effect of elevated [CO2] on leaf N, protein or total amino acid content in the latter part of the season. One possible explanation for these findings is that N fixation had increased, and that these plants had acclimated to the increased N demand at elevated [CO2].", "author" : [ { "dropping-particle" : "", "family" : "Rogers", "given" : "Alistair", "non-dropping-particle" : "", "parse-names" : false, "suffix" : "" }, { "dropping-particle" : "", "family" : "Gibon", "given" : "Yves", "non-dropping-particle" : "", "parse-names" : false, "suffix" : "" }, { "dropping-particle" : "", "family" : "Stitt", "given" : "Mark", "non-dropping-particle" : "", "parse-names" : false, "suffix" : "" }, { "dropping-particle" : "", "family" : "Morgan", "given" : "Patrick B.", "non-dropping-particle" : "", "parse-names" : false, "suffix" : "" }, { "dropping-particle" : "", "family" : "Bernacchi", "given" : "Carl J.", "non-dropping-particle" : "", "parse-names" : false, "suffix" : "" }, { "dropping-particle" : "", "family" : "Ort", "given" : "Donald R.", "non-dropping-particle" : "", "parse-names" : false, "suffix" : "" }, { "dropping-particle" : "", "family" : "Long", "given" : "Stephen P.", "non-dropping-particle" : "", "parse-names" : false, "suffix" : "" } ], "container-title" : "Plant, Cell and Environment", "id" : "ITEM-1", "issued" : { "date-parts" : [ [ "2006" ] ] }, "page" : "1651-1658", "title" : "Increased C availability at elevated carbon dioxide concentration improves N assimilation in a legume", "type" : "article-journal", "volume" : "29" }, "uris" : [ "http://www.mendeley.com/documents/?uuid=27b705d4-6317-4fc4-a7bc-047b88c9c33b" ] } ], "mendeley" : { "formattedCitation" : "(Rogers &lt;i&gt;et al.&lt;/i&gt;, 2006)", "plainTextFormattedCitation" : "(Rogers et al., 2006)", "previouslyFormattedCitation" : "(Rogers &lt;i&gt;et al.&lt;/i&gt;, 2006)" }, "properties" : { "noteIndex" : 0 }, "schema" : "https://github.com/citation-style-language/schema/raw/master/csl-citation.json" }</w:instrText>
      </w:r>
      <w:r w:rsidRPr="00531789">
        <w:rPr>
          <w:rFonts w:ascii="Cambria" w:hAnsi="Cambria" w:cs="Courier New"/>
        </w:rPr>
        <w:fldChar w:fldCharType="separate"/>
      </w:r>
      <w:r w:rsidRPr="002C5907">
        <w:rPr>
          <w:rFonts w:ascii="Cambria" w:hAnsi="Cambria" w:cs="Courier New"/>
          <w:noProof/>
        </w:rPr>
        <w:t xml:space="preserve">(Rogers </w:t>
      </w:r>
      <w:r w:rsidRPr="002C5907">
        <w:rPr>
          <w:rFonts w:ascii="Cambria" w:hAnsi="Cambria" w:cs="Courier New"/>
          <w:i/>
          <w:noProof/>
        </w:rPr>
        <w:t>et al.</w:t>
      </w:r>
      <w:r w:rsidRPr="002C5907">
        <w:rPr>
          <w:rFonts w:ascii="Cambria" w:hAnsi="Cambria" w:cs="Courier New"/>
          <w:noProof/>
        </w:rPr>
        <w:t>, 2006)</w:t>
      </w:r>
      <w:r w:rsidRPr="00531789">
        <w:rPr>
          <w:rFonts w:ascii="Cambria" w:hAnsi="Cambria" w:cs="Courier New"/>
        </w:rPr>
        <w:fldChar w:fldCharType="end"/>
      </w:r>
      <w:r w:rsidRPr="00531789">
        <w:rPr>
          <w:rFonts w:ascii="Cambria" w:hAnsi="Cambria" w:cs="Courier New"/>
        </w:rPr>
        <w:t xml:space="preserve">.  CCDW is obtained by subtracting the mass of total non-structural carbohydrate from the dry mass of each sample. </w:t>
      </w:r>
    </w:p>
    <w:p w14:paraId="26FADE40" w14:textId="77777777" w:rsidR="00DF4522" w:rsidRPr="00531789" w:rsidRDefault="00DF4522" w:rsidP="00DF4522">
      <w:pPr>
        <w:spacing w:line="360" w:lineRule="auto"/>
        <w:jc w:val="both"/>
        <w:rPr>
          <w:rFonts w:ascii="Cambria" w:hAnsi="Cambria"/>
        </w:rPr>
      </w:pPr>
    </w:p>
    <w:p w14:paraId="012D08C8" w14:textId="77777777" w:rsidR="00DF4522" w:rsidRPr="00531789" w:rsidRDefault="00DF4522" w:rsidP="00DF4522">
      <w:pPr>
        <w:spacing w:line="360" w:lineRule="auto"/>
        <w:jc w:val="both"/>
        <w:rPr>
          <w:rFonts w:ascii="Cambria" w:hAnsi="Cambria"/>
          <w:b/>
        </w:rPr>
      </w:pPr>
      <w:r w:rsidRPr="00531789">
        <w:rPr>
          <w:rFonts w:ascii="Cambria" w:hAnsi="Cambria"/>
          <w:b/>
        </w:rPr>
        <w:t>Growth and allocation</w:t>
      </w:r>
    </w:p>
    <w:p w14:paraId="37B697BB" w14:textId="77777777" w:rsidR="00DF4522" w:rsidRPr="00531789" w:rsidRDefault="00DF4522" w:rsidP="00DF4522">
      <w:pPr>
        <w:spacing w:line="360" w:lineRule="auto"/>
        <w:jc w:val="both"/>
        <w:rPr>
          <w:rFonts w:ascii="Cambria" w:hAnsi="Cambria"/>
        </w:rPr>
      </w:pPr>
    </w:p>
    <w:p w14:paraId="72E7A7D0" w14:textId="77777777" w:rsidR="00DF4522" w:rsidRPr="00531789" w:rsidRDefault="00DF4522" w:rsidP="00DF4522">
      <w:pPr>
        <w:spacing w:line="360" w:lineRule="auto"/>
        <w:jc w:val="both"/>
        <w:rPr>
          <w:rFonts w:ascii="Cambria" w:hAnsi="Cambria"/>
        </w:rPr>
      </w:pPr>
      <w:r w:rsidRPr="00531789">
        <w:rPr>
          <w:rFonts w:ascii="Cambria" w:hAnsi="Cambria"/>
        </w:rPr>
        <w:t>Relative growth rate (RGR) was calculated using a non-destructive method based on projected area in plants subjected to the elevated CO</w:t>
      </w:r>
      <w:r w:rsidRPr="00531789">
        <w:rPr>
          <w:rFonts w:ascii="Cambria" w:hAnsi="Cambria"/>
          <w:vertAlign w:val="subscript"/>
        </w:rPr>
        <w:t>2</w:t>
      </w:r>
      <w:r w:rsidRPr="00531789">
        <w:rPr>
          <w:rFonts w:ascii="Cambria" w:hAnsi="Cambria"/>
        </w:rPr>
        <w:t xml:space="preserve"> and control treatments.  Plants were photographed at regular intervals starting 3 weeks after germination (</w:t>
      </w:r>
      <w:proofErr w:type="spellStart"/>
      <w:r w:rsidRPr="00531789">
        <w:rPr>
          <w:rFonts w:ascii="Cambria" w:hAnsi="Cambria"/>
        </w:rPr>
        <w:t>PowerShot</w:t>
      </w:r>
      <w:proofErr w:type="spellEnd"/>
      <w:r w:rsidRPr="00531789">
        <w:rPr>
          <w:rFonts w:ascii="Cambria" w:hAnsi="Cambria"/>
        </w:rPr>
        <w:t xml:space="preserve"> G9, Canon, Tokyo, Japan). Each time, plants were photographed six times from the side against a white background and rotated 60 degrees between successive photographs.  Leaf area in pixels was derived from each image using Image J (U. S. National Institutes of Health, Bethesda, Maryland, USA, http://imagej.nih.gov/ij/) and converted to mm</w:t>
      </w:r>
      <w:r w:rsidRPr="00531789">
        <w:rPr>
          <w:rFonts w:ascii="Cambria" w:hAnsi="Cambria"/>
          <w:vertAlign w:val="superscript"/>
        </w:rPr>
        <w:t>2</w:t>
      </w:r>
      <w:r w:rsidRPr="00531789">
        <w:rPr>
          <w:rFonts w:ascii="Cambria" w:hAnsi="Cambria"/>
        </w:rPr>
        <w:t xml:space="preserve"> using a scale bar included in the photographs.  This enabled area-based RGR, expressed as m</w:t>
      </w:r>
      <w:r w:rsidRPr="00531789">
        <w:rPr>
          <w:rFonts w:ascii="Cambria" w:hAnsi="Cambria"/>
          <w:vertAlign w:val="superscript"/>
        </w:rPr>
        <w:t>2</w:t>
      </w:r>
      <w:r w:rsidRPr="00531789">
        <w:rPr>
          <w:rFonts w:ascii="Cambria" w:hAnsi="Cambria"/>
        </w:rPr>
        <w:t xml:space="preserve"> m</w:t>
      </w:r>
      <w:r w:rsidRPr="00531789">
        <w:rPr>
          <w:rFonts w:ascii="Cambria" w:hAnsi="Cambria"/>
          <w:vertAlign w:val="superscript"/>
        </w:rPr>
        <w:t>-2</w:t>
      </w:r>
      <w:r w:rsidRPr="00531789">
        <w:rPr>
          <w:rFonts w:ascii="Cambria" w:hAnsi="Cambria"/>
        </w:rPr>
        <w:t xml:space="preserve"> day</w:t>
      </w:r>
      <w:r w:rsidRPr="00531789">
        <w:rPr>
          <w:rFonts w:ascii="Cambria" w:hAnsi="Cambria"/>
          <w:vertAlign w:val="superscript"/>
        </w:rPr>
        <w:t>-1</w:t>
      </w:r>
      <w:r w:rsidRPr="00531789">
        <w:rPr>
          <w:rFonts w:ascii="Cambria" w:hAnsi="Cambria"/>
        </w:rPr>
        <w:t>, to be obtained using the area data during the CO</w:t>
      </w:r>
      <w:r w:rsidRPr="00531789">
        <w:rPr>
          <w:rFonts w:ascii="Cambria" w:hAnsi="Cambria"/>
          <w:vertAlign w:val="subscript"/>
        </w:rPr>
        <w:t>2</w:t>
      </w:r>
      <w:r w:rsidRPr="00531789">
        <w:rPr>
          <w:rFonts w:ascii="Cambria" w:hAnsi="Cambria"/>
        </w:rPr>
        <w:t xml:space="preserve"> treatment period.  </w:t>
      </w:r>
    </w:p>
    <w:p w14:paraId="3C1DDBC9" w14:textId="77777777" w:rsidR="00DF4522" w:rsidRPr="00531789" w:rsidRDefault="00DF4522" w:rsidP="00DF4522">
      <w:pPr>
        <w:spacing w:line="360" w:lineRule="auto"/>
        <w:jc w:val="both"/>
        <w:rPr>
          <w:rFonts w:ascii="Cambria" w:hAnsi="Cambria"/>
        </w:rPr>
      </w:pPr>
    </w:p>
    <w:p w14:paraId="6085865C" w14:textId="77777777" w:rsidR="00DF4522" w:rsidRPr="00531789" w:rsidRDefault="00DF4522" w:rsidP="00DF4522">
      <w:pPr>
        <w:spacing w:line="360" w:lineRule="auto"/>
        <w:jc w:val="both"/>
        <w:rPr>
          <w:rFonts w:ascii="Cambria" w:hAnsi="Cambria"/>
        </w:rPr>
      </w:pPr>
      <w:r w:rsidRPr="00531789">
        <w:rPr>
          <w:rFonts w:ascii="Cambria" w:hAnsi="Cambria"/>
        </w:rPr>
        <w:t xml:space="preserve">For all plants in the study, total dry mass was measured when the destructive metabolite harvest was carried out, and used to calculate </w:t>
      </w:r>
      <w:proofErr w:type="spellStart"/>
      <w:r w:rsidRPr="00531789">
        <w:rPr>
          <w:rFonts w:ascii="Cambria" w:hAnsi="Cambria"/>
        </w:rPr>
        <w:t>root:shoot</w:t>
      </w:r>
      <w:proofErr w:type="spellEnd"/>
      <w:r w:rsidRPr="00531789">
        <w:rPr>
          <w:rFonts w:ascii="Cambria" w:hAnsi="Cambria"/>
        </w:rPr>
        <w:t xml:space="preserve"> ratio.  The dry mass of the leaf samples that were flash frozen was obtained by measuring fresh mass before freezing and later converting it to dry mass based on the relationship between fresh and dry mass recorded for other leaves.  Leaf area was also obtained for these samples, enabling leaf mass per unit area to be calculated for all plants in the study.  The dry mass of the rest of the plant was obtained by oven-drying plant material.  The total dry mass of each individual was then correlated with area for plants of different ages and sizes.  Dry mass was strongly correlated with photographed leaf area (r</w:t>
      </w:r>
      <w:r w:rsidRPr="00531789">
        <w:rPr>
          <w:rFonts w:ascii="Cambria" w:hAnsi="Cambria"/>
          <w:vertAlign w:val="superscript"/>
        </w:rPr>
        <w:t>2</w:t>
      </w:r>
      <w:r w:rsidRPr="00531789">
        <w:rPr>
          <w:rFonts w:ascii="Cambria" w:hAnsi="Cambria"/>
        </w:rPr>
        <w:t xml:space="preserve"> = 0.98).  No image data was collected prior to the third harvest due to </w:t>
      </w:r>
      <w:proofErr w:type="spellStart"/>
      <w:r w:rsidRPr="00531789">
        <w:rPr>
          <w:rFonts w:ascii="Cambria" w:hAnsi="Cambria"/>
          <w:i/>
        </w:rPr>
        <w:t>Ramularia</w:t>
      </w:r>
      <w:proofErr w:type="spellEnd"/>
      <w:r w:rsidRPr="00531789">
        <w:rPr>
          <w:rFonts w:ascii="Cambria" w:hAnsi="Cambria"/>
          <w:i/>
        </w:rPr>
        <w:t xml:space="preserve"> </w:t>
      </w:r>
      <w:r w:rsidRPr="00531789">
        <w:rPr>
          <w:rFonts w:ascii="Cambria" w:hAnsi="Cambria"/>
        </w:rPr>
        <w:t>infection.</w:t>
      </w:r>
      <w:r>
        <w:rPr>
          <w:rFonts w:ascii="Cambria" w:hAnsi="Cambria"/>
        </w:rPr>
        <w:t xml:space="preserve">  Both </w:t>
      </w:r>
      <w:proofErr w:type="spellStart"/>
      <w:r>
        <w:rPr>
          <w:rFonts w:ascii="Cambria" w:hAnsi="Cambria"/>
        </w:rPr>
        <w:t>root:shoot</w:t>
      </w:r>
      <w:proofErr w:type="spellEnd"/>
      <w:r>
        <w:rPr>
          <w:rFonts w:ascii="Cambria" w:hAnsi="Cambria"/>
        </w:rPr>
        <w:t xml:space="preserve"> ratio and leaf mass per unit area were obtained based on total tissue dry weight rather than carbohydrate-corrected dry weight.</w:t>
      </w:r>
    </w:p>
    <w:p w14:paraId="7D80572D" w14:textId="77777777" w:rsidR="00DF4522" w:rsidRPr="00531789" w:rsidRDefault="00DF4522" w:rsidP="00DF4522">
      <w:pPr>
        <w:spacing w:line="360" w:lineRule="auto"/>
        <w:jc w:val="both"/>
        <w:rPr>
          <w:rFonts w:ascii="Cambria" w:hAnsi="Cambria"/>
        </w:rPr>
      </w:pPr>
    </w:p>
    <w:p w14:paraId="3F9D5ECC" w14:textId="77777777" w:rsidR="00DF4522" w:rsidRPr="00531789" w:rsidRDefault="00DF4522" w:rsidP="00DF4522">
      <w:pPr>
        <w:spacing w:line="360" w:lineRule="auto"/>
        <w:jc w:val="both"/>
        <w:rPr>
          <w:rFonts w:ascii="Cambria" w:hAnsi="Cambria"/>
          <w:b/>
        </w:rPr>
      </w:pPr>
      <w:r w:rsidRPr="00531789">
        <w:rPr>
          <w:rFonts w:ascii="Cambria" w:hAnsi="Cambria"/>
          <w:b/>
        </w:rPr>
        <w:t>Statistical methods</w:t>
      </w:r>
    </w:p>
    <w:p w14:paraId="134A7EEB" w14:textId="77777777" w:rsidR="00DF4522" w:rsidRPr="00531789" w:rsidRDefault="00DF4522" w:rsidP="00DF4522">
      <w:pPr>
        <w:spacing w:line="360" w:lineRule="auto"/>
        <w:jc w:val="both"/>
        <w:rPr>
          <w:rFonts w:ascii="Cambria" w:hAnsi="Cambria"/>
          <w:b/>
        </w:rPr>
      </w:pPr>
    </w:p>
    <w:p w14:paraId="2BF3C9CD" w14:textId="380C2765" w:rsidR="00DF4522" w:rsidRPr="00531789" w:rsidRDefault="00DF4522" w:rsidP="00DF4522">
      <w:pPr>
        <w:widowControl w:val="0"/>
        <w:autoSpaceDE w:val="0"/>
        <w:autoSpaceDN w:val="0"/>
        <w:adjustRightInd w:val="0"/>
        <w:spacing w:line="360" w:lineRule="auto"/>
        <w:jc w:val="both"/>
        <w:rPr>
          <w:rFonts w:ascii="Cambria" w:hAnsi="Cambria" w:cs="Arial"/>
          <w:sz w:val="23"/>
          <w:szCs w:val="23"/>
          <w:lang w:val="en-US"/>
        </w:rPr>
      </w:pPr>
      <w:r w:rsidRPr="00531789">
        <w:rPr>
          <w:rFonts w:ascii="Cambria" w:hAnsi="Cambria"/>
        </w:rPr>
        <w:t>All data were analysed in R</w:t>
      </w:r>
      <w:r w:rsidR="00906E41">
        <w:rPr>
          <w:rFonts w:ascii="Cambria" w:hAnsi="Cambria"/>
        </w:rPr>
        <w:t xml:space="preserve"> </w:t>
      </w:r>
      <w:r w:rsidR="00906E41">
        <w:rPr>
          <w:rFonts w:ascii="Cambria" w:hAnsi="Cambria"/>
        </w:rPr>
        <w:fldChar w:fldCharType="begin" w:fldLock="1"/>
      </w:r>
      <w:r w:rsidR="009909A4">
        <w:rPr>
          <w:rFonts w:ascii="Cambria" w:hAnsi="Cambria"/>
        </w:rPr>
        <w:instrText>ADDIN CSL_CITATION { "citationItems" : [ { "id" : "ITEM-1", "itemData" : { "author" : [ { "dropping-particle" : "", "family" : "R Core Team", "given" : "", "non-dropping-particle" : "", "parse-names" : false, "suffix" : "" } ], "id" : "ITEM-1", "issued" : { "date-parts" : [ [ "2015" ] ] }, "title" : "R: A language and environment for statistical computing. R Foundation for Statistical Computing, Vienna, Austria.", "type" : "article" }, "uris" : [ "http://www.mendeley.com/documents/?uuid=a608e39a-fdde-4a93-9c56-23ffc4c2abca" ] } ], "mendeley" : { "formattedCitation" : "(R Core Team, 2015)", "plainTextFormattedCitation" : "(R Core Team, 2015)", "previouslyFormattedCitation" : "(R Core Team, 2015)" }, "properties" : { "noteIndex" : 0 }, "schema" : "https://github.com/citation-style-language/schema/raw/master/csl-citation.json" }</w:instrText>
      </w:r>
      <w:r w:rsidR="00906E41">
        <w:rPr>
          <w:rFonts w:ascii="Cambria" w:hAnsi="Cambria"/>
        </w:rPr>
        <w:fldChar w:fldCharType="separate"/>
      </w:r>
      <w:r w:rsidR="00906E41" w:rsidRPr="00906E41">
        <w:rPr>
          <w:rFonts w:ascii="Cambria" w:hAnsi="Cambria"/>
          <w:noProof/>
        </w:rPr>
        <w:t>(R Core Team, 2015)</w:t>
      </w:r>
      <w:r w:rsidR="00906E41">
        <w:rPr>
          <w:rFonts w:ascii="Cambria" w:hAnsi="Cambria"/>
        </w:rPr>
        <w:fldChar w:fldCharType="end"/>
      </w:r>
      <w:r w:rsidRPr="00531789">
        <w:rPr>
          <w:rFonts w:ascii="Cambria" w:hAnsi="Cambria"/>
        </w:rPr>
        <w:t xml:space="preserve"> using Type II ANOVA, simultaneously testing for effects of harvest time and treatment.  Each treatment was analysed separately: data from elevated CO</w:t>
      </w:r>
      <w:r w:rsidRPr="00531789">
        <w:rPr>
          <w:rFonts w:ascii="Cambria" w:hAnsi="Cambria"/>
          <w:vertAlign w:val="subscript"/>
        </w:rPr>
        <w:t>2</w:t>
      </w:r>
      <w:r w:rsidRPr="00531789">
        <w:rPr>
          <w:rFonts w:ascii="Cambria" w:hAnsi="Cambria"/>
        </w:rPr>
        <w:t xml:space="preserve"> and defoliation treatments were each compared with common control plants.  </w:t>
      </w:r>
      <w:r w:rsidRPr="00531789">
        <w:rPr>
          <w:rFonts w:ascii="Cambria" w:hAnsi="Cambria" w:cs="Arial"/>
          <w:sz w:val="23"/>
          <w:szCs w:val="23"/>
          <w:lang w:val="en-US"/>
        </w:rPr>
        <w:t>Logarithmic transformations were performed on metabolite data prior to analysis to improve the fit of the models.</w:t>
      </w:r>
    </w:p>
    <w:p w14:paraId="42917B70" w14:textId="77777777" w:rsidR="00DF4522" w:rsidRDefault="00DF4522" w:rsidP="00DF4522">
      <w:pPr>
        <w:spacing w:line="360" w:lineRule="auto"/>
        <w:jc w:val="both"/>
        <w:rPr>
          <w:rFonts w:ascii="Cambria" w:hAnsi="Cambria"/>
        </w:rPr>
      </w:pPr>
    </w:p>
    <w:p w14:paraId="623959D8" w14:textId="77777777" w:rsidR="00DF4522" w:rsidRPr="00531789" w:rsidRDefault="00DF4522" w:rsidP="00DF4522">
      <w:pPr>
        <w:pStyle w:val="Heading2"/>
        <w:rPr>
          <w:rFonts w:ascii="Cambria" w:hAnsi="Cambria"/>
          <w:color w:val="auto"/>
        </w:rPr>
      </w:pPr>
      <w:bookmarkStart w:id="75" w:name="_Toc322267590"/>
      <w:bookmarkStart w:id="76" w:name="_Toc322267712"/>
      <w:bookmarkStart w:id="77" w:name="_Toc322267876"/>
      <w:bookmarkStart w:id="78" w:name="_Toc331253018"/>
      <w:r w:rsidRPr="00531789">
        <w:rPr>
          <w:rFonts w:ascii="Cambria" w:hAnsi="Cambria"/>
          <w:color w:val="auto"/>
        </w:rPr>
        <w:t>RESULTS</w:t>
      </w:r>
      <w:bookmarkEnd w:id="75"/>
      <w:bookmarkEnd w:id="76"/>
      <w:bookmarkEnd w:id="77"/>
      <w:bookmarkEnd w:id="78"/>
    </w:p>
    <w:p w14:paraId="4D388B5C" w14:textId="77777777" w:rsidR="00DF4522" w:rsidRPr="00531789" w:rsidRDefault="00DF4522" w:rsidP="00DF4522">
      <w:pPr>
        <w:pStyle w:val="Heading2"/>
        <w:rPr>
          <w:rFonts w:ascii="Cambria" w:hAnsi="Cambria"/>
          <w:color w:val="auto"/>
        </w:rPr>
      </w:pPr>
    </w:p>
    <w:p w14:paraId="0D4724BD" w14:textId="77777777" w:rsidR="00DF4522" w:rsidRPr="00531789" w:rsidRDefault="00DF4522" w:rsidP="00DF4522">
      <w:pPr>
        <w:spacing w:line="360" w:lineRule="auto"/>
        <w:jc w:val="both"/>
        <w:rPr>
          <w:rFonts w:ascii="Cambria" w:hAnsi="Cambria"/>
          <w:b/>
        </w:rPr>
      </w:pPr>
      <w:r w:rsidRPr="00531789">
        <w:rPr>
          <w:rFonts w:ascii="Cambria" w:hAnsi="Cambria"/>
          <w:b/>
        </w:rPr>
        <w:t>Elevated CO</w:t>
      </w:r>
      <w:r w:rsidRPr="00531789">
        <w:rPr>
          <w:rFonts w:ascii="Cambria" w:hAnsi="Cambria"/>
          <w:b/>
          <w:vertAlign w:val="subscript"/>
        </w:rPr>
        <w:t xml:space="preserve">2 </w:t>
      </w:r>
      <w:r w:rsidRPr="00531789">
        <w:rPr>
          <w:rFonts w:ascii="Cambria" w:hAnsi="Cambria"/>
          <w:b/>
        </w:rPr>
        <w:t>transient</w:t>
      </w:r>
    </w:p>
    <w:p w14:paraId="7D5911BE" w14:textId="77777777" w:rsidR="00DF4522" w:rsidRPr="00531789" w:rsidRDefault="00DF4522" w:rsidP="00DF4522">
      <w:pPr>
        <w:spacing w:line="360" w:lineRule="auto"/>
        <w:jc w:val="both"/>
        <w:rPr>
          <w:rFonts w:ascii="Cambria" w:hAnsi="Cambria"/>
        </w:rPr>
      </w:pPr>
    </w:p>
    <w:p w14:paraId="5D0A90DF" w14:textId="77777777" w:rsidR="00DF4522" w:rsidRDefault="00DF4522" w:rsidP="00DF4522">
      <w:pPr>
        <w:spacing w:line="360" w:lineRule="auto"/>
        <w:jc w:val="both"/>
        <w:rPr>
          <w:rFonts w:ascii="Cambria" w:hAnsi="Cambria"/>
        </w:rPr>
      </w:pPr>
      <w:r w:rsidRPr="00531789">
        <w:rPr>
          <w:rFonts w:ascii="Cambria" w:hAnsi="Cambria"/>
        </w:rPr>
        <w:t>Contrary to predictions, the transient elevated CO</w:t>
      </w:r>
      <w:r w:rsidRPr="00531789">
        <w:rPr>
          <w:rFonts w:ascii="Cambria" w:hAnsi="Cambria"/>
          <w:vertAlign w:val="subscript"/>
        </w:rPr>
        <w:t>2</w:t>
      </w:r>
      <w:r w:rsidRPr="00531789">
        <w:rPr>
          <w:rFonts w:ascii="Cambria" w:hAnsi="Cambria"/>
        </w:rPr>
        <w:t xml:space="preserve"> treatment has only a weak effect on leaf photosynthesis, measured under growth chamber conditions (Fig. 1).  Although the rate of photosynthesis is 61% higher in plants under elevated CO</w:t>
      </w:r>
      <w:r w:rsidRPr="00531789">
        <w:rPr>
          <w:rFonts w:ascii="Cambria" w:hAnsi="Cambria"/>
          <w:vertAlign w:val="subscript"/>
        </w:rPr>
        <w:t>2</w:t>
      </w:r>
      <w:r w:rsidRPr="00531789">
        <w:rPr>
          <w:rFonts w:ascii="Cambria" w:hAnsi="Cambria"/>
        </w:rPr>
        <w:t xml:space="preserve"> at the harvest 6 weeks after germination, it is not significantly higher at the harvests at 4 and 10 weeks after germination (Fig. 1), leading to a weak treatment effect overall (F</w:t>
      </w:r>
      <w:r w:rsidRPr="00531789">
        <w:rPr>
          <w:rFonts w:ascii="Cambria" w:hAnsi="Cambria"/>
          <w:vertAlign w:val="subscript"/>
        </w:rPr>
        <w:t>(1,14)</w:t>
      </w:r>
      <w:r w:rsidRPr="00531789">
        <w:rPr>
          <w:rFonts w:ascii="Cambria" w:hAnsi="Cambria"/>
        </w:rPr>
        <w:t xml:space="preserve"> = 5.14, p&lt;0.05). Photosynthesis decreases significantly over time (F</w:t>
      </w:r>
      <w:r w:rsidRPr="00531789">
        <w:rPr>
          <w:rFonts w:ascii="Cambria" w:hAnsi="Cambria"/>
          <w:vertAlign w:val="subscript"/>
        </w:rPr>
        <w:t>(1,14)</w:t>
      </w:r>
      <w:r w:rsidRPr="00531789">
        <w:rPr>
          <w:rFonts w:ascii="Cambria" w:hAnsi="Cambria"/>
        </w:rPr>
        <w:t xml:space="preserve"> = 9.09, p&lt;0.01), in the successive sets of measurements that preceded each of the three harvests (Fig. 1), although no effect of time was seen within each set of measurements.</w:t>
      </w:r>
    </w:p>
    <w:p w14:paraId="796495BF" w14:textId="77777777" w:rsidR="00DF4522" w:rsidRPr="00531789" w:rsidRDefault="00DF4522" w:rsidP="00DF4522">
      <w:pPr>
        <w:spacing w:line="360" w:lineRule="auto"/>
        <w:jc w:val="both"/>
        <w:rPr>
          <w:rFonts w:ascii="Cambria" w:hAnsi="Cambria"/>
        </w:rPr>
      </w:pPr>
    </w:p>
    <w:p w14:paraId="22D1BF51" w14:textId="77777777" w:rsidR="00DF4522" w:rsidRDefault="00DF4522" w:rsidP="00DF4522">
      <w:pPr>
        <w:spacing w:line="360" w:lineRule="auto"/>
        <w:jc w:val="both"/>
        <w:rPr>
          <w:rFonts w:ascii="Cambria" w:hAnsi="Cambria"/>
        </w:rPr>
      </w:pPr>
      <w:r>
        <w:rPr>
          <w:noProof/>
          <w:lang w:val="en-US"/>
        </w:rPr>
        <w:drawing>
          <wp:anchor distT="0" distB="0" distL="114300" distR="114300" simplePos="0" relativeHeight="251726848" behindDoc="0" locked="0" layoutInCell="1" allowOverlap="1" wp14:anchorId="3E287258" wp14:editId="30B7632D">
            <wp:simplePos x="0" y="0"/>
            <wp:positionH relativeFrom="column">
              <wp:posOffset>685800</wp:posOffset>
            </wp:positionH>
            <wp:positionV relativeFrom="paragraph">
              <wp:posOffset>228600</wp:posOffset>
            </wp:positionV>
            <wp:extent cx="3543300" cy="2658745"/>
            <wp:effectExtent l="0" t="0" r="12700" b="8255"/>
            <wp:wrapThrough wrapText="bothSides">
              <wp:wrapPolygon edited="0">
                <wp:start x="0" y="0"/>
                <wp:lineTo x="0" y="21461"/>
                <wp:lineTo x="21523" y="21461"/>
                <wp:lineTo x="21523" y="0"/>
                <wp:lineTo x="0" y="0"/>
              </wp:wrapPolygon>
            </wp:wrapThrough>
            <wp:docPr id="18" name="Picture 18" descr="Macintosh HD:Users:angelawhite:Dropbox:University of Sheffield:Publishing:Thesis:Chapter 2 Defoliation and CO2:Figures:Elevated CO2 aam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gelawhite:Dropbox:University of Sheffield:Publishing:Thesis:Chapter 2 Defoliation and CO2:Figures:Elevated CO2 aamb.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43300" cy="2658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A554E0" w14:textId="77777777" w:rsidR="00DF4522" w:rsidRDefault="00DF4522" w:rsidP="00DF4522">
      <w:pPr>
        <w:spacing w:line="360" w:lineRule="auto"/>
        <w:jc w:val="both"/>
        <w:rPr>
          <w:rFonts w:ascii="Cambria" w:hAnsi="Cambria"/>
        </w:rPr>
      </w:pPr>
    </w:p>
    <w:p w14:paraId="58B5F608" w14:textId="77777777" w:rsidR="00DF4522" w:rsidRDefault="00DF4522" w:rsidP="00DF4522">
      <w:pPr>
        <w:spacing w:line="360" w:lineRule="auto"/>
        <w:jc w:val="both"/>
        <w:rPr>
          <w:rFonts w:ascii="Cambria" w:hAnsi="Cambria"/>
        </w:rPr>
      </w:pPr>
    </w:p>
    <w:p w14:paraId="57AC76E2" w14:textId="77777777" w:rsidR="00DF4522" w:rsidRDefault="00DF4522" w:rsidP="00DF4522">
      <w:pPr>
        <w:spacing w:line="360" w:lineRule="auto"/>
        <w:jc w:val="both"/>
        <w:rPr>
          <w:rFonts w:ascii="Cambria" w:hAnsi="Cambria"/>
        </w:rPr>
      </w:pPr>
    </w:p>
    <w:p w14:paraId="0E599E1C" w14:textId="77777777" w:rsidR="00DF4522" w:rsidRDefault="00DF4522" w:rsidP="00DF4522">
      <w:pPr>
        <w:spacing w:line="360" w:lineRule="auto"/>
        <w:jc w:val="both"/>
        <w:rPr>
          <w:rFonts w:ascii="Cambria" w:hAnsi="Cambria"/>
        </w:rPr>
      </w:pPr>
    </w:p>
    <w:p w14:paraId="1F136221" w14:textId="77777777" w:rsidR="00DF4522" w:rsidRDefault="00DF4522" w:rsidP="00DF4522">
      <w:pPr>
        <w:spacing w:line="360" w:lineRule="auto"/>
        <w:jc w:val="both"/>
        <w:rPr>
          <w:rFonts w:ascii="Cambria" w:hAnsi="Cambria"/>
        </w:rPr>
      </w:pPr>
    </w:p>
    <w:p w14:paraId="45A84A2E" w14:textId="77777777" w:rsidR="00DF4522" w:rsidRDefault="00DF4522" w:rsidP="00DF4522">
      <w:pPr>
        <w:spacing w:line="360" w:lineRule="auto"/>
        <w:jc w:val="both"/>
        <w:rPr>
          <w:rFonts w:ascii="Cambria" w:hAnsi="Cambria"/>
        </w:rPr>
      </w:pPr>
    </w:p>
    <w:p w14:paraId="64329768" w14:textId="77777777" w:rsidR="00DF4522" w:rsidRDefault="00DF4522" w:rsidP="00DF4522">
      <w:pPr>
        <w:spacing w:line="360" w:lineRule="auto"/>
        <w:jc w:val="both"/>
        <w:rPr>
          <w:rFonts w:ascii="Cambria" w:hAnsi="Cambria"/>
        </w:rPr>
      </w:pPr>
    </w:p>
    <w:p w14:paraId="03E762AD" w14:textId="77777777" w:rsidR="00DF4522" w:rsidRDefault="00DF4522" w:rsidP="00DF4522">
      <w:pPr>
        <w:spacing w:line="360" w:lineRule="auto"/>
        <w:jc w:val="both"/>
        <w:rPr>
          <w:rFonts w:ascii="Cambria" w:hAnsi="Cambria"/>
        </w:rPr>
      </w:pPr>
    </w:p>
    <w:p w14:paraId="5EC13DEB" w14:textId="77777777" w:rsidR="00DF4522" w:rsidRDefault="00DF4522" w:rsidP="00DF4522">
      <w:pPr>
        <w:spacing w:line="360" w:lineRule="auto"/>
        <w:jc w:val="both"/>
        <w:rPr>
          <w:rFonts w:ascii="Cambria" w:hAnsi="Cambria"/>
        </w:rPr>
      </w:pPr>
    </w:p>
    <w:p w14:paraId="36714D9E" w14:textId="77777777" w:rsidR="00DF4522" w:rsidRDefault="00DF4522" w:rsidP="00DF4522">
      <w:pPr>
        <w:spacing w:line="360" w:lineRule="auto"/>
        <w:jc w:val="both"/>
        <w:rPr>
          <w:rFonts w:ascii="Cambria" w:hAnsi="Cambria"/>
        </w:rPr>
      </w:pPr>
    </w:p>
    <w:p w14:paraId="33BB79CB" w14:textId="77777777" w:rsidR="00DF4522" w:rsidRDefault="00DF4522" w:rsidP="00DF4522">
      <w:pPr>
        <w:spacing w:line="360" w:lineRule="auto"/>
        <w:jc w:val="both"/>
        <w:rPr>
          <w:rFonts w:ascii="Cambria" w:hAnsi="Cambria"/>
        </w:rPr>
      </w:pPr>
    </w:p>
    <w:p w14:paraId="3A3C40F4" w14:textId="77777777" w:rsidR="00DF4522" w:rsidRPr="00FF736D" w:rsidRDefault="00DF4522" w:rsidP="00DF4522">
      <w:pPr>
        <w:jc w:val="both"/>
        <w:rPr>
          <w:rFonts w:ascii="Cambria" w:hAnsi="Cambria" w:cs="font652"/>
          <w:sz w:val="20"/>
          <w:szCs w:val="20"/>
          <w:lang w:val="en-US"/>
        </w:rPr>
      </w:pPr>
      <w:r w:rsidRPr="00FF736D">
        <w:rPr>
          <w:b/>
          <w:sz w:val="20"/>
          <w:szCs w:val="20"/>
        </w:rPr>
        <w:t xml:space="preserve">Figure 1.  </w:t>
      </w:r>
      <w:r w:rsidRPr="00FF736D">
        <w:rPr>
          <w:sz w:val="20"/>
          <w:szCs w:val="20"/>
        </w:rPr>
        <w:t>Net photosynthesis is not increased during a two-week elevated CO</w:t>
      </w:r>
      <w:r w:rsidRPr="00FF736D">
        <w:rPr>
          <w:sz w:val="20"/>
          <w:szCs w:val="20"/>
          <w:vertAlign w:val="subscript"/>
        </w:rPr>
        <w:t>2</w:t>
      </w:r>
      <w:r w:rsidRPr="00FF736D">
        <w:rPr>
          <w:sz w:val="20"/>
          <w:szCs w:val="20"/>
        </w:rPr>
        <w:t xml:space="preserve"> treatment (filled triangles, dashed line) compared to controls (filled circles, solid line) in annual barley harvested 4 and 10 weeks after germination, but is increased in plants harvested 6 weeks after germination. Overall, net photosynthesis decreases across the three harvests.  For each plant, photosynthesis was measured under growth chamber conditions (either elevated CO</w:t>
      </w:r>
      <w:r w:rsidRPr="00FF736D">
        <w:rPr>
          <w:sz w:val="20"/>
          <w:szCs w:val="20"/>
          <w:vertAlign w:val="subscript"/>
        </w:rPr>
        <w:t>2</w:t>
      </w:r>
      <w:r w:rsidRPr="00FF736D">
        <w:rPr>
          <w:sz w:val="20"/>
          <w:szCs w:val="20"/>
        </w:rPr>
        <w:t xml:space="preserve"> or control) multiple times during a two-week elevated CO</w:t>
      </w:r>
      <w:r w:rsidRPr="00FF736D">
        <w:rPr>
          <w:sz w:val="20"/>
          <w:szCs w:val="20"/>
          <w:vertAlign w:val="subscript"/>
        </w:rPr>
        <w:t>2</w:t>
      </w:r>
      <w:r w:rsidRPr="00FF736D">
        <w:rPr>
          <w:sz w:val="20"/>
          <w:szCs w:val="20"/>
        </w:rPr>
        <w:t xml:space="preserve"> exposure period and the results averaged.  Data show </w:t>
      </w:r>
      <w:r w:rsidRPr="00FF736D">
        <w:rPr>
          <w:rFonts w:ascii="Cambria" w:hAnsi="Cambria"/>
          <w:sz w:val="20"/>
          <w:szCs w:val="20"/>
        </w:rPr>
        <w:t xml:space="preserve">mean </w:t>
      </w:r>
      <w:r w:rsidRPr="00FF736D">
        <w:rPr>
          <w:rFonts w:ascii="Cambria" w:hAnsi="Cambria" w:cs="font652"/>
          <w:sz w:val="20"/>
          <w:szCs w:val="20"/>
          <w:lang w:val="en-US"/>
        </w:rPr>
        <w:t>± SE (n=3).  Means from the two treatments are slightly offset to enable them to be seen properly.</w:t>
      </w:r>
    </w:p>
    <w:p w14:paraId="3494B32C" w14:textId="77777777" w:rsidR="00DF4522" w:rsidRPr="00FF736D" w:rsidRDefault="00DF4522" w:rsidP="00DF4522">
      <w:pPr>
        <w:spacing w:line="360" w:lineRule="auto"/>
        <w:jc w:val="both"/>
        <w:rPr>
          <w:rFonts w:ascii="Cambria" w:hAnsi="Cambria"/>
          <w:sz w:val="20"/>
          <w:szCs w:val="20"/>
        </w:rPr>
      </w:pPr>
    </w:p>
    <w:p w14:paraId="47AA735A" w14:textId="77777777" w:rsidR="00DF4522" w:rsidRDefault="00DF4522" w:rsidP="00DF4522">
      <w:pPr>
        <w:spacing w:line="360" w:lineRule="auto"/>
        <w:jc w:val="both"/>
        <w:rPr>
          <w:rFonts w:ascii="Cambria" w:hAnsi="Cambria"/>
        </w:rPr>
      </w:pPr>
    </w:p>
    <w:p w14:paraId="711831C3" w14:textId="77777777" w:rsidR="00DF4522" w:rsidRPr="00531789" w:rsidRDefault="00DF4522" w:rsidP="00DF4522">
      <w:pPr>
        <w:spacing w:line="360" w:lineRule="auto"/>
        <w:jc w:val="both"/>
        <w:rPr>
          <w:rFonts w:ascii="Cambria" w:hAnsi="Cambria"/>
        </w:rPr>
      </w:pPr>
      <w:r w:rsidRPr="00531789">
        <w:rPr>
          <w:rFonts w:ascii="Cambria" w:hAnsi="Cambria"/>
        </w:rPr>
        <w:t>Relative growth rate (RGR; Fig. 2) during the period of elevated CO</w:t>
      </w:r>
      <w:r w:rsidRPr="00531789">
        <w:rPr>
          <w:rFonts w:ascii="Cambria" w:hAnsi="Cambria"/>
          <w:vertAlign w:val="subscript"/>
        </w:rPr>
        <w:t>2</w:t>
      </w:r>
      <w:r w:rsidRPr="00531789">
        <w:rPr>
          <w:rFonts w:ascii="Cambria" w:hAnsi="Cambria"/>
        </w:rPr>
        <w:t xml:space="preserve"> decreases over time (F</w:t>
      </w:r>
      <w:r w:rsidRPr="00531789">
        <w:rPr>
          <w:rFonts w:ascii="Cambria" w:hAnsi="Cambria"/>
          <w:vertAlign w:val="subscript"/>
        </w:rPr>
        <w:t>(1,7)</w:t>
      </w:r>
      <w:r w:rsidRPr="00531789">
        <w:rPr>
          <w:rFonts w:ascii="Cambria" w:hAnsi="Cambria"/>
        </w:rPr>
        <w:t xml:space="preserve"> = 25.42, p&lt;0.01), similar to the trend in photosynthesis (Fig. 1).  Contrary to expectations, there is no effect of CO</w:t>
      </w:r>
      <w:r w:rsidRPr="00531789">
        <w:rPr>
          <w:rFonts w:ascii="Cambria" w:hAnsi="Cambria"/>
          <w:vertAlign w:val="subscript"/>
        </w:rPr>
        <w:t xml:space="preserve">2 </w:t>
      </w:r>
      <w:r w:rsidRPr="00531789">
        <w:rPr>
          <w:rFonts w:ascii="Cambria" w:hAnsi="Cambria"/>
        </w:rPr>
        <w:t>on RGR (Fig. 2), yet CO</w:t>
      </w:r>
      <w:r w:rsidRPr="00531789">
        <w:rPr>
          <w:rFonts w:ascii="Cambria" w:hAnsi="Cambria"/>
          <w:vertAlign w:val="subscript"/>
        </w:rPr>
        <w:t>2</w:t>
      </w:r>
      <w:r w:rsidRPr="00531789">
        <w:rPr>
          <w:rFonts w:ascii="Cambria" w:hAnsi="Cambria"/>
        </w:rPr>
        <w:t xml:space="preserve"> does affect biomass allocation.  Plants exposed to elevated CO</w:t>
      </w:r>
      <w:r w:rsidRPr="00531789">
        <w:rPr>
          <w:rFonts w:ascii="Cambria" w:hAnsi="Cambria"/>
          <w:vertAlign w:val="subscript"/>
        </w:rPr>
        <w:t>2</w:t>
      </w:r>
      <w:r w:rsidRPr="00531789">
        <w:rPr>
          <w:rFonts w:ascii="Cambria" w:hAnsi="Cambria"/>
        </w:rPr>
        <w:t xml:space="preserve"> allocate more biomass to shoot than root (Table 1).  They have a lower </w:t>
      </w:r>
      <w:proofErr w:type="spellStart"/>
      <w:r w:rsidRPr="00531789">
        <w:rPr>
          <w:rFonts w:ascii="Cambria" w:hAnsi="Cambria"/>
        </w:rPr>
        <w:t>root:shoot</w:t>
      </w:r>
      <w:proofErr w:type="spellEnd"/>
      <w:r w:rsidRPr="00531789">
        <w:rPr>
          <w:rFonts w:ascii="Cambria" w:hAnsi="Cambria"/>
        </w:rPr>
        <w:t xml:space="preserve"> ratio and higher LMA (leaf dry mass per unit area, g m</w:t>
      </w:r>
      <w:r w:rsidRPr="00531789">
        <w:rPr>
          <w:rFonts w:ascii="Cambria" w:hAnsi="Cambria"/>
          <w:vertAlign w:val="superscript"/>
        </w:rPr>
        <w:t>-2</w:t>
      </w:r>
      <w:r w:rsidRPr="00531789">
        <w:rPr>
          <w:rFonts w:ascii="Cambria" w:hAnsi="Cambria"/>
        </w:rPr>
        <w:t xml:space="preserve">) than controls (treatment effect on </w:t>
      </w:r>
      <w:proofErr w:type="spellStart"/>
      <w:r w:rsidRPr="00531789">
        <w:rPr>
          <w:rFonts w:ascii="Cambria" w:hAnsi="Cambria"/>
        </w:rPr>
        <w:t>root:shoot</w:t>
      </w:r>
      <w:proofErr w:type="spellEnd"/>
      <w:r w:rsidRPr="00531789">
        <w:rPr>
          <w:rFonts w:ascii="Cambria" w:hAnsi="Cambria"/>
        </w:rPr>
        <w:t xml:space="preserve"> ratio: F</w:t>
      </w:r>
      <w:r w:rsidRPr="00531789">
        <w:rPr>
          <w:rFonts w:ascii="Cambria" w:hAnsi="Cambria"/>
          <w:vertAlign w:val="subscript"/>
        </w:rPr>
        <w:t>(1,14)</w:t>
      </w:r>
      <w:r>
        <w:rPr>
          <w:rFonts w:ascii="Cambria" w:hAnsi="Cambria"/>
        </w:rPr>
        <w:t xml:space="preserve"> = 5.9, p&lt;</w:t>
      </w:r>
      <w:r w:rsidRPr="00531789">
        <w:rPr>
          <w:rFonts w:ascii="Cambria" w:hAnsi="Cambria"/>
        </w:rPr>
        <w:t>0.05; for LMA: F</w:t>
      </w:r>
      <w:r w:rsidRPr="00531789">
        <w:rPr>
          <w:rFonts w:ascii="Cambria" w:hAnsi="Cambria"/>
          <w:vertAlign w:val="subscript"/>
        </w:rPr>
        <w:t>(1,14)</w:t>
      </w:r>
      <w:r>
        <w:rPr>
          <w:rFonts w:ascii="Cambria" w:hAnsi="Cambria"/>
        </w:rPr>
        <w:t xml:space="preserve"> = 5.2, p&lt;</w:t>
      </w:r>
      <w:r w:rsidRPr="00531789">
        <w:rPr>
          <w:rFonts w:ascii="Cambria" w:hAnsi="Cambria"/>
        </w:rPr>
        <w:t>0.05).  LMA decreases significantly over time in elevated CO</w:t>
      </w:r>
      <w:r w:rsidRPr="00531789">
        <w:rPr>
          <w:rFonts w:ascii="Cambria" w:hAnsi="Cambria"/>
          <w:vertAlign w:val="subscript"/>
        </w:rPr>
        <w:t>2</w:t>
      </w:r>
      <w:r w:rsidRPr="00531789">
        <w:rPr>
          <w:rFonts w:ascii="Cambria" w:hAnsi="Cambria"/>
        </w:rPr>
        <w:t xml:space="preserve"> and control plants (F</w:t>
      </w:r>
      <w:r w:rsidRPr="00531789">
        <w:rPr>
          <w:rFonts w:ascii="Cambria" w:hAnsi="Cambria"/>
          <w:vertAlign w:val="subscript"/>
        </w:rPr>
        <w:t>(1,14)</w:t>
      </w:r>
      <w:r w:rsidRPr="00531789">
        <w:rPr>
          <w:rFonts w:ascii="Cambria" w:hAnsi="Cambria"/>
        </w:rPr>
        <w:t xml:space="preserve"> =</w:t>
      </w:r>
      <w:r>
        <w:rPr>
          <w:rFonts w:ascii="Cambria" w:hAnsi="Cambria"/>
        </w:rPr>
        <w:t xml:space="preserve"> 42.9, p&lt;</w:t>
      </w:r>
      <w:r w:rsidRPr="00531789">
        <w:rPr>
          <w:rFonts w:ascii="Cambria" w:hAnsi="Cambria"/>
        </w:rPr>
        <w:t>0.001).  However there are no treatment x harvest intera</w:t>
      </w:r>
      <w:r>
        <w:rPr>
          <w:rFonts w:ascii="Cambria" w:hAnsi="Cambria"/>
        </w:rPr>
        <w:t xml:space="preserve">ctions (for </w:t>
      </w:r>
      <w:proofErr w:type="spellStart"/>
      <w:r>
        <w:rPr>
          <w:rFonts w:ascii="Cambria" w:hAnsi="Cambria"/>
        </w:rPr>
        <w:t>root:shoot</w:t>
      </w:r>
      <w:proofErr w:type="spellEnd"/>
      <w:r>
        <w:rPr>
          <w:rFonts w:ascii="Cambria" w:hAnsi="Cambria"/>
        </w:rPr>
        <w:t xml:space="preserve"> ratio, p</w:t>
      </w:r>
      <w:r w:rsidRPr="00531789">
        <w:rPr>
          <w:rFonts w:ascii="Cambria" w:hAnsi="Cambria"/>
        </w:rPr>
        <w:t>&gt;</w:t>
      </w:r>
      <w:r>
        <w:rPr>
          <w:rFonts w:ascii="Cambria" w:hAnsi="Cambria"/>
        </w:rPr>
        <w:t>0.1; for LMA, p&gt;</w:t>
      </w:r>
      <w:r w:rsidRPr="00531789">
        <w:rPr>
          <w:rFonts w:ascii="Cambria" w:hAnsi="Cambria"/>
        </w:rPr>
        <w:t>0.3).</w:t>
      </w:r>
    </w:p>
    <w:p w14:paraId="4839FF86" w14:textId="77777777" w:rsidR="00DF4522" w:rsidRDefault="00DF4522" w:rsidP="00DF4522">
      <w:pPr>
        <w:spacing w:line="360" w:lineRule="auto"/>
        <w:jc w:val="both"/>
        <w:rPr>
          <w:rFonts w:ascii="Cambria" w:hAnsi="Cambria"/>
        </w:rPr>
      </w:pPr>
      <w:r w:rsidRPr="00424C25">
        <w:rPr>
          <w:noProof/>
          <w:lang w:val="en-US"/>
        </w:rPr>
        <w:drawing>
          <wp:anchor distT="0" distB="0" distL="114300" distR="114300" simplePos="0" relativeHeight="251727872" behindDoc="0" locked="0" layoutInCell="1" allowOverlap="1" wp14:anchorId="06647A96" wp14:editId="57BF79AC">
            <wp:simplePos x="0" y="0"/>
            <wp:positionH relativeFrom="column">
              <wp:posOffset>1028700</wp:posOffset>
            </wp:positionH>
            <wp:positionV relativeFrom="paragraph">
              <wp:posOffset>114300</wp:posOffset>
            </wp:positionV>
            <wp:extent cx="3543300" cy="2649220"/>
            <wp:effectExtent l="0" t="0" r="12700" b="0"/>
            <wp:wrapThrough wrapText="bothSides">
              <wp:wrapPolygon edited="0">
                <wp:start x="0" y="0"/>
                <wp:lineTo x="0" y="21331"/>
                <wp:lineTo x="21523" y="21331"/>
                <wp:lineTo x="21523" y="0"/>
                <wp:lineTo x="0" y="0"/>
              </wp:wrapPolygon>
            </wp:wrapThrough>
            <wp:docPr id="19" name="Picture 19" descr="Macintosh HD:Users:angelawhite:Dropbox:University of Sheffield:Publishing:Thesis:Chapter 2 Defoliation and CO2:Figures:Elevated CO2 RG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gelawhite:Dropbox:University of Sheffield:Publishing:Thesis:Chapter 2 Defoliation and CO2:Figures:Elevated CO2 RGR.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43300" cy="2649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0C90EB" w14:textId="77777777" w:rsidR="00DF4522" w:rsidRDefault="00DF4522" w:rsidP="00DF4522">
      <w:pPr>
        <w:spacing w:line="360" w:lineRule="auto"/>
        <w:jc w:val="both"/>
        <w:rPr>
          <w:rFonts w:ascii="Cambria" w:hAnsi="Cambria"/>
        </w:rPr>
      </w:pPr>
    </w:p>
    <w:p w14:paraId="21206E06" w14:textId="77777777" w:rsidR="00DF4522" w:rsidRDefault="00DF4522" w:rsidP="00DF4522">
      <w:pPr>
        <w:spacing w:line="360" w:lineRule="auto"/>
        <w:jc w:val="both"/>
        <w:rPr>
          <w:rFonts w:ascii="Cambria" w:hAnsi="Cambria"/>
        </w:rPr>
      </w:pPr>
    </w:p>
    <w:p w14:paraId="7429B052" w14:textId="77777777" w:rsidR="00DF4522" w:rsidRDefault="00DF4522" w:rsidP="00DF4522">
      <w:pPr>
        <w:spacing w:line="360" w:lineRule="auto"/>
        <w:jc w:val="both"/>
        <w:rPr>
          <w:rFonts w:ascii="Cambria" w:hAnsi="Cambria"/>
        </w:rPr>
      </w:pPr>
    </w:p>
    <w:p w14:paraId="7E5E3950" w14:textId="77777777" w:rsidR="00DF4522" w:rsidRDefault="00DF4522" w:rsidP="00DF4522">
      <w:pPr>
        <w:spacing w:line="360" w:lineRule="auto"/>
        <w:jc w:val="both"/>
        <w:rPr>
          <w:rFonts w:ascii="Cambria" w:hAnsi="Cambria"/>
        </w:rPr>
      </w:pPr>
    </w:p>
    <w:p w14:paraId="7FC9B841" w14:textId="77777777" w:rsidR="00DF4522" w:rsidRDefault="00DF4522" w:rsidP="00DF4522">
      <w:pPr>
        <w:spacing w:line="360" w:lineRule="auto"/>
        <w:jc w:val="both"/>
        <w:rPr>
          <w:rFonts w:ascii="Cambria" w:hAnsi="Cambria"/>
        </w:rPr>
      </w:pPr>
    </w:p>
    <w:p w14:paraId="78AEA21A" w14:textId="77777777" w:rsidR="00DF4522" w:rsidRDefault="00DF4522" w:rsidP="00DF4522">
      <w:pPr>
        <w:spacing w:line="360" w:lineRule="auto"/>
        <w:jc w:val="both"/>
        <w:rPr>
          <w:rFonts w:ascii="Cambria" w:hAnsi="Cambria"/>
        </w:rPr>
      </w:pPr>
    </w:p>
    <w:p w14:paraId="5E8DAF76" w14:textId="77777777" w:rsidR="00DF4522" w:rsidRDefault="00DF4522" w:rsidP="00DF4522">
      <w:pPr>
        <w:spacing w:line="360" w:lineRule="auto"/>
        <w:jc w:val="both"/>
        <w:rPr>
          <w:rFonts w:ascii="Cambria" w:hAnsi="Cambria"/>
        </w:rPr>
      </w:pPr>
    </w:p>
    <w:p w14:paraId="7C9130FC" w14:textId="77777777" w:rsidR="00DF4522" w:rsidRDefault="00DF4522" w:rsidP="00DF4522">
      <w:pPr>
        <w:spacing w:line="360" w:lineRule="auto"/>
        <w:jc w:val="both"/>
        <w:rPr>
          <w:rFonts w:ascii="Cambria" w:hAnsi="Cambria"/>
        </w:rPr>
      </w:pPr>
    </w:p>
    <w:p w14:paraId="69111BB2" w14:textId="77777777" w:rsidR="00DF4522" w:rsidRDefault="00DF4522" w:rsidP="00DF4522">
      <w:pPr>
        <w:spacing w:line="360" w:lineRule="auto"/>
        <w:jc w:val="both"/>
        <w:rPr>
          <w:rFonts w:ascii="Cambria" w:hAnsi="Cambria"/>
        </w:rPr>
      </w:pPr>
    </w:p>
    <w:p w14:paraId="50606816" w14:textId="77777777" w:rsidR="00DF4522" w:rsidRDefault="00DF4522" w:rsidP="00DF4522">
      <w:pPr>
        <w:spacing w:line="360" w:lineRule="auto"/>
        <w:jc w:val="both"/>
        <w:rPr>
          <w:rFonts w:ascii="Cambria" w:hAnsi="Cambria"/>
        </w:rPr>
      </w:pPr>
    </w:p>
    <w:p w14:paraId="1D85E777" w14:textId="77777777" w:rsidR="00DF4522" w:rsidRPr="00DA545A" w:rsidRDefault="00DF4522" w:rsidP="00DF4522">
      <w:pPr>
        <w:jc w:val="both"/>
        <w:rPr>
          <w:sz w:val="20"/>
          <w:szCs w:val="20"/>
        </w:rPr>
      </w:pPr>
      <w:r w:rsidRPr="00DA545A">
        <w:rPr>
          <w:b/>
          <w:sz w:val="20"/>
          <w:szCs w:val="20"/>
        </w:rPr>
        <w:t xml:space="preserve">Figure 2.  </w:t>
      </w:r>
      <w:r w:rsidRPr="00DA545A">
        <w:rPr>
          <w:sz w:val="20"/>
          <w:szCs w:val="20"/>
        </w:rPr>
        <w:t>Relative growth rate (RGR; daily gain in aboveground area relative to total aboveground area, m</w:t>
      </w:r>
      <w:r w:rsidRPr="00DA545A">
        <w:rPr>
          <w:sz w:val="20"/>
          <w:szCs w:val="20"/>
          <w:vertAlign w:val="superscript"/>
        </w:rPr>
        <w:t>2</w:t>
      </w:r>
      <w:r w:rsidRPr="00DA545A">
        <w:rPr>
          <w:sz w:val="20"/>
          <w:szCs w:val="20"/>
        </w:rPr>
        <w:t xml:space="preserve"> mm</w:t>
      </w:r>
      <w:r w:rsidRPr="00DA545A">
        <w:rPr>
          <w:sz w:val="20"/>
          <w:szCs w:val="20"/>
          <w:vertAlign w:val="superscript"/>
        </w:rPr>
        <w:t>-2</w:t>
      </w:r>
      <w:r w:rsidRPr="00DA545A">
        <w:rPr>
          <w:sz w:val="20"/>
          <w:szCs w:val="20"/>
        </w:rPr>
        <w:t xml:space="preserve"> day</w:t>
      </w:r>
      <w:r w:rsidRPr="00DA545A">
        <w:rPr>
          <w:sz w:val="20"/>
          <w:szCs w:val="20"/>
          <w:vertAlign w:val="superscript"/>
        </w:rPr>
        <w:t>-1</w:t>
      </w:r>
      <w:r w:rsidRPr="00DA545A">
        <w:rPr>
          <w:sz w:val="20"/>
          <w:szCs w:val="20"/>
        </w:rPr>
        <w:t>) during two-week treatment period is not increased under elevated CO</w:t>
      </w:r>
      <w:r w:rsidRPr="00DA545A">
        <w:rPr>
          <w:sz w:val="20"/>
          <w:szCs w:val="20"/>
          <w:vertAlign w:val="subscript"/>
        </w:rPr>
        <w:t>2</w:t>
      </w:r>
      <w:r w:rsidRPr="00DA545A">
        <w:rPr>
          <w:sz w:val="20"/>
          <w:szCs w:val="20"/>
        </w:rPr>
        <w:t xml:space="preserve"> (filled triangles, dashed line) compared to control (filled circles, solid line) in annual barley harvested 4 and 6 weeks after germination.  No image data could be collected for the harvest at week 10.  RGR decreases across the two harvests, yet is decreased to a greater extent in the control plants.</w:t>
      </w:r>
      <w:r w:rsidRPr="00DA545A">
        <w:rPr>
          <w:color w:val="FF0000"/>
          <w:sz w:val="20"/>
          <w:szCs w:val="20"/>
        </w:rPr>
        <w:t xml:space="preserve">  </w:t>
      </w:r>
      <w:r w:rsidRPr="00DA545A">
        <w:rPr>
          <w:sz w:val="20"/>
          <w:szCs w:val="20"/>
        </w:rPr>
        <w:t xml:space="preserve">Data show </w:t>
      </w:r>
      <w:r w:rsidRPr="00DA545A">
        <w:rPr>
          <w:rFonts w:ascii="Cambria" w:hAnsi="Cambria"/>
          <w:sz w:val="20"/>
          <w:szCs w:val="20"/>
        </w:rPr>
        <w:t xml:space="preserve">mean </w:t>
      </w:r>
      <w:r w:rsidRPr="00DA545A">
        <w:rPr>
          <w:rFonts w:ascii="Cambria" w:hAnsi="Cambria" w:cs="font652"/>
          <w:sz w:val="20"/>
          <w:szCs w:val="20"/>
          <w:lang w:val="en-US"/>
        </w:rPr>
        <w:t>± SE (n=3).</w:t>
      </w:r>
      <w:r w:rsidRPr="00DA545A">
        <w:rPr>
          <w:rFonts w:ascii="Cambria" w:hAnsi="Cambria"/>
          <w:sz w:val="20"/>
          <w:szCs w:val="20"/>
        </w:rPr>
        <w:t xml:space="preserve">  </w:t>
      </w:r>
    </w:p>
    <w:p w14:paraId="350D810B" w14:textId="77777777" w:rsidR="00DF4522" w:rsidRDefault="00DF4522" w:rsidP="00DF4522">
      <w:pPr>
        <w:spacing w:line="360" w:lineRule="auto"/>
        <w:jc w:val="both"/>
        <w:rPr>
          <w:rFonts w:ascii="Cambria" w:hAnsi="Cambria"/>
        </w:rPr>
      </w:pPr>
    </w:p>
    <w:p w14:paraId="621C6167" w14:textId="77777777" w:rsidR="00DF4522" w:rsidRPr="00D74B32" w:rsidRDefault="00DF4522" w:rsidP="00DF4522">
      <w:pPr>
        <w:jc w:val="both"/>
        <w:rPr>
          <w:rFonts w:ascii="Cambria" w:hAnsi="Cambria"/>
          <w:sz w:val="20"/>
          <w:szCs w:val="20"/>
        </w:rPr>
      </w:pPr>
      <w:r w:rsidRPr="00D74B32">
        <w:rPr>
          <w:b/>
          <w:sz w:val="20"/>
          <w:szCs w:val="20"/>
        </w:rPr>
        <w:t xml:space="preserve">Table 1.  </w:t>
      </w:r>
      <w:r w:rsidRPr="00D74B32">
        <w:rPr>
          <w:sz w:val="20"/>
          <w:szCs w:val="20"/>
        </w:rPr>
        <w:t>Plants exposed to elevated CO</w:t>
      </w:r>
      <w:r w:rsidRPr="00D74B32">
        <w:rPr>
          <w:sz w:val="20"/>
          <w:szCs w:val="20"/>
          <w:vertAlign w:val="subscript"/>
        </w:rPr>
        <w:t>2</w:t>
      </w:r>
      <w:r w:rsidRPr="00D74B32">
        <w:rPr>
          <w:sz w:val="20"/>
          <w:szCs w:val="20"/>
        </w:rPr>
        <w:t xml:space="preserve"> allocate more biomass to shoot than root, in annual barley harvested 4, 6 and 10 weeks after germination.  Leaf mass per unit area (LMA, g m</w:t>
      </w:r>
      <w:r w:rsidRPr="00D74B32">
        <w:rPr>
          <w:sz w:val="20"/>
          <w:szCs w:val="20"/>
          <w:vertAlign w:val="superscript"/>
        </w:rPr>
        <w:t>-2</w:t>
      </w:r>
      <w:r w:rsidRPr="00D74B32">
        <w:rPr>
          <w:sz w:val="20"/>
          <w:szCs w:val="20"/>
        </w:rPr>
        <w:t xml:space="preserve">) is higher and </w:t>
      </w:r>
      <w:proofErr w:type="spellStart"/>
      <w:r w:rsidRPr="00D74B32">
        <w:rPr>
          <w:sz w:val="20"/>
          <w:szCs w:val="20"/>
        </w:rPr>
        <w:t>root:shoot</w:t>
      </w:r>
      <w:proofErr w:type="spellEnd"/>
      <w:r w:rsidRPr="00D74B32">
        <w:rPr>
          <w:sz w:val="20"/>
          <w:szCs w:val="20"/>
        </w:rPr>
        <w:t xml:space="preserve"> ratio is lower, compared to controls.  LMA decreases significantly over time in plants exposed to elevated CO</w:t>
      </w:r>
      <w:r w:rsidRPr="00D74B32">
        <w:rPr>
          <w:sz w:val="20"/>
          <w:szCs w:val="20"/>
          <w:vertAlign w:val="subscript"/>
        </w:rPr>
        <w:t>2</w:t>
      </w:r>
      <w:r w:rsidRPr="00D74B32">
        <w:rPr>
          <w:sz w:val="20"/>
          <w:szCs w:val="20"/>
        </w:rPr>
        <w:t xml:space="preserve"> and in control plants but there is no interaction.  Data show </w:t>
      </w:r>
      <w:r w:rsidRPr="00D74B32">
        <w:rPr>
          <w:rFonts w:ascii="Cambria" w:hAnsi="Cambria"/>
          <w:sz w:val="20"/>
          <w:szCs w:val="20"/>
        </w:rPr>
        <w:t xml:space="preserve">mean </w:t>
      </w:r>
      <w:r w:rsidRPr="00D74B32">
        <w:rPr>
          <w:rFonts w:ascii="Cambria" w:hAnsi="Cambria" w:cs="font652"/>
          <w:sz w:val="20"/>
          <w:szCs w:val="20"/>
          <w:lang w:val="en-US"/>
        </w:rPr>
        <w:t>± SE (n=3).</w:t>
      </w:r>
      <w:r w:rsidRPr="00D74B32">
        <w:rPr>
          <w:rFonts w:ascii="Cambria" w:hAnsi="Cambria"/>
          <w:sz w:val="20"/>
          <w:szCs w:val="20"/>
        </w:rPr>
        <w:t xml:space="preserve">  </w:t>
      </w:r>
    </w:p>
    <w:p w14:paraId="75D1A786" w14:textId="77777777" w:rsidR="00DF4522" w:rsidRPr="007609B8" w:rsidRDefault="00DF4522" w:rsidP="00DF4522">
      <w:pPr>
        <w:jc w:val="both"/>
        <w:rPr>
          <w:rFonts w:ascii="Cambria" w:hAnsi="Cambria"/>
          <w:b/>
          <w:sz w:val="20"/>
          <w:szCs w:val="20"/>
        </w:rPr>
      </w:pPr>
    </w:p>
    <w:tbl>
      <w:tblPr>
        <w:tblStyle w:val="TableGrid"/>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9"/>
        <w:gridCol w:w="1660"/>
        <w:gridCol w:w="1533"/>
        <w:gridCol w:w="1704"/>
        <w:gridCol w:w="1704"/>
      </w:tblGrid>
      <w:tr w:rsidR="00DF4522" w:rsidRPr="007609B8" w14:paraId="47E7B802" w14:textId="77777777" w:rsidTr="00FB53C0">
        <w:tc>
          <w:tcPr>
            <w:tcW w:w="1588" w:type="dxa"/>
          </w:tcPr>
          <w:p w14:paraId="0714AA3B" w14:textId="77777777" w:rsidR="00DF4522" w:rsidRPr="007609B8" w:rsidRDefault="00DF4522" w:rsidP="00FB53C0">
            <w:pPr>
              <w:jc w:val="both"/>
              <w:rPr>
                <w:rFonts w:ascii="Cambria" w:hAnsi="Cambria"/>
                <w:b/>
              </w:rPr>
            </w:pPr>
          </w:p>
        </w:tc>
        <w:tc>
          <w:tcPr>
            <w:tcW w:w="1672" w:type="dxa"/>
          </w:tcPr>
          <w:p w14:paraId="3ED3584D" w14:textId="77777777" w:rsidR="00DF4522" w:rsidRPr="007609B8" w:rsidRDefault="00DF4522" w:rsidP="00FB53C0">
            <w:pPr>
              <w:rPr>
                <w:rFonts w:ascii="Cambria" w:hAnsi="Cambria"/>
                <w:b/>
              </w:rPr>
            </w:pPr>
            <w:r w:rsidRPr="007609B8">
              <w:rPr>
                <w:rFonts w:ascii="Cambria" w:hAnsi="Cambria"/>
                <w:b/>
              </w:rPr>
              <w:t>Treatment</w:t>
            </w:r>
          </w:p>
        </w:tc>
        <w:tc>
          <w:tcPr>
            <w:tcW w:w="1552" w:type="dxa"/>
          </w:tcPr>
          <w:p w14:paraId="4CEF44A9" w14:textId="77777777" w:rsidR="00DF4522" w:rsidRPr="007609B8" w:rsidRDefault="00DF4522" w:rsidP="00FB53C0">
            <w:pPr>
              <w:jc w:val="center"/>
              <w:rPr>
                <w:rFonts w:ascii="Cambria" w:hAnsi="Cambria"/>
                <w:b/>
              </w:rPr>
            </w:pPr>
            <w:r w:rsidRPr="007609B8">
              <w:rPr>
                <w:rFonts w:ascii="Cambria" w:hAnsi="Cambria"/>
                <w:b/>
              </w:rPr>
              <w:t>4 weeks</w:t>
            </w:r>
          </w:p>
        </w:tc>
        <w:tc>
          <w:tcPr>
            <w:tcW w:w="1727" w:type="dxa"/>
          </w:tcPr>
          <w:p w14:paraId="1229D433" w14:textId="77777777" w:rsidR="00DF4522" w:rsidRPr="007609B8" w:rsidRDefault="00DF4522" w:rsidP="00FB53C0">
            <w:pPr>
              <w:jc w:val="center"/>
              <w:rPr>
                <w:rFonts w:ascii="Cambria" w:hAnsi="Cambria"/>
                <w:b/>
              </w:rPr>
            </w:pPr>
            <w:r w:rsidRPr="007609B8">
              <w:rPr>
                <w:rFonts w:ascii="Cambria" w:hAnsi="Cambria"/>
                <w:b/>
              </w:rPr>
              <w:t>6 weeks</w:t>
            </w:r>
          </w:p>
        </w:tc>
        <w:tc>
          <w:tcPr>
            <w:tcW w:w="1727" w:type="dxa"/>
          </w:tcPr>
          <w:p w14:paraId="69BE62F8" w14:textId="77777777" w:rsidR="00DF4522" w:rsidRPr="007609B8" w:rsidRDefault="00DF4522" w:rsidP="00FB53C0">
            <w:pPr>
              <w:jc w:val="center"/>
              <w:rPr>
                <w:rFonts w:ascii="Cambria" w:hAnsi="Cambria"/>
                <w:b/>
              </w:rPr>
            </w:pPr>
            <w:r w:rsidRPr="007609B8">
              <w:rPr>
                <w:rFonts w:ascii="Cambria" w:hAnsi="Cambria"/>
                <w:b/>
              </w:rPr>
              <w:t>10 weeks</w:t>
            </w:r>
          </w:p>
        </w:tc>
      </w:tr>
      <w:tr w:rsidR="00DF4522" w:rsidRPr="007609B8" w14:paraId="3323DA56" w14:textId="77777777" w:rsidTr="00FB53C0">
        <w:tc>
          <w:tcPr>
            <w:tcW w:w="1588" w:type="dxa"/>
          </w:tcPr>
          <w:p w14:paraId="1F8AFE7E" w14:textId="77777777" w:rsidR="00DF4522" w:rsidRPr="007609B8" w:rsidRDefault="00DF4522" w:rsidP="00FB53C0">
            <w:pPr>
              <w:jc w:val="both"/>
              <w:rPr>
                <w:rFonts w:ascii="Cambria" w:hAnsi="Cambria"/>
                <w:b/>
              </w:rPr>
            </w:pPr>
            <w:r w:rsidRPr="007609B8">
              <w:rPr>
                <w:rFonts w:ascii="Cambria" w:hAnsi="Cambria"/>
                <w:b/>
              </w:rPr>
              <w:t xml:space="preserve">LMA </w:t>
            </w:r>
          </w:p>
        </w:tc>
        <w:tc>
          <w:tcPr>
            <w:tcW w:w="1672" w:type="dxa"/>
          </w:tcPr>
          <w:p w14:paraId="3251F27A" w14:textId="77777777" w:rsidR="00DF4522" w:rsidRPr="007609B8" w:rsidRDefault="00DF4522" w:rsidP="00FB53C0">
            <w:pPr>
              <w:rPr>
                <w:rFonts w:ascii="Cambria" w:hAnsi="Cambria"/>
                <w:b/>
              </w:rPr>
            </w:pPr>
            <w:r w:rsidRPr="007609B8">
              <w:rPr>
                <w:rFonts w:ascii="Cambria" w:hAnsi="Cambria"/>
                <w:b/>
              </w:rPr>
              <w:t>Elevated CO</w:t>
            </w:r>
            <w:r w:rsidRPr="007609B8">
              <w:rPr>
                <w:rFonts w:ascii="Cambria" w:hAnsi="Cambria"/>
                <w:b/>
                <w:vertAlign w:val="subscript"/>
              </w:rPr>
              <w:t>2</w:t>
            </w:r>
          </w:p>
        </w:tc>
        <w:tc>
          <w:tcPr>
            <w:tcW w:w="1552" w:type="dxa"/>
          </w:tcPr>
          <w:p w14:paraId="0CD00FD6" w14:textId="77777777" w:rsidR="00DF4522" w:rsidRPr="007609B8" w:rsidRDefault="00DF4522" w:rsidP="00FB53C0">
            <w:pPr>
              <w:jc w:val="center"/>
              <w:rPr>
                <w:rFonts w:ascii="Cambria" w:hAnsi="Cambria"/>
                <w:b/>
              </w:rPr>
            </w:pPr>
            <w:r w:rsidRPr="007609B8">
              <w:rPr>
                <w:rFonts w:ascii="Cambria" w:hAnsi="Cambria"/>
                <w:b/>
              </w:rPr>
              <w:t xml:space="preserve">76.3 </w:t>
            </w:r>
            <w:r w:rsidRPr="007609B8">
              <w:rPr>
                <w:rFonts w:ascii="Cambria" w:hAnsi="Cambria" w:cs="font652"/>
                <w:lang w:val="en-US"/>
              </w:rPr>
              <w:t>± 2.1</w:t>
            </w:r>
          </w:p>
        </w:tc>
        <w:tc>
          <w:tcPr>
            <w:tcW w:w="1727" w:type="dxa"/>
          </w:tcPr>
          <w:p w14:paraId="24FC2C3B" w14:textId="77777777" w:rsidR="00DF4522" w:rsidRPr="007609B8" w:rsidRDefault="00DF4522" w:rsidP="00FB53C0">
            <w:pPr>
              <w:jc w:val="center"/>
              <w:rPr>
                <w:rFonts w:ascii="Cambria" w:hAnsi="Cambria"/>
                <w:b/>
              </w:rPr>
            </w:pPr>
            <w:r w:rsidRPr="007609B8">
              <w:rPr>
                <w:rFonts w:ascii="Cambria" w:hAnsi="Cambria"/>
                <w:b/>
              </w:rPr>
              <w:t xml:space="preserve">74.1 </w:t>
            </w:r>
            <w:r w:rsidRPr="007609B8">
              <w:rPr>
                <w:rFonts w:ascii="Cambria" w:hAnsi="Cambria" w:cs="font652"/>
                <w:lang w:val="en-US"/>
              </w:rPr>
              <w:t>± 2.6</w:t>
            </w:r>
          </w:p>
        </w:tc>
        <w:tc>
          <w:tcPr>
            <w:tcW w:w="1727" w:type="dxa"/>
          </w:tcPr>
          <w:p w14:paraId="7939A2B4" w14:textId="77777777" w:rsidR="00DF4522" w:rsidRPr="007609B8" w:rsidRDefault="00DF4522" w:rsidP="00FB53C0">
            <w:pPr>
              <w:jc w:val="center"/>
              <w:rPr>
                <w:rFonts w:ascii="Cambria" w:hAnsi="Cambria"/>
                <w:b/>
              </w:rPr>
            </w:pPr>
            <w:r w:rsidRPr="007609B8">
              <w:rPr>
                <w:rFonts w:ascii="Cambria" w:hAnsi="Cambria"/>
                <w:b/>
              </w:rPr>
              <w:t xml:space="preserve">51.4 </w:t>
            </w:r>
            <w:r w:rsidRPr="007609B8">
              <w:rPr>
                <w:rFonts w:ascii="Cambria" w:hAnsi="Cambria" w:cs="font652"/>
                <w:lang w:val="en-US"/>
              </w:rPr>
              <w:t>± 2.2</w:t>
            </w:r>
          </w:p>
        </w:tc>
      </w:tr>
      <w:tr w:rsidR="00DF4522" w:rsidRPr="007609B8" w14:paraId="0121F10E" w14:textId="77777777" w:rsidTr="00FB53C0">
        <w:tc>
          <w:tcPr>
            <w:tcW w:w="1588" w:type="dxa"/>
          </w:tcPr>
          <w:p w14:paraId="017BF455" w14:textId="77777777" w:rsidR="00DF4522" w:rsidRPr="007609B8" w:rsidRDefault="00DF4522" w:rsidP="00FB53C0">
            <w:pPr>
              <w:jc w:val="both"/>
              <w:rPr>
                <w:rFonts w:ascii="Cambria" w:hAnsi="Cambria"/>
                <w:b/>
              </w:rPr>
            </w:pPr>
            <w:r w:rsidRPr="007609B8">
              <w:rPr>
                <w:rFonts w:ascii="Cambria" w:hAnsi="Cambria"/>
                <w:b/>
              </w:rPr>
              <w:t>LMA</w:t>
            </w:r>
          </w:p>
        </w:tc>
        <w:tc>
          <w:tcPr>
            <w:tcW w:w="1672" w:type="dxa"/>
          </w:tcPr>
          <w:p w14:paraId="0B590140" w14:textId="77777777" w:rsidR="00DF4522" w:rsidRPr="007609B8" w:rsidRDefault="00DF4522" w:rsidP="00FB53C0">
            <w:pPr>
              <w:rPr>
                <w:rFonts w:ascii="Cambria" w:hAnsi="Cambria"/>
                <w:b/>
              </w:rPr>
            </w:pPr>
            <w:r w:rsidRPr="007609B8">
              <w:rPr>
                <w:rFonts w:ascii="Cambria" w:hAnsi="Cambria"/>
                <w:b/>
              </w:rPr>
              <w:t>Control</w:t>
            </w:r>
          </w:p>
        </w:tc>
        <w:tc>
          <w:tcPr>
            <w:tcW w:w="1552" w:type="dxa"/>
          </w:tcPr>
          <w:p w14:paraId="7091B9B5" w14:textId="77777777" w:rsidR="00DF4522" w:rsidRPr="007609B8" w:rsidRDefault="00DF4522" w:rsidP="00FB53C0">
            <w:pPr>
              <w:jc w:val="center"/>
              <w:rPr>
                <w:rFonts w:ascii="Cambria" w:hAnsi="Cambria"/>
                <w:b/>
              </w:rPr>
            </w:pPr>
            <w:r w:rsidRPr="007609B8">
              <w:rPr>
                <w:rFonts w:ascii="Cambria" w:hAnsi="Cambria"/>
                <w:b/>
              </w:rPr>
              <w:t xml:space="preserve">69.0 </w:t>
            </w:r>
            <w:r w:rsidRPr="007609B8">
              <w:rPr>
                <w:rFonts w:ascii="Cambria" w:hAnsi="Cambria" w:cs="font652"/>
                <w:lang w:val="en-US"/>
              </w:rPr>
              <w:t>± 3.7</w:t>
            </w:r>
          </w:p>
        </w:tc>
        <w:tc>
          <w:tcPr>
            <w:tcW w:w="1727" w:type="dxa"/>
          </w:tcPr>
          <w:p w14:paraId="218E48B5" w14:textId="77777777" w:rsidR="00DF4522" w:rsidRPr="007609B8" w:rsidRDefault="00DF4522" w:rsidP="00FB53C0">
            <w:pPr>
              <w:jc w:val="center"/>
              <w:rPr>
                <w:rFonts w:ascii="Cambria" w:hAnsi="Cambria"/>
                <w:b/>
              </w:rPr>
            </w:pPr>
            <w:r w:rsidRPr="007609B8">
              <w:rPr>
                <w:rFonts w:ascii="Cambria" w:hAnsi="Cambria"/>
                <w:b/>
              </w:rPr>
              <w:t xml:space="preserve">63.8 </w:t>
            </w:r>
            <w:r w:rsidRPr="007609B8">
              <w:rPr>
                <w:rFonts w:ascii="Cambria" w:hAnsi="Cambria" w:cs="font652"/>
                <w:lang w:val="en-US"/>
              </w:rPr>
              <w:t>± 2.5</w:t>
            </w:r>
          </w:p>
        </w:tc>
        <w:tc>
          <w:tcPr>
            <w:tcW w:w="1727" w:type="dxa"/>
          </w:tcPr>
          <w:p w14:paraId="6A8811DB" w14:textId="77777777" w:rsidR="00DF4522" w:rsidRPr="007609B8" w:rsidRDefault="00DF4522" w:rsidP="00FB53C0">
            <w:pPr>
              <w:jc w:val="center"/>
              <w:rPr>
                <w:rFonts w:ascii="Cambria" w:hAnsi="Cambria"/>
                <w:b/>
              </w:rPr>
            </w:pPr>
            <w:r w:rsidRPr="007609B8">
              <w:rPr>
                <w:rFonts w:ascii="Cambria" w:hAnsi="Cambria"/>
                <w:b/>
              </w:rPr>
              <w:t xml:space="preserve">50.2  </w:t>
            </w:r>
            <w:r w:rsidRPr="007609B8">
              <w:rPr>
                <w:rFonts w:ascii="Cambria" w:hAnsi="Cambria" w:cs="font652"/>
                <w:lang w:val="en-US"/>
              </w:rPr>
              <w:t>± 0.72</w:t>
            </w:r>
          </w:p>
        </w:tc>
      </w:tr>
      <w:tr w:rsidR="00DF4522" w:rsidRPr="007609B8" w14:paraId="1C024919" w14:textId="77777777" w:rsidTr="00FB53C0">
        <w:tc>
          <w:tcPr>
            <w:tcW w:w="1588" w:type="dxa"/>
          </w:tcPr>
          <w:p w14:paraId="0E29482F" w14:textId="77777777" w:rsidR="00DF4522" w:rsidRPr="007609B8" w:rsidRDefault="00DF4522" w:rsidP="00FB53C0">
            <w:pPr>
              <w:jc w:val="both"/>
              <w:rPr>
                <w:rFonts w:ascii="Cambria" w:hAnsi="Cambria"/>
                <w:b/>
              </w:rPr>
            </w:pPr>
            <w:proofErr w:type="spellStart"/>
            <w:r w:rsidRPr="007609B8">
              <w:rPr>
                <w:rFonts w:ascii="Cambria" w:hAnsi="Cambria"/>
                <w:b/>
              </w:rPr>
              <w:t>Root:Shoot</w:t>
            </w:r>
            <w:proofErr w:type="spellEnd"/>
          </w:p>
        </w:tc>
        <w:tc>
          <w:tcPr>
            <w:tcW w:w="1672" w:type="dxa"/>
          </w:tcPr>
          <w:p w14:paraId="60C2D8FD" w14:textId="77777777" w:rsidR="00DF4522" w:rsidRPr="007609B8" w:rsidRDefault="00DF4522" w:rsidP="00FB53C0">
            <w:pPr>
              <w:rPr>
                <w:rFonts w:ascii="Cambria" w:hAnsi="Cambria"/>
                <w:b/>
              </w:rPr>
            </w:pPr>
            <w:r w:rsidRPr="007609B8">
              <w:rPr>
                <w:rFonts w:ascii="Cambria" w:hAnsi="Cambria"/>
                <w:b/>
              </w:rPr>
              <w:t>Elevated CO</w:t>
            </w:r>
            <w:r w:rsidRPr="007609B8">
              <w:rPr>
                <w:rFonts w:ascii="Cambria" w:hAnsi="Cambria"/>
                <w:b/>
                <w:vertAlign w:val="subscript"/>
              </w:rPr>
              <w:t>2</w:t>
            </w:r>
          </w:p>
        </w:tc>
        <w:tc>
          <w:tcPr>
            <w:tcW w:w="1552" w:type="dxa"/>
          </w:tcPr>
          <w:p w14:paraId="2E0B43CE" w14:textId="77777777" w:rsidR="00DF4522" w:rsidRPr="007609B8" w:rsidRDefault="00DF4522" w:rsidP="00FB53C0">
            <w:pPr>
              <w:jc w:val="center"/>
              <w:rPr>
                <w:rFonts w:ascii="Cambria" w:hAnsi="Cambria"/>
                <w:b/>
              </w:rPr>
            </w:pPr>
            <w:r w:rsidRPr="007609B8">
              <w:rPr>
                <w:rFonts w:ascii="Cambria" w:hAnsi="Cambria"/>
                <w:b/>
              </w:rPr>
              <w:t xml:space="preserve">0.50 </w:t>
            </w:r>
            <w:r w:rsidRPr="007609B8">
              <w:rPr>
                <w:rFonts w:ascii="Cambria" w:hAnsi="Cambria" w:cs="font652"/>
                <w:lang w:val="en-US"/>
              </w:rPr>
              <w:t>± 0.07</w:t>
            </w:r>
          </w:p>
        </w:tc>
        <w:tc>
          <w:tcPr>
            <w:tcW w:w="1727" w:type="dxa"/>
          </w:tcPr>
          <w:p w14:paraId="01350890" w14:textId="77777777" w:rsidR="00DF4522" w:rsidRPr="007609B8" w:rsidRDefault="00DF4522" w:rsidP="00FB53C0">
            <w:pPr>
              <w:jc w:val="center"/>
              <w:rPr>
                <w:rFonts w:ascii="Cambria" w:hAnsi="Cambria"/>
              </w:rPr>
            </w:pPr>
            <w:r w:rsidRPr="007609B8">
              <w:rPr>
                <w:rFonts w:ascii="Cambria" w:hAnsi="Cambria"/>
                <w:b/>
              </w:rPr>
              <w:t xml:space="preserve">0.48 </w:t>
            </w:r>
            <w:r w:rsidRPr="007609B8">
              <w:rPr>
                <w:rFonts w:ascii="Cambria" w:hAnsi="Cambria" w:cs="font652"/>
                <w:lang w:val="en-US"/>
              </w:rPr>
              <w:t>± 0.03</w:t>
            </w:r>
          </w:p>
        </w:tc>
        <w:tc>
          <w:tcPr>
            <w:tcW w:w="1727" w:type="dxa"/>
          </w:tcPr>
          <w:p w14:paraId="6A961DCE" w14:textId="77777777" w:rsidR="00DF4522" w:rsidRPr="007609B8" w:rsidRDefault="00DF4522" w:rsidP="00FB53C0">
            <w:pPr>
              <w:jc w:val="center"/>
              <w:rPr>
                <w:rFonts w:ascii="Cambria" w:hAnsi="Cambria"/>
                <w:b/>
              </w:rPr>
            </w:pPr>
            <w:r w:rsidRPr="007609B8">
              <w:rPr>
                <w:rFonts w:ascii="Cambria" w:hAnsi="Cambria"/>
                <w:b/>
              </w:rPr>
              <w:t xml:space="preserve">0.51 </w:t>
            </w:r>
            <w:r w:rsidRPr="007609B8">
              <w:rPr>
                <w:rFonts w:ascii="Cambria" w:hAnsi="Cambria" w:cs="font652"/>
                <w:lang w:val="en-US"/>
              </w:rPr>
              <w:t>± 0.01</w:t>
            </w:r>
          </w:p>
        </w:tc>
      </w:tr>
      <w:tr w:rsidR="00DF4522" w:rsidRPr="007609B8" w14:paraId="166D4E1F" w14:textId="77777777" w:rsidTr="00FB53C0">
        <w:tc>
          <w:tcPr>
            <w:tcW w:w="1588" w:type="dxa"/>
          </w:tcPr>
          <w:p w14:paraId="1EBAFA2F" w14:textId="77777777" w:rsidR="00DF4522" w:rsidRPr="007609B8" w:rsidRDefault="00DF4522" w:rsidP="00FB53C0">
            <w:pPr>
              <w:jc w:val="both"/>
              <w:rPr>
                <w:rFonts w:ascii="Cambria" w:hAnsi="Cambria"/>
                <w:b/>
              </w:rPr>
            </w:pPr>
            <w:proofErr w:type="spellStart"/>
            <w:r w:rsidRPr="007609B8">
              <w:rPr>
                <w:rFonts w:ascii="Cambria" w:hAnsi="Cambria"/>
                <w:b/>
              </w:rPr>
              <w:t>Root:Shoot</w:t>
            </w:r>
            <w:proofErr w:type="spellEnd"/>
          </w:p>
        </w:tc>
        <w:tc>
          <w:tcPr>
            <w:tcW w:w="1672" w:type="dxa"/>
          </w:tcPr>
          <w:p w14:paraId="061C9619" w14:textId="77777777" w:rsidR="00DF4522" w:rsidRPr="007609B8" w:rsidRDefault="00DF4522" w:rsidP="00FB53C0">
            <w:pPr>
              <w:rPr>
                <w:rFonts w:ascii="Cambria" w:hAnsi="Cambria"/>
                <w:b/>
              </w:rPr>
            </w:pPr>
            <w:r w:rsidRPr="007609B8">
              <w:rPr>
                <w:rFonts w:ascii="Cambria" w:hAnsi="Cambria"/>
                <w:b/>
              </w:rPr>
              <w:t>Control</w:t>
            </w:r>
          </w:p>
        </w:tc>
        <w:tc>
          <w:tcPr>
            <w:tcW w:w="1552" w:type="dxa"/>
          </w:tcPr>
          <w:p w14:paraId="11B6F954" w14:textId="77777777" w:rsidR="00DF4522" w:rsidRPr="007609B8" w:rsidRDefault="00DF4522" w:rsidP="00FB53C0">
            <w:pPr>
              <w:jc w:val="center"/>
              <w:rPr>
                <w:rFonts w:ascii="Cambria" w:hAnsi="Cambria"/>
                <w:b/>
              </w:rPr>
            </w:pPr>
            <w:r w:rsidRPr="007609B8">
              <w:rPr>
                <w:rFonts w:ascii="Cambria" w:hAnsi="Cambria"/>
                <w:b/>
              </w:rPr>
              <w:t xml:space="preserve">0.54 </w:t>
            </w:r>
            <w:r w:rsidRPr="007609B8">
              <w:rPr>
                <w:rFonts w:ascii="Cambria" w:hAnsi="Cambria" w:cs="font652"/>
                <w:lang w:val="en-US"/>
              </w:rPr>
              <w:t>± 0.02</w:t>
            </w:r>
          </w:p>
        </w:tc>
        <w:tc>
          <w:tcPr>
            <w:tcW w:w="1727" w:type="dxa"/>
          </w:tcPr>
          <w:p w14:paraId="3387C07E" w14:textId="77777777" w:rsidR="00DF4522" w:rsidRPr="007609B8" w:rsidRDefault="00DF4522" w:rsidP="00FB53C0">
            <w:pPr>
              <w:jc w:val="center"/>
              <w:rPr>
                <w:rFonts w:ascii="Cambria" w:hAnsi="Cambria"/>
              </w:rPr>
            </w:pPr>
            <w:r w:rsidRPr="007609B8">
              <w:rPr>
                <w:rFonts w:ascii="Cambria" w:hAnsi="Cambria"/>
                <w:b/>
              </w:rPr>
              <w:t xml:space="preserve">0.58 </w:t>
            </w:r>
            <w:r w:rsidRPr="007609B8">
              <w:rPr>
                <w:rFonts w:ascii="Cambria" w:hAnsi="Cambria" w:cs="font652"/>
                <w:lang w:val="en-US"/>
              </w:rPr>
              <w:t>± 0.01</w:t>
            </w:r>
          </w:p>
        </w:tc>
        <w:tc>
          <w:tcPr>
            <w:tcW w:w="1727" w:type="dxa"/>
          </w:tcPr>
          <w:p w14:paraId="79F0655B" w14:textId="77777777" w:rsidR="00DF4522" w:rsidRPr="007609B8" w:rsidRDefault="00DF4522" w:rsidP="00FB53C0">
            <w:pPr>
              <w:jc w:val="center"/>
              <w:rPr>
                <w:rFonts w:ascii="Cambria" w:hAnsi="Cambria"/>
                <w:b/>
              </w:rPr>
            </w:pPr>
            <w:r w:rsidRPr="007609B8">
              <w:rPr>
                <w:rFonts w:ascii="Cambria" w:hAnsi="Cambria"/>
                <w:b/>
              </w:rPr>
              <w:t xml:space="preserve">0.81 </w:t>
            </w:r>
            <w:r w:rsidRPr="007609B8">
              <w:rPr>
                <w:rFonts w:ascii="Cambria" w:hAnsi="Cambria" w:cs="font652"/>
                <w:lang w:val="en-US"/>
              </w:rPr>
              <w:t>± 0.17</w:t>
            </w:r>
          </w:p>
        </w:tc>
      </w:tr>
    </w:tbl>
    <w:p w14:paraId="7A5AAAB0" w14:textId="77777777" w:rsidR="00DF4522" w:rsidRPr="007609B8" w:rsidRDefault="00DF4522" w:rsidP="00DF4522">
      <w:pPr>
        <w:spacing w:line="360" w:lineRule="auto"/>
        <w:jc w:val="both"/>
        <w:rPr>
          <w:rFonts w:ascii="Cambria" w:hAnsi="Cambria"/>
        </w:rPr>
      </w:pPr>
    </w:p>
    <w:p w14:paraId="03532152" w14:textId="06E291DB" w:rsidR="00DF4522" w:rsidRDefault="00DF4522" w:rsidP="00DF4522">
      <w:pPr>
        <w:spacing w:line="360" w:lineRule="auto"/>
        <w:jc w:val="both"/>
        <w:rPr>
          <w:rFonts w:ascii="Cambria" w:hAnsi="Cambria"/>
        </w:rPr>
      </w:pPr>
      <w:r w:rsidRPr="00531789">
        <w:rPr>
          <w:rFonts w:ascii="Cambria" w:hAnsi="Cambria"/>
        </w:rPr>
        <w:t>Consistent with hypotheses, elevated CO</w:t>
      </w:r>
      <w:r w:rsidRPr="00531789">
        <w:rPr>
          <w:rFonts w:ascii="Cambria" w:hAnsi="Cambria"/>
          <w:vertAlign w:val="subscript"/>
        </w:rPr>
        <w:t>2</w:t>
      </w:r>
      <w:r w:rsidRPr="00531789">
        <w:rPr>
          <w:rFonts w:ascii="Cambria" w:hAnsi="Cambria"/>
        </w:rPr>
        <w:t xml:space="preserve"> has a significant effect on leaf carbohydrate levels, an indication of sink limitation </w:t>
      </w:r>
      <w:r w:rsidRPr="00531789">
        <w:rPr>
          <w:rFonts w:ascii="Cambria" w:hAnsi="Cambria"/>
        </w:rPr>
        <w:fldChar w:fldCharType="begin" w:fldLock="1"/>
      </w:r>
      <w:r w:rsidR="00906E41">
        <w:rPr>
          <w:rFonts w:ascii="Cambria" w:hAnsi="Cambria"/>
        </w:rPr>
        <w:instrText>ADDIN CSL_CITATION { "citationItems" : [ { "id" : "ITEM-1", "itemData" : { "author" : [ { "dropping-particle" : "", "family" : "Rogers", "given" : "A", "non-dropping-particle" : "", "parse-names" : false, "suffix" : "" }, { "dropping-particle" : "", "family" : "Ainsworth", "given" : "Elizabeth A", "non-dropping-particle" : "", "parse-names" : false, "suffix" : "" } ], "chapter-number" : "16", "container-title" : "Managed ecosystems and CO2 case studies processes and perspectives", "editor" : [ { "dropping-particle" : "", "family" : "Nosberger", "given" : "J", "non-dropping-particle" : "", "parse-names" : false, "suffix" : "" }, { "dropping-particle" : "", "family" : "Long", "given" : "SP", "non-dropping-particle" : "", "parse-names" : false, "suffix" : "" }, { "dropping-particle" : "", "family" : "Blum", "given" : "H", "non-dropping-particle" : "", "parse-names" : false, "suffix" : "" }, { "dropping-particle" : "", "family" : "Norby", "given" : "RJ", "non-dropping-particle" : "", "parse-names" : false, "suffix" : "" }, { "dropping-particle" : "", "family" : "Hendrey", "given" : "GR", "non-dropping-particle" : "", "parse-names" : false, "suffix" : "" }, { "dropping-particle" : "", "family" : "Stitt", "given" : "M", "non-dropping-particle" : "", "parse-names" : false, "suffix" : "" } ], "id" : "ITEM-1", "issued" : { "date-parts" : [ [ "2006" ] ] }, "page" : "293-308", "publisher" : "Springer-Verlag", "publisher-place" : "Heidelberg, Berlin", "title" : "The response of foliar carbohydrates to elevated [CO2]", "type" : "chapter" }, "uris" : [ "http://www.mendeley.com/documents/?uuid=ad611b43-52b4-4728-8d67-4ff9617c644b" ] } ], "mendeley" : { "formattedCitation" : "(Rogers and Ainsworth, 2006)", "plainTextFormattedCitation" : "(Rogers and Ainsworth, 2006)", "previouslyFormattedCitation" : "(Rogers and Ainsworth, 2006)"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(Rogers and Ainsworth, 2006)</w:t>
      </w:r>
      <w:r w:rsidRPr="00531789">
        <w:rPr>
          <w:rFonts w:ascii="Cambria" w:hAnsi="Cambria"/>
        </w:rPr>
        <w:fldChar w:fldCharType="end"/>
      </w:r>
      <w:r w:rsidRPr="00531789">
        <w:rPr>
          <w:rFonts w:ascii="Cambria" w:hAnsi="Cambria"/>
        </w:rPr>
        <w:t xml:space="preserve">.  Total non-structural carbohydrate (TNC) concentration (the sum of glucose, fructose, sucrose, short- and long-chain </w:t>
      </w:r>
      <w:proofErr w:type="spellStart"/>
      <w:r w:rsidRPr="00531789">
        <w:rPr>
          <w:rFonts w:ascii="Cambria" w:hAnsi="Cambria"/>
        </w:rPr>
        <w:t>fructans</w:t>
      </w:r>
      <w:proofErr w:type="spellEnd"/>
      <w:r w:rsidRPr="00531789">
        <w:rPr>
          <w:rFonts w:ascii="Cambria" w:hAnsi="Cambria"/>
        </w:rPr>
        <w:t>, and starch) is significantly higher under elevated CO</w:t>
      </w:r>
      <w:r w:rsidRPr="00531789">
        <w:rPr>
          <w:rFonts w:ascii="Cambria" w:hAnsi="Cambria"/>
          <w:vertAlign w:val="subscript"/>
        </w:rPr>
        <w:t>2</w:t>
      </w:r>
      <w:r w:rsidRPr="00531789">
        <w:rPr>
          <w:rFonts w:ascii="Cambria" w:hAnsi="Cambria"/>
        </w:rPr>
        <w:t xml:space="preserve"> (F</w:t>
      </w:r>
      <w:r w:rsidRPr="00531789">
        <w:rPr>
          <w:rFonts w:ascii="Cambria" w:hAnsi="Cambria"/>
          <w:vertAlign w:val="subscript"/>
        </w:rPr>
        <w:t xml:space="preserve">(1,12) </w:t>
      </w:r>
      <w:r w:rsidRPr="00531789">
        <w:rPr>
          <w:rFonts w:ascii="Cambria" w:hAnsi="Cambria"/>
        </w:rPr>
        <w:t>= 46.88, p&lt;0.001).  This effect is notable at all ages but diminishes over time: 4 weeks after germination, TNC is 116% higher under elevated CO</w:t>
      </w:r>
      <w:r w:rsidRPr="00531789">
        <w:rPr>
          <w:rFonts w:ascii="Cambria" w:hAnsi="Cambria"/>
          <w:vertAlign w:val="subscript"/>
        </w:rPr>
        <w:t>2</w:t>
      </w:r>
      <w:r w:rsidRPr="00531789">
        <w:rPr>
          <w:rFonts w:ascii="Cambria" w:hAnsi="Cambria"/>
        </w:rPr>
        <w:t>; by 10 weeks after germination it is 73% higher, as expected if plants undergo a transition from sink towards source limitation during ontogeny (Fig. 3).  However, analysis revealed no treat</w:t>
      </w:r>
      <w:r>
        <w:rPr>
          <w:rFonts w:ascii="Cambria" w:hAnsi="Cambria"/>
        </w:rPr>
        <w:t>ment x harvest interaction (p&gt;</w:t>
      </w:r>
      <w:r w:rsidRPr="00531789">
        <w:rPr>
          <w:rFonts w:ascii="Cambria" w:hAnsi="Cambria"/>
        </w:rPr>
        <w:t>0.2).</w:t>
      </w:r>
    </w:p>
    <w:p w14:paraId="2731F22D" w14:textId="77777777" w:rsidR="00DF4522" w:rsidRPr="00531789" w:rsidRDefault="00DF4522" w:rsidP="00DF4522">
      <w:pPr>
        <w:spacing w:line="360" w:lineRule="auto"/>
        <w:jc w:val="both"/>
        <w:rPr>
          <w:rFonts w:ascii="Cambria" w:hAnsi="Cambria"/>
        </w:rPr>
      </w:pPr>
    </w:p>
    <w:p w14:paraId="42246258" w14:textId="77777777" w:rsidR="00DF4522" w:rsidRDefault="00DF4522" w:rsidP="00DF4522">
      <w:pPr>
        <w:spacing w:line="360" w:lineRule="auto"/>
        <w:jc w:val="both"/>
        <w:rPr>
          <w:rFonts w:ascii="Cambria" w:hAnsi="Cambria"/>
        </w:rPr>
      </w:pPr>
      <w:r>
        <w:rPr>
          <w:b/>
          <w:noProof/>
          <w:lang w:val="en-US"/>
        </w:rPr>
        <w:drawing>
          <wp:anchor distT="0" distB="0" distL="114300" distR="114300" simplePos="0" relativeHeight="251728896" behindDoc="0" locked="0" layoutInCell="1" allowOverlap="1" wp14:anchorId="67ABA9A0" wp14:editId="3F975FC7">
            <wp:simplePos x="0" y="0"/>
            <wp:positionH relativeFrom="column">
              <wp:posOffset>685800</wp:posOffset>
            </wp:positionH>
            <wp:positionV relativeFrom="paragraph">
              <wp:posOffset>133985</wp:posOffset>
            </wp:positionV>
            <wp:extent cx="3543300" cy="2661285"/>
            <wp:effectExtent l="0" t="0" r="12700" b="5715"/>
            <wp:wrapThrough wrapText="bothSides">
              <wp:wrapPolygon edited="0">
                <wp:start x="0" y="0"/>
                <wp:lineTo x="0" y="21440"/>
                <wp:lineTo x="21523" y="21440"/>
                <wp:lineTo x="21523" y="0"/>
                <wp:lineTo x="0" y="0"/>
              </wp:wrapPolygon>
            </wp:wrapThrough>
            <wp:docPr id="20" name="Picture 20" descr="Macintosh HD:Users:angelawhite:Dropbox:University of Sheffield:Publishing:Thesis:Chapter 2 Defoliation and CO2:Figures:Elevated CO2 T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gelawhite:Dropbox:University of Sheffield:Publishing:Thesis:Chapter 2 Defoliation and CO2:Figures:Elevated CO2 TNC.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43300" cy="2661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DDAB14" w14:textId="77777777" w:rsidR="00DF4522" w:rsidRDefault="00DF4522" w:rsidP="00DF4522">
      <w:pPr>
        <w:widowControl w:val="0"/>
        <w:autoSpaceDE w:val="0"/>
        <w:autoSpaceDN w:val="0"/>
        <w:adjustRightInd w:val="0"/>
        <w:jc w:val="both"/>
        <w:rPr>
          <w:b/>
          <w:sz w:val="20"/>
          <w:szCs w:val="20"/>
        </w:rPr>
      </w:pPr>
    </w:p>
    <w:p w14:paraId="3AF8E154" w14:textId="77777777" w:rsidR="00DF4522" w:rsidRDefault="00DF4522" w:rsidP="00DF4522">
      <w:pPr>
        <w:widowControl w:val="0"/>
        <w:autoSpaceDE w:val="0"/>
        <w:autoSpaceDN w:val="0"/>
        <w:adjustRightInd w:val="0"/>
        <w:jc w:val="both"/>
        <w:rPr>
          <w:b/>
          <w:sz w:val="20"/>
          <w:szCs w:val="20"/>
        </w:rPr>
      </w:pPr>
    </w:p>
    <w:p w14:paraId="78E91CCB" w14:textId="77777777" w:rsidR="00DF4522" w:rsidRDefault="00DF4522" w:rsidP="00DF4522">
      <w:pPr>
        <w:widowControl w:val="0"/>
        <w:autoSpaceDE w:val="0"/>
        <w:autoSpaceDN w:val="0"/>
        <w:adjustRightInd w:val="0"/>
        <w:jc w:val="both"/>
        <w:rPr>
          <w:b/>
          <w:sz w:val="20"/>
          <w:szCs w:val="20"/>
        </w:rPr>
      </w:pPr>
    </w:p>
    <w:p w14:paraId="22028A50" w14:textId="77777777" w:rsidR="00DF4522" w:rsidRDefault="00DF4522" w:rsidP="00DF4522">
      <w:pPr>
        <w:widowControl w:val="0"/>
        <w:autoSpaceDE w:val="0"/>
        <w:autoSpaceDN w:val="0"/>
        <w:adjustRightInd w:val="0"/>
        <w:jc w:val="both"/>
        <w:rPr>
          <w:b/>
          <w:sz w:val="20"/>
          <w:szCs w:val="20"/>
        </w:rPr>
      </w:pPr>
    </w:p>
    <w:p w14:paraId="5680EE8F" w14:textId="77777777" w:rsidR="00DF4522" w:rsidRDefault="00DF4522" w:rsidP="00DF4522">
      <w:pPr>
        <w:widowControl w:val="0"/>
        <w:autoSpaceDE w:val="0"/>
        <w:autoSpaceDN w:val="0"/>
        <w:adjustRightInd w:val="0"/>
        <w:jc w:val="both"/>
        <w:rPr>
          <w:b/>
          <w:sz w:val="20"/>
          <w:szCs w:val="20"/>
        </w:rPr>
      </w:pPr>
    </w:p>
    <w:p w14:paraId="2B4CD970" w14:textId="77777777" w:rsidR="00DF4522" w:rsidRDefault="00DF4522" w:rsidP="00DF4522">
      <w:pPr>
        <w:widowControl w:val="0"/>
        <w:autoSpaceDE w:val="0"/>
        <w:autoSpaceDN w:val="0"/>
        <w:adjustRightInd w:val="0"/>
        <w:jc w:val="both"/>
        <w:rPr>
          <w:b/>
          <w:sz w:val="20"/>
          <w:szCs w:val="20"/>
        </w:rPr>
      </w:pPr>
    </w:p>
    <w:p w14:paraId="3E3E7055" w14:textId="77777777" w:rsidR="00DF4522" w:rsidRDefault="00DF4522" w:rsidP="00DF4522">
      <w:pPr>
        <w:widowControl w:val="0"/>
        <w:autoSpaceDE w:val="0"/>
        <w:autoSpaceDN w:val="0"/>
        <w:adjustRightInd w:val="0"/>
        <w:jc w:val="both"/>
        <w:rPr>
          <w:b/>
          <w:sz w:val="20"/>
          <w:szCs w:val="20"/>
        </w:rPr>
      </w:pPr>
    </w:p>
    <w:p w14:paraId="7C685420" w14:textId="77777777" w:rsidR="00DF4522" w:rsidRDefault="00DF4522" w:rsidP="00DF4522">
      <w:pPr>
        <w:widowControl w:val="0"/>
        <w:autoSpaceDE w:val="0"/>
        <w:autoSpaceDN w:val="0"/>
        <w:adjustRightInd w:val="0"/>
        <w:jc w:val="both"/>
        <w:rPr>
          <w:b/>
          <w:sz w:val="20"/>
          <w:szCs w:val="20"/>
        </w:rPr>
      </w:pPr>
    </w:p>
    <w:p w14:paraId="49705B5E" w14:textId="77777777" w:rsidR="00DF4522" w:rsidRDefault="00DF4522" w:rsidP="00DF4522">
      <w:pPr>
        <w:widowControl w:val="0"/>
        <w:autoSpaceDE w:val="0"/>
        <w:autoSpaceDN w:val="0"/>
        <w:adjustRightInd w:val="0"/>
        <w:jc w:val="both"/>
        <w:rPr>
          <w:b/>
          <w:sz w:val="20"/>
          <w:szCs w:val="20"/>
        </w:rPr>
      </w:pPr>
    </w:p>
    <w:p w14:paraId="766DF5D8" w14:textId="77777777" w:rsidR="00DF4522" w:rsidRDefault="00DF4522" w:rsidP="00DF4522">
      <w:pPr>
        <w:widowControl w:val="0"/>
        <w:autoSpaceDE w:val="0"/>
        <w:autoSpaceDN w:val="0"/>
        <w:adjustRightInd w:val="0"/>
        <w:jc w:val="both"/>
        <w:rPr>
          <w:b/>
          <w:sz w:val="20"/>
          <w:szCs w:val="20"/>
        </w:rPr>
      </w:pPr>
    </w:p>
    <w:p w14:paraId="737D515B" w14:textId="77777777" w:rsidR="00DF4522" w:rsidRDefault="00DF4522" w:rsidP="00DF4522">
      <w:pPr>
        <w:widowControl w:val="0"/>
        <w:autoSpaceDE w:val="0"/>
        <w:autoSpaceDN w:val="0"/>
        <w:adjustRightInd w:val="0"/>
        <w:jc w:val="both"/>
        <w:rPr>
          <w:b/>
          <w:sz w:val="20"/>
          <w:szCs w:val="20"/>
        </w:rPr>
      </w:pPr>
    </w:p>
    <w:p w14:paraId="29A713DC" w14:textId="77777777" w:rsidR="00DF4522" w:rsidRDefault="00DF4522" w:rsidP="00DF4522">
      <w:pPr>
        <w:widowControl w:val="0"/>
        <w:autoSpaceDE w:val="0"/>
        <w:autoSpaceDN w:val="0"/>
        <w:adjustRightInd w:val="0"/>
        <w:jc w:val="both"/>
        <w:rPr>
          <w:b/>
          <w:sz w:val="20"/>
          <w:szCs w:val="20"/>
        </w:rPr>
      </w:pPr>
    </w:p>
    <w:p w14:paraId="09B1A5E2" w14:textId="77777777" w:rsidR="00DF4522" w:rsidRDefault="00DF4522" w:rsidP="00DF4522">
      <w:pPr>
        <w:widowControl w:val="0"/>
        <w:autoSpaceDE w:val="0"/>
        <w:autoSpaceDN w:val="0"/>
        <w:adjustRightInd w:val="0"/>
        <w:jc w:val="both"/>
        <w:rPr>
          <w:b/>
          <w:sz w:val="20"/>
          <w:szCs w:val="20"/>
        </w:rPr>
      </w:pPr>
    </w:p>
    <w:p w14:paraId="7F358319" w14:textId="77777777" w:rsidR="00DF4522" w:rsidRDefault="00DF4522" w:rsidP="00DF4522">
      <w:pPr>
        <w:widowControl w:val="0"/>
        <w:autoSpaceDE w:val="0"/>
        <w:autoSpaceDN w:val="0"/>
        <w:adjustRightInd w:val="0"/>
        <w:jc w:val="both"/>
        <w:rPr>
          <w:b/>
          <w:sz w:val="20"/>
          <w:szCs w:val="20"/>
        </w:rPr>
      </w:pPr>
    </w:p>
    <w:p w14:paraId="42F35888" w14:textId="77777777" w:rsidR="00DF4522" w:rsidRDefault="00DF4522" w:rsidP="00DF4522">
      <w:pPr>
        <w:widowControl w:val="0"/>
        <w:autoSpaceDE w:val="0"/>
        <w:autoSpaceDN w:val="0"/>
        <w:adjustRightInd w:val="0"/>
        <w:jc w:val="both"/>
        <w:rPr>
          <w:b/>
          <w:sz w:val="20"/>
          <w:szCs w:val="20"/>
        </w:rPr>
      </w:pPr>
    </w:p>
    <w:p w14:paraId="0C983C64" w14:textId="77777777" w:rsidR="00DF4522" w:rsidRDefault="00DF4522" w:rsidP="00DF4522">
      <w:pPr>
        <w:widowControl w:val="0"/>
        <w:autoSpaceDE w:val="0"/>
        <w:autoSpaceDN w:val="0"/>
        <w:adjustRightInd w:val="0"/>
        <w:jc w:val="both"/>
        <w:rPr>
          <w:b/>
          <w:sz w:val="20"/>
          <w:szCs w:val="20"/>
        </w:rPr>
      </w:pPr>
    </w:p>
    <w:p w14:paraId="475179C8" w14:textId="77777777" w:rsidR="00DF4522" w:rsidRDefault="00DF4522" w:rsidP="00DF4522">
      <w:pPr>
        <w:widowControl w:val="0"/>
        <w:autoSpaceDE w:val="0"/>
        <w:autoSpaceDN w:val="0"/>
        <w:adjustRightInd w:val="0"/>
        <w:jc w:val="both"/>
        <w:rPr>
          <w:b/>
          <w:sz w:val="20"/>
          <w:szCs w:val="20"/>
        </w:rPr>
      </w:pPr>
    </w:p>
    <w:p w14:paraId="1BB9C301" w14:textId="77777777" w:rsidR="00DF4522" w:rsidRDefault="00DF4522" w:rsidP="00DF4522">
      <w:pPr>
        <w:widowControl w:val="0"/>
        <w:autoSpaceDE w:val="0"/>
        <w:autoSpaceDN w:val="0"/>
        <w:adjustRightInd w:val="0"/>
        <w:jc w:val="both"/>
        <w:rPr>
          <w:b/>
          <w:sz w:val="20"/>
          <w:szCs w:val="20"/>
        </w:rPr>
      </w:pPr>
    </w:p>
    <w:p w14:paraId="407AAC92" w14:textId="77777777" w:rsidR="00DF4522" w:rsidRDefault="00DF4522" w:rsidP="00DF4522">
      <w:pPr>
        <w:widowControl w:val="0"/>
        <w:autoSpaceDE w:val="0"/>
        <w:autoSpaceDN w:val="0"/>
        <w:adjustRightInd w:val="0"/>
        <w:jc w:val="both"/>
        <w:rPr>
          <w:b/>
          <w:sz w:val="20"/>
          <w:szCs w:val="20"/>
        </w:rPr>
      </w:pPr>
    </w:p>
    <w:p w14:paraId="3D3B2126" w14:textId="77777777" w:rsidR="00DF4522" w:rsidRPr="004637F7" w:rsidRDefault="00DF4522" w:rsidP="00DF4522">
      <w:pPr>
        <w:widowControl w:val="0"/>
        <w:autoSpaceDE w:val="0"/>
        <w:autoSpaceDN w:val="0"/>
        <w:adjustRightInd w:val="0"/>
        <w:jc w:val="both"/>
        <w:rPr>
          <w:rFonts w:ascii="Cambria" w:hAnsi="Cambria" w:cs="font652"/>
          <w:sz w:val="20"/>
          <w:szCs w:val="20"/>
          <w:lang w:val="en-US"/>
        </w:rPr>
      </w:pPr>
      <w:r>
        <w:rPr>
          <w:b/>
          <w:sz w:val="20"/>
          <w:szCs w:val="20"/>
        </w:rPr>
        <w:t>F</w:t>
      </w:r>
      <w:r w:rsidRPr="004637F7">
        <w:rPr>
          <w:b/>
          <w:sz w:val="20"/>
          <w:szCs w:val="20"/>
        </w:rPr>
        <w:t xml:space="preserve">igure 3.  </w:t>
      </w:r>
      <w:r w:rsidRPr="004637F7">
        <w:rPr>
          <w:sz w:val="20"/>
          <w:szCs w:val="20"/>
        </w:rPr>
        <w:t xml:space="preserve">Total non-structural </w:t>
      </w:r>
      <w:r w:rsidRPr="004637F7">
        <w:rPr>
          <w:rFonts w:ascii="Cambria" w:hAnsi="Cambria"/>
          <w:sz w:val="20"/>
          <w:szCs w:val="20"/>
        </w:rPr>
        <w:t>carbohydrate (TNC) concentrations in leaf tissue are significantly higher in plants exposed to a two-week elevated CO</w:t>
      </w:r>
      <w:r w:rsidRPr="004637F7">
        <w:rPr>
          <w:rFonts w:ascii="Cambria" w:hAnsi="Cambria"/>
          <w:sz w:val="20"/>
          <w:szCs w:val="20"/>
          <w:vertAlign w:val="subscript"/>
        </w:rPr>
        <w:t>2</w:t>
      </w:r>
      <w:r w:rsidRPr="004637F7">
        <w:rPr>
          <w:rFonts w:ascii="Cambria" w:hAnsi="Cambria"/>
          <w:sz w:val="20"/>
          <w:szCs w:val="20"/>
        </w:rPr>
        <w:t xml:space="preserve"> treatment (filled triangles, dashed line) than in control plants (filled circles, solid line).  TNC concentration decreases across the three harvests and decreases more in elevated CO</w:t>
      </w:r>
      <w:r w:rsidRPr="004637F7">
        <w:rPr>
          <w:rFonts w:ascii="Cambria" w:hAnsi="Cambria"/>
          <w:sz w:val="20"/>
          <w:szCs w:val="20"/>
          <w:vertAlign w:val="subscript"/>
        </w:rPr>
        <w:t>2</w:t>
      </w:r>
      <w:r w:rsidRPr="004637F7">
        <w:rPr>
          <w:rFonts w:ascii="Cambria" w:hAnsi="Cambria"/>
          <w:sz w:val="20"/>
          <w:szCs w:val="20"/>
        </w:rPr>
        <w:t xml:space="preserve"> than in control plants.  </w:t>
      </w:r>
      <w:r w:rsidRPr="004637F7">
        <w:rPr>
          <w:sz w:val="20"/>
          <w:szCs w:val="20"/>
        </w:rPr>
        <w:t xml:space="preserve">TNC concentration is the sum of glucose, fructose, sucrose, short- and long-chain </w:t>
      </w:r>
      <w:proofErr w:type="spellStart"/>
      <w:r w:rsidRPr="004637F7">
        <w:rPr>
          <w:sz w:val="20"/>
          <w:szCs w:val="20"/>
        </w:rPr>
        <w:t>fructans</w:t>
      </w:r>
      <w:proofErr w:type="spellEnd"/>
      <w:r w:rsidRPr="004637F7">
        <w:rPr>
          <w:sz w:val="20"/>
          <w:szCs w:val="20"/>
        </w:rPr>
        <w:t xml:space="preserve">, and starch concentrations.  </w:t>
      </w:r>
      <w:r w:rsidRPr="004637F7">
        <w:rPr>
          <w:rFonts w:ascii="Cambria" w:hAnsi="Cambria" w:cs="ArialMT"/>
          <w:sz w:val="20"/>
          <w:szCs w:val="20"/>
          <w:lang w:val="en-US"/>
        </w:rPr>
        <w:t xml:space="preserve">Data are expressed in mmol glucose equivalents per g carbohydrate-corrected dry weight (CCDW).  </w:t>
      </w:r>
      <w:r w:rsidRPr="004637F7">
        <w:rPr>
          <w:rFonts w:ascii="Cambria" w:hAnsi="Cambria"/>
          <w:sz w:val="20"/>
          <w:szCs w:val="20"/>
        </w:rPr>
        <w:t xml:space="preserve">Data show mean </w:t>
      </w:r>
      <w:r w:rsidRPr="004637F7">
        <w:rPr>
          <w:rFonts w:ascii="Cambria" w:hAnsi="Cambria" w:cs="font652"/>
          <w:sz w:val="20"/>
          <w:szCs w:val="20"/>
          <w:lang w:val="en-US"/>
        </w:rPr>
        <w:t>± SE (n=3).</w:t>
      </w:r>
    </w:p>
    <w:p w14:paraId="20738CEB" w14:textId="77777777" w:rsidR="00DF4522" w:rsidRDefault="00DF4522" w:rsidP="00DF4522">
      <w:pPr>
        <w:jc w:val="both"/>
        <w:rPr>
          <w:rFonts w:ascii="Cambria" w:hAnsi="Cambria"/>
          <w:sz w:val="20"/>
          <w:szCs w:val="20"/>
        </w:rPr>
      </w:pPr>
    </w:p>
    <w:p w14:paraId="0BF1CC3F" w14:textId="77777777" w:rsidR="00DF4522" w:rsidRDefault="00DF4522" w:rsidP="00DF4522">
      <w:pPr>
        <w:jc w:val="both"/>
        <w:rPr>
          <w:rFonts w:ascii="Cambria" w:hAnsi="Cambria"/>
          <w:sz w:val="20"/>
          <w:szCs w:val="20"/>
        </w:rPr>
      </w:pPr>
    </w:p>
    <w:p w14:paraId="56353B31" w14:textId="77777777" w:rsidR="00DF4522" w:rsidRDefault="00DF4522" w:rsidP="00DF4522">
      <w:pPr>
        <w:jc w:val="both"/>
        <w:rPr>
          <w:rFonts w:ascii="Cambria" w:hAnsi="Cambria"/>
          <w:sz w:val="20"/>
          <w:szCs w:val="20"/>
        </w:rPr>
      </w:pPr>
    </w:p>
    <w:p w14:paraId="532CAA61" w14:textId="77777777" w:rsidR="00DF4522" w:rsidRDefault="00DF4522" w:rsidP="00DF4522">
      <w:pPr>
        <w:spacing w:line="360" w:lineRule="auto"/>
        <w:jc w:val="both"/>
        <w:rPr>
          <w:rFonts w:ascii="Cambria" w:hAnsi="Cambria"/>
        </w:rPr>
      </w:pPr>
      <w:r w:rsidRPr="00531789">
        <w:rPr>
          <w:rFonts w:ascii="Cambria" w:hAnsi="Cambria"/>
        </w:rPr>
        <w:t>A large fraction of the increase in TNC under transient elevated CO</w:t>
      </w:r>
      <w:r w:rsidRPr="00531789">
        <w:rPr>
          <w:rFonts w:ascii="Cambria" w:hAnsi="Cambria"/>
          <w:vertAlign w:val="subscript"/>
        </w:rPr>
        <w:t>2</w:t>
      </w:r>
      <w:r w:rsidRPr="00531789">
        <w:rPr>
          <w:rFonts w:ascii="Cambria" w:hAnsi="Cambria"/>
        </w:rPr>
        <w:t xml:space="preserve"> (Fig. 3) is due to significant increases in starch and long-chain </w:t>
      </w:r>
      <w:proofErr w:type="spellStart"/>
      <w:r w:rsidRPr="00531789">
        <w:rPr>
          <w:rFonts w:ascii="Cambria" w:hAnsi="Cambria"/>
        </w:rPr>
        <w:t>fructan</w:t>
      </w:r>
      <w:proofErr w:type="spellEnd"/>
      <w:r w:rsidRPr="00531789">
        <w:rPr>
          <w:rFonts w:ascii="Cambria" w:hAnsi="Cambria"/>
        </w:rPr>
        <w:t xml:space="preserve"> concentrations (for starch, F</w:t>
      </w:r>
      <w:r w:rsidRPr="00531789">
        <w:rPr>
          <w:rFonts w:ascii="Cambria" w:hAnsi="Cambria"/>
          <w:vertAlign w:val="subscript"/>
        </w:rPr>
        <w:t>(1,12)</w:t>
      </w:r>
      <w:r w:rsidRPr="00531789">
        <w:rPr>
          <w:rFonts w:ascii="Cambria" w:hAnsi="Cambria"/>
        </w:rPr>
        <w:t xml:space="preserve"> = 86.50, p&lt;0.001; for long-chain </w:t>
      </w:r>
      <w:proofErr w:type="spellStart"/>
      <w:r w:rsidRPr="00531789">
        <w:rPr>
          <w:rFonts w:ascii="Cambria" w:hAnsi="Cambria"/>
        </w:rPr>
        <w:t>fructans</w:t>
      </w:r>
      <w:proofErr w:type="spellEnd"/>
      <w:r w:rsidRPr="00531789">
        <w:rPr>
          <w:rFonts w:ascii="Cambria" w:hAnsi="Cambria"/>
        </w:rPr>
        <w:t>, F</w:t>
      </w:r>
      <w:r w:rsidRPr="00531789">
        <w:rPr>
          <w:rFonts w:ascii="Cambria" w:hAnsi="Cambria"/>
          <w:vertAlign w:val="subscript"/>
        </w:rPr>
        <w:t>(1,12)</w:t>
      </w:r>
      <w:r w:rsidRPr="00531789">
        <w:rPr>
          <w:rFonts w:ascii="Cambria" w:hAnsi="Cambria"/>
        </w:rPr>
        <w:t xml:space="preserve"> = 28.76, p&lt;0.001).  There is no treatment x harvest i</w:t>
      </w:r>
      <w:r>
        <w:rPr>
          <w:rFonts w:ascii="Cambria" w:hAnsi="Cambria"/>
        </w:rPr>
        <w:t>nteraction for either starch (p</w:t>
      </w:r>
      <w:r w:rsidRPr="00531789">
        <w:rPr>
          <w:rFonts w:ascii="Cambria" w:hAnsi="Cambria"/>
        </w:rPr>
        <w:t>&gt;</w:t>
      </w:r>
      <w:r>
        <w:rPr>
          <w:rFonts w:ascii="Cambria" w:hAnsi="Cambria"/>
        </w:rPr>
        <w:t xml:space="preserve">0.6) or long-chain </w:t>
      </w:r>
      <w:proofErr w:type="spellStart"/>
      <w:r>
        <w:rPr>
          <w:rFonts w:ascii="Cambria" w:hAnsi="Cambria"/>
        </w:rPr>
        <w:t>fructan</w:t>
      </w:r>
      <w:proofErr w:type="spellEnd"/>
      <w:r>
        <w:rPr>
          <w:rFonts w:ascii="Cambria" w:hAnsi="Cambria"/>
        </w:rPr>
        <w:t xml:space="preserve"> (p&gt;</w:t>
      </w:r>
      <w:r w:rsidRPr="00531789">
        <w:rPr>
          <w:rFonts w:ascii="Cambria" w:hAnsi="Cambria"/>
        </w:rPr>
        <w:t xml:space="preserve">0.3).  The treatment differences are consistently high in all harvests, with concentrations of starch and long-chain </w:t>
      </w:r>
      <w:proofErr w:type="spellStart"/>
      <w:r w:rsidRPr="00531789">
        <w:rPr>
          <w:rFonts w:ascii="Cambria" w:hAnsi="Cambria"/>
        </w:rPr>
        <w:t>fructan</w:t>
      </w:r>
      <w:proofErr w:type="spellEnd"/>
      <w:r w:rsidRPr="00531789">
        <w:rPr>
          <w:rFonts w:ascii="Cambria" w:hAnsi="Cambria"/>
        </w:rPr>
        <w:t xml:space="preserve"> always more than 100% higher in plants exposed to elevated CO</w:t>
      </w:r>
      <w:r w:rsidRPr="00531789">
        <w:rPr>
          <w:rFonts w:ascii="Cambria" w:hAnsi="Cambria"/>
          <w:vertAlign w:val="subscript"/>
        </w:rPr>
        <w:t>2</w:t>
      </w:r>
      <w:r w:rsidRPr="00531789">
        <w:rPr>
          <w:rFonts w:ascii="Cambria" w:hAnsi="Cambria"/>
        </w:rPr>
        <w:t xml:space="preserve"> compared to control (Fig. 4).  In these plants, starch concentration is 153% higher at 4 weeks, 193% higher at 6 weeks and 127% higher at 10 weeks.  The relative effect of elevated CO</w:t>
      </w:r>
      <w:r w:rsidRPr="00531789">
        <w:rPr>
          <w:rFonts w:ascii="Cambria" w:hAnsi="Cambria"/>
          <w:vertAlign w:val="subscript"/>
        </w:rPr>
        <w:t>2</w:t>
      </w:r>
      <w:r w:rsidRPr="00531789">
        <w:rPr>
          <w:rFonts w:ascii="Cambria" w:hAnsi="Cambria"/>
        </w:rPr>
        <w:t xml:space="preserve"> on long-chain </w:t>
      </w:r>
      <w:proofErr w:type="spellStart"/>
      <w:r w:rsidRPr="00531789">
        <w:rPr>
          <w:rFonts w:ascii="Cambria" w:hAnsi="Cambria"/>
        </w:rPr>
        <w:t>fructan</w:t>
      </w:r>
      <w:proofErr w:type="spellEnd"/>
      <w:r w:rsidRPr="00531789">
        <w:rPr>
          <w:rFonts w:ascii="Cambria" w:hAnsi="Cambria"/>
        </w:rPr>
        <w:t xml:space="preserve"> is even greater overall: long-chain </w:t>
      </w:r>
      <w:proofErr w:type="spellStart"/>
      <w:r w:rsidRPr="00531789">
        <w:rPr>
          <w:rFonts w:ascii="Cambria" w:hAnsi="Cambria"/>
        </w:rPr>
        <w:t>fructan</w:t>
      </w:r>
      <w:proofErr w:type="spellEnd"/>
      <w:r w:rsidRPr="00531789">
        <w:rPr>
          <w:rFonts w:ascii="Cambria" w:hAnsi="Cambria"/>
        </w:rPr>
        <w:t xml:space="preserve"> concentration is 210% higher at 4 weeks, 295% higher at 6 weeks and 105% higher at 10 weeks</w:t>
      </w:r>
      <w:r>
        <w:rPr>
          <w:rFonts w:ascii="Cambria" w:hAnsi="Cambria"/>
        </w:rPr>
        <w:t>, compared to controls</w:t>
      </w:r>
      <w:r w:rsidRPr="00531789">
        <w:rPr>
          <w:rFonts w:ascii="Cambria" w:hAnsi="Cambria"/>
        </w:rPr>
        <w:t xml:space="preserve">.  </w:t>
      </w:r>
    </w:p>
    <w:p w14:paraId="7391346F" w14:textId="77777777" w:rsidR="00DF4522" w:rsidRPr="004637F7" w:rsidRDefault="00DF4522" w:rsidP="00DF4522">
      <w:pPr>
        <w:jc w:val="both"/>
        <w:rPr>
          <w:rFonts w:ascii="Cambria" w:hAnsi="Cambria"/>
          <w:sz w:val="20"/>
          <w:szCs w:val="20"/>
        </w:rPr>
      </w:pPr>
    </w:p>
    <w:p w14:paraId="2495876D" w14:textId="77777777" w:rsidR="00DF4522" w:rsidRPr="004637F7" w:rsidRDefault="00DF4522" w:rsidP="00DF4522">
      <w:pPr>
        <w:spacing w:line="360" w:lineRule="auto"/>
        <w:jc w:val="both"/>
        <w:rPr>
          <w:rFonts w:ascii="Cambria" w:hAnsi="Cambria"/>
          <w:sz w:val="20"/>
          <w:szCs w:val="20"/>
        </w:rPr>
      </w:pPr>
    </w:p>
    <w:p w14:paraId="1779393E" w14:textId="77777777" w:rsidR="00DF4522" w:rsidRDefault="00DF4522" w:rsidP="00DF4522">
      <w:pPr>
        <w:spacing w:line="360" w:lineRule="auto"/>
        <w:jc w:val="both"/>
        <w:rPr>
          <w:rFonts w:ascii="Cambria" w:hAnsi="Cambria"/>
        </w:rPr>
      </w:pPr>
    </w:p>
    <w:p w14:paraId="2095AE6E" w14:textId="77777777" w:rsidR="00DF4522" w:rsidRDefault="00DF4522" w:rsidP="00DF4522">
      <w:pPr>
        <w:spacing w:line="360" w:lineRule="auto"/>
        <w:jc w:val="both"/>
        <w:rPr>
          <w:rFonts w:ascii="Cambria" w:hAnsi="Cambria"/>
        </w:rPr>
      </w:pPr>
      <w:r w:rsidRPr="00936D90">
        <w:rPr>
          <w:b/>
          <w:noProof/>
          <w:lang w:val="en-US"/>
        </w:rPr>
        <w:drawing>
          <wp:anchor distT="0" distB="0" distL="114300" distR="114300" simplePos="0" relativeHeight="251729920" behindDoc="0" locked="0" layoutInCell="1" allowOverlap="1" wp14:anchorId="2D422A6A" wp14:editId="5E61E52B">
            <wp:simplePos x="0" y="0"/>
            <wp:positionH relativeFrom="column">
              <wp:posOffset>914400</wp:posOffset>
            </wp:positionH>
            <wp:positionV relativeFrom="paragraph">
              <wp:posOffset>0</wp:posOffset>
            </wp:positionV>
            <wp:extent cx="3543300" cy="2661285"/>
            <wp:effectExtent l="0" t="0" r="12700" b="5715"/>
            <wp:wrapThrough wrapText="bothSides">
              <wp:wrapPolygon edited="0">
                <wp:start x="0" y="0"/>
                <wp:lineTo x="0" y="21440"/>
                <wp:lineTo x="21523" y="21440"/>
                <wp:lineTo x="21523" y="0"/>
                <wp:lineTo x="0" y="0"/>
              </wp:wrapPolygon>
            </wp:wrapThrough>
            <wp:docPr id="21" name="Picture 21" descr="Macintosh HD:Users:angelawhite:Dropbox:University of Sheffield:Publishing:Thesis:Chapter 2 Defoliation and CO2:Figures:Elevated CO2 star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gelawhite:Dropbox:University of Sheffield:Publishing:Thesis:Chapter 2 Defoliation and CO2:Figures:Elevated CO2 starch.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43300" cy="2661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518090" w14:textId="77777777" w:rsidR="00DF4522" w:rsidRDefault="00DF4522" w:rsidP="00DF4522">
      <w:pPr>
        <w:jc w:val="both"/>
        <w:rPr>
          <w:b/>
          <w:sz w:val="20"/>
          <w:szCs w:val="20"/>
        </w:rPr>
      </w:pPr>
    </w:p>
    <w:p w14:paraId="36BDDC8B" w14:textId="77777777" w:rsidR="00DF4522" w:rsidRDefault="00DF4522" w:rsidP="00DF4522">
      <w:pPr>
        <w:jc w:val="both"/>
        <w:rPr>
          <w:b/>
          <w:sz w:val="20"/>
          <w:szCs w:val="20"/>
        </w:rPr>
      </w:pPr>
    </w:p>
    <w:p w14:paraId="2CC29E3C" w14:textId="77777777" w:rsidR="00DF4522" w:rsidRDefault="00DF4522" w:rsidP="00DF4522">
      <w:pPr>
        <w:jc w:val="both"/>
        <w:rPr>
          <w:b/>
          <w:sz w:val="20"/>
          <w:szCs w:val="20"/>
        </w:rPr>
      </w:pPr>
    </w:p>
    <w:p w14:paraId="413D2030" w14:textId="77777777" w:rsidR="00DF4522" w:rsidRDefault="00DF4522" w:rsidP="00DF4522">
      <w:pPr>
        <w:jc w:val="both"/>
        <w:rPr>
          <w:b/>
          <w:sz w:val="20"/>
          <w:szCs w:val="20"/>
        </w:rPr>
      </w:pPr>
    </w:p>
    <w:p w14:paraId="6108BAB6" w14:textId="77777777" w:rsidR="00DF4522" w:rsidRDefault="00DF4522" w:rsidP="00DF4522">
      <w:pPr>
        <w:jc w:val="both"/>
        <w:rPr>
          <w:b/>
          <w:sz w:val="20"/>
          <w:szCs w:val="20"/>
        </w:rPr>
      </w:pPr>
    </w:p>
    <w:p w14:paraId="26EFB9D3" w14:textId="77777777" w:rsidR="00DF4522" w:rsidRDefault="00DF4522" w:rsidP="00DF4522">
      <w:pPr>
        <w:jc w:val="both"/>
        <w:rPr>
          <w:b/>
          <w:sz w:val="20"/>
          <w:szCs w:val="20"/>
        </w:rPr>
      </w:pPr>
    </w:p>
    <w:p w14:paraId="55B8A818" w14:textId="77777777" w:rsidR="00DF4522" w:rsidRDefault="00DF4522" w:rsidP="00DF4522">
      <w:pPr>
        <w:jc w:val="both"/>
        <w:rPr>
          <w:b/>
          <w:sz w:val="20"/>
          <w:szCs w:val="20"/>
        </w:rPr>
      </w:pPr>
    </w:p>
    <w:p w14:paraId="281595C2" w14:textId="77777777" w:rsidR="00DF4522" w:rsidRDefault="00DF4522" w:rsidP="00DF4522">
      <w:pPr>
        <w:jc w:val="both"/>
        <w:rPr>
          <w:b/>
          <w:sz w:val="20"/>
          <w:szCs w:val="20"/>
        </w:rPr>
      </w:pPr>
    </w:p>
    <w:p w14:paraId="5F1F02AD" w14:textId="77777777" w:rsidR="00DF4522" w:rsidRDefault="00DF4522" w:rsidP="00DF4522">
      <w:pPr>
        <w:jc w:val="both"/>
        <w:rPr>
          <w:b/>
          <w:sz w:val="20"/>
          <w:szCs w:val="20"/>
        </w:rPr>
      </w:pPr>
    </w:p>
    <w:p w14:paraId="43B68076" w14:textId="77777777" w:rsidR="00DF4522" w:rsidRDefault="00DF4522" w:rsidP="00DF4522">
      <w:pPr>
        <w:jc w:val="both"/>
        <w:rPr>
          <w:b/>
          <w:sz w:val="20"/>
          <w:szCs w:val="20"/>
        </w:rPr>
      </w:pPr>
    </w:p>
    <w:p w14:paraId="4B6B11FF" w14:textId="77777777" w:rsidR="00DF4522" w:rsidRDefault="00DF4522" w:rsidP="00DF4522">
      <w:pPr>
        <w:jc w:val="both"/>
        <w:rPr>
          <w:b/>
          <w:sz w:val="20"/>
          <w:szCs w:val="20"/>
        </w:rPr>
      </w:pPr>
    </w:p>
    <w:p w14:paraId="659E4963" w14:textId="77777777" w:rsidR="00DF4522" w:rsidRDefault="00DF4522" w:rsidP="00DF4522">
      <w:pPr>
        <w:jc w:val="both"/>
        <w:rPr>
          <w:b/>
          <w:sz w:val="20"/>
          <w:szCs w:val="20"/>
        </w:rPr>
      </w:pPr>
    </w:p>
    <w:p w14:paraId="04724E6F" w14:textId="77777777" w:rsidR="00DF4522" w:rsidRDefault="00DF4522" w:rsidP="00DF4522">
      <w:pPr>
        <w:jc w:val="both"/>
        <w:rPr>
          <w:b/>
          <w:sz w:val="20"/>
          <w:szCs w:val="20"/>
        </w:rPr>
      </w:pPr>
    </w:p>
    <w:p w14:paraId="3037A848" w14:textId="77777777" w:rsidR="00DF4522" w:rsidRDefault="00DF4522" w:rsidP="00DF4522">
      <w:pPr>
        <w:jc w:val="both"/>
        <w:rPr>
          <w:b/>
          <w:sz w:val="20"/>
          <w:szCs w:val="20"/>
        </w:rPr>
      </w:pPr>
    </w:p>
    <w:p w14:paraId="623F8F39" w14:textId="77777777" w:rsidR="00DF4522" w:rsidRDefault="00DF4522" w:rsidP="00DF4522">
      <w:pPr>
        <w:jc w:val="both"/>
        <w:rPr>
          <w:b/>
          <w:sz w:val="20"/>
          <w:szCs w:val="20"/>
        </w:rPr>
      </w:pPr>
    </w:p>
    <w:p w14:paraId="3B6658F8" w14:textId="77777777" w:rsidR="00DF4522" w:rsidRDefault="00DF4522" w:rsidP="00DF4522">
      <w:pPr>
        <w:jc w:val="both"/>
        <w:rPr>
          <w:b/>
          <w:sz w:val="20"/>
          <w:szCs w:val="20"/>
        </w:rPr>
      </w:pPr>
    </w:p>
    <w:p w14:paraId="60700513" w14:textId="77777777" w:rsidR="00DF4522" w:rsidRDefault="00DF4522" w:rsidP="00DF4522">
      <w:pPr>
        <w:jc w:val="both"/>
        <w:rPr>
          <w:b/>
          <w:sz w:val="20"/>
          <w:szCs w:val="20"/>
        </w:rPr>
      </w:pPr>
    </w:p>
    <w:p w14:paraId="447F81B8" w14:textId="77777777" w:rsidR="00DF4522" w:rsidRDefault="00DF4522" w:rsidP="00DF4522">
      <w:pPr>
        <w:jc w:val="both"/>
        <w:rPr>
          <w:b/>
          <w:sz w:val="20"/>
          <w:szCs w:val="20"/>
        </w:rPr>
      </w:pPr>
      <w:r>
        <w:rPr>
          <w:b/>
          <w:noProof/>
          <w:lang w:val="en-US"/>
        </w:rPr>
        <w:drawing>
          <wp:anchor distT="0" distB="0" distL="114300" distR="114300" simplePos="0" relativeHeight="251730944" behindDoc="0" locked="0" layoutInCell="1" allowOverlap="1" wp14:anchorId="6CA19974" wp14:editId="0E88FA7E">
            <wp:simplePos x="0" y="0"/>
            <wp:positionH relativeFrom="column">
              <wp:posOffset>954405</wp:posOffset>
            </wp:positionH>
            <wp:positionV relativeFrom="paragraph">
              <wp:posOffset>58420</wp:posOffset>
            </wp:positionV>
            <wp:extent cx="3503295" cy="2631440"/>
            <wp:effectExtent l="0" t="0" r="1905" b="10160"/>
            <wp:wrapThrough wrapText="bothSides">
              <wp:wrapPolygon edited="0">
                <wp:start x="0" y="0"/>
                <wp:lineTo x="0" y="21475"/>
                <wp:lineTo x="21455" y="21475"/>
                <wp:lineTo x="21455" y="0"/>
                <wp:lineTo x="0" y="0"/>
              </wp:wrapPolygon>
            </wp:wrapThrough>
            <wp:docPr id="22" name="Picture 22" descr="Macintosh HD:Users:angelawhite:Dropbox:University of Sheffield:Publishing:Thesis:Chapter 2 Defoliation and CO2:Figures:Elevated CO2 H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gelawhite:Dropbox:University of Sheffield:Publishing:Thesis:Chapter 2 Defoliation and CO2:Figures:Elevated CO2 HDPF.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03295" cy="263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A0452F" w14:textId="77777777" w:rsidR="00DF4522" w:rsidRDefault="00DF4522" w:rsidP="00DF4522">
      <w:pPr>
        <w:jc w:val="both"/>
        <w:rPr>
          <w:b/>
          <w:sz w:val="20"/>
          <w:szCs w:val="20"/>
        </w:rPr>
      </w:pPr>
    </w:p>
    <w:p w14:paraId="218B1802" w14:textId="77777777" w:rsidR="00DF4522" w:rsidRDefault="00DF4522" w:rsidP="00DF4522">
      <w:pPr>
        <w:jc w:val="both"/>
        <w:rPr>
          <w:b/>
          <w:sz w:val="20"/>
          <w:szCs w:val="20"/>
        </w:rPr>
      </w:pPr>
    </w:p>
    <w:p w14:paraId="7024C8D5" w14:textId="77777777" w:rsidR="00DF4522" w:rsidRDefault="00DF4522" w:rsidP="00DF4522">
      <w:pPr>
        <w:jc w:val="both"/>
        <w:rPr>
          <w:b/>
          <w:sz w:val="20"/>
          <w:szCs w:val="20"/>
        </w:rPr>
      </w:pPr>
    </w:p>
    <w:p w14:paraId="4E3997DA" w14:textId="77777777" w:rsidR="00DF4522" w:rsidRDefault="00DF4522" w:rsidP="00DF4522">
      <w:pPr>
        <w:jc w:val="both"/>
        <w:rPr>
          <w:b/>
          <w:sz w:val="20"/>
          <w:szCs w:val="20"/>
        </w:rPr>
      </w:pPr>
    </w:p>
    <w:p w14:paraId="1283656F" w14:textId="77777777" w:rsidR="00DF4522" w:rsidRDefault="00DF4522" w:rsidP="00DF4522">
      <w:pPr>
        <w:jc w:val="both"/>
        <w:rPr>
          <w:b/>
          <w:sz w:val="20"/>
          <w:szCs w:val="20"/>
        </w:rPr>
      </w:pPr>
    </w:p>
    <w:p w14:paraId="55D701A1" w14:textId="77777777" w:rsidR="00DF4522" w:rsidRDefault="00DF4522" w:rsidP="00DF4522">
      <w:pPr>
        <w:jc w:val="both"/>
        <w:rPr>
          <w:b/>
          <w:sz w:val="20"/>
          <w:szCs w:val="20"/>
        </w:rPr>
      </w:pPr>
    </w:p>
    <w:p w14:paraId="34666112" w14:textId="77777777" w:rsidR="00DF4522" w:rsidRDefault="00DF4522" w:rsidP="00DF4522">
      <w:pPr>
        <w:jc w:val="both"/>
        <w:rPr>
          <w:b/>
          <w:sz w:val="20"/>
          <w:szCs w:val="20"/>
        </w:rPr>
      </w:pPr>
    </w:p>
    <w:p w14:paraId="56A6B260" w14:textId="77777777" w:rsidR="00DF4522" w:rsidRDefault="00DF4522" w:rsidP="00DF4522">
      <w:pPr>
        <w:jc w:val="both"/>
        <w:rPr>
          <w:b/>
          <w:sz w:val="20"/>
          <w:szCs w:val="20"/>
        </w:rPr>
      </w:pPr>
    </w:p>
    <w:p w14:paraId="5415E79D" w14:textId="77777777" w:rsidR="00DF4522" w:rsidRDefault="00DF4522" w:rsidP="00DF4522">
      <w:pPr>
        <w:jc w:val="both"/>
        <w:rPr>
          <w:b/>
          <w:sz w:val="20"/>
          <w:szCs w:val="20"/>
        </w:rPr>
      </w:pPr>
    </w:p>
    <w:p w14:paraId="67634A99" w14:textId="77777777" w:rsidR="00DF4522" w:rsidRDefault="00DF4522" w:rsidP="00DF4522">
      <w:pPr>
        <w:jc w:val="both"/>
        <w:rPr>
          <w:b/>
          <w:sz w:val="20"/>
          <w:szCs w:val="20"/>
        </w:rPr>
      </w:pPr>
    </w:p>
    <w:p w14:paraId="6731C43E" w14:textId="77777777" w:rsidR="00DF4522" w:rsidRDefault="00DF4522" w:rsidP="00DF4522">
      <w:pPr>
        <w:jc w:val="both"/>
        <w:rPr>
          <w:b/>
          <w:sz w:val="20"/>
          <w:szCs w:val="20"/>
        </w:rPr>
      </w:pPr>
    </w:p>
    <w:p w14:paraId="7B42779B" w14:textId="77777777" w:rsidR="00DF4522" w:rsidRDefault="00DF4522" w:rsidP="00DF4522">
      <w:pPr>
        <w:jc w:val="both"/>
        <w:rPr>
          <w:b/>
          <w:sz w:val="20"/>
          <w:szCs w:val="20"/>
        </w:rPr>
      </w:pPr>
    </w:p>
    <w:p w14:paraId="3FF36387" w14:textId="77777777" w:rsidR="00DF4522" w:rsidRDefault="00DF4522" w:rsidP="00DF4522">
      <w:pPr>
        <w:jc w:val="both"/>
        <w:rPr>
          <w:b/>
          <w:sz w:val="20"/>
          <w:szCs w:val="20"/>
        </w:rPr>
      </w:pPr>
    </w:p>
    <w:p w14:paraId="773E135F" w14:textId="77777777" w:rsidR="00DF4522" w:rsidRDefault="00DF4522" w:rsidP="00DF4522">
      <w:pPr>
        <w:jc w:val="both"/>
        <w:rPr>
          <w:b/>
          <w:sz w:val="20"/>
          <w:szCs w:val="20"/>
        </w:rPr>
      </w:pPr>
    </w:p>
    <w:p w14:paraId="237A21D8" w14:textId="77777777" w:rsidR="00DF4522" w:rsidRDefault="00DF4522" w:rsidP="00DF4522">
      <w:pPr>
        <w:jc w:val="both"/>
        <w:rPr>
          <w:b/>
          <w:sz w:val="20"/>
          <w:szCs w:val="20"/>
        </w:rPr>
      </w:pPr>
    </w:p>
    <w:p w14:paraId="1F71188A" w14:textId="77777777" w:rsidR="00DF4522" w:rsidRDefault="00DF4522" w:rsidP="00DF4522">
      <w:pPr>
        <w:jc w:val="both"/>
        <w:rPr>
          <w:b/>
          <w:sz w:val="20"/>
          <w:szCs w:val="20"/>
        </w:rPr>
      </w:pPr>
    </w:p>
    <w:p w14:paraId="50C71B08" w14:textId="77777777" w:rsidR="00DF4522" w:rsidRDefault="00DF4522" w:rsidP="00DF4522">
      <w:pPr>
        <w:jc w:val="both"/>
        <w:rPr>
          <w:b/>
          <w:sz w:val="20"/>
          <w:szCs w:val="20"/>
        </w:rPr>
      </w:pPr>
    </w:p>
    <w:p w14:paraId="0164E4E4" w14:textId="77777777" w:rsidR="00DF4522" w:rsidRDefault="00DF4522" w:rsidP="00DF4522">
      <w:pPr>
        <w:jc w:val="both"/>
        <w:rPr>
          <w:b/>
          <w:sz w:val="20"/>
          <w:szCs w:val="20"/>
        </w:rPr>
      </w:pPr>
    </w:p>
    <w:p w14:paraId="16ADB049" w14:textId="77777777" w:rsidR="00DF4522" w:rsidRPr="00144C1D" w:rsidRDefault="00DF4522" w:rsidP="00DF4522">
      <w:pPr>
        <w:jc w:val="both"/>
        <w:rPr>
          <w:b/>
          <w:sz w:val="20"/>
          <w:szCs w:val="20"/>
        </w:rPr>
      </w:pPr>
      <w:r w:rsidRPr="00144C1D">
        <w:rPr>
          <w:b/>
          <w:sz w:val="20"/>
          <w:szCs w:val="20"/>
        </w:rPr>
        <w:t xml:space="preserve">Figure 4.   </w:t>
      </w:r>
      <w:r w:rsidRPr="00144C1D">
        <w:rPr>
          <w:sz w:val="20"/>
          <w:szCs w:val="20"/>
        </w:rPr>
        <w:t xml:space="preserve">Storage carbohydrate concentrations in leaf tissue are significantly higher </w:t>
      </w:r>
      <w:r w:rsidRPr="00144C1D">
        <w:rPr>
          <w:rFonts w:ascii="Cambria" w:hAnsi="Cambria"/>
          <w:sz w:val="20"/>
          <w:szCs w:val="20"/>
        </w:rPr>
        <w:t>in plants exposed to a two-week elevated CO</w:t>
      </w:r>
      <w:r w:rsidRPr="00144C1D">
        <w:rPr>
          <w:rFonts w:ascii="Cambria" w:hAnsi="Cambria"/>
          <w:sz w:val="20"/>
          <w:szCs w:val="20"/>
          <w:vertAlign w:val="subscript"/>
        </w:rPr>
        <w:t>2</w:t>
      </w:r>
      <w:r w:rsidRPr="00144C1D">
        <w:rPr>
          <w:rFonts w:ascii="Cambria" w:hAnsi="Cambria"/>
          <w:sz w:val="20"/>
          <w:szCs w:val="20"/>
        </w:rPr>
        <w:t xml:space="preserve"> treatment (filled triangles, dashed line) than in control plants (filled circles, solid line).  A, starch; B, long-chain </w:t>
      </w:r>
      <w:proofErr w:type="spellStart"/>
      <w:r w:rsidRPr="00144C1D">
        <w:rPr>
          <w:rFonts w:ascii="Cambria" w:hAnsi="Cambria"/>
          <w:sz w:val="20"/>
          <w:szCs w:val="20"/>
        </w:rPr>
        <w:t>fructan</w:t>
      </w:r>
      <w:proofErr w:type="spellEnd"/>
      <w:r w:rsidRPr="00144C1D">
        <w:rPr>
          <w:rFonts w:ascii="Cambria" w:hAnsi="Cambria"/>
          <w:sz w:val="20"/>
          <w:szCs w:val="20"/>
        </w:rPr>
        <w:t xml:space="preserve">.  </w:t>
      </w:r>
      <w:r w:rsidRPr="00144C1D">
        <w:rPr>
          <w:rFonts w:ascii="Cambria" w:hAnsi="Cambria" w:cs="ArialMT"/>
          <w:sz w:val="20"/>
          <w:szCs w:val="20"/>
          <w:lang w:val="en-US"/>
        </w:rPr>
        <w:t xml:space="preserve">Data are expressed in </w:t>
      </w:r>
      <w:proofErr w:type="spellStart"/>
      <w:r w:rsidRPr="00144C1D">
        <w:rPr>
          <w:rFonts w:ascii="Cambria" w:hAnsi="Cambria" w:cs="ArialMT"/>
          <w:sz w:val="20"/>
          <w:szCs w:val="20"/>
          <w:lang w:val="en-US"/>
        </w:rPr>
        <w:t>μmol</w:t>
      </w:r>
      <w:proofErr w:type="spellEnd"/>
      <w:r w:rsidRPr="00144C1D">
        <w:rPr>
          <w:rFonts w:ascii="Cambria" w:hAnsi="Cambria" w:cs="ArialMT"/>
          <w:sz w:val="20"/>
          <w:szCs w:val="20"/>
          <w:lang w:val="en-US"/>
        </w:rPr>
        <w:t xml:space="preserve"> glucose equivalents per g carbohydrate-corrected dry weight (CCDW).  </w:t>
      </w:r>
      <w:r w:rsidRPr="00144C1D">
        <w:rPr>
          <w:rFonts w:ascii="Cambria" w:hAnsi="Cambria"/>
          <w:sz w:val="20"/>
          <w:szCs w:val="20"/>
        </w:rPr>
        <w:t xml:space="preserve">Data show mean </w:t>
      </w:r>
      <w:r w:rsidRPr="00144C1D">
        <w:rPr>
          <w:rFonts w:ascii="Cambria" w:hAnsi="Cambria" w:cs="font652"/>
          <w:sz w:val="20"/>
          <w:szCs w:val="20"/>
          <w:lang w:val="en-US"/>
        </w:rPr>
        <w:t>± SE (n=3).</w:t>
      </w:r>
    </w:p>
    <w:p w14:paraId="20508F81" w14:textId="77777777" w:rsidR="00DF4522" w:rsidRDefault="00DF4522" w:rsidP="00DF4522">
      <w:pPr>
        <w:spacing w:line="360" w:lineRule="auto"/>
        <w:jc w:val="both"/>
        <w:rPr>
          <w:rFonts w:ascii="Cambria" w:hAnsi="Cambria"/>
        </w:rPr>
      </w:pPr>
    </w:p>
    <w:p w14:paraId="4D9E0292" w14:textId="77777777" w:rsidR="00DF4522" w:rsidRDefault="00DF4522" w:rsidP="00DF4522">
      <w:pPr>
        <w:spacing w:line="360" w:lineRule="auto"/>
        <w:jc w:val="both"/>
        <w:rPr>
          <w:rFonts w:ascii="Cambria" w:hAnsi="Cambria"/>
        </w:rPr>
      </w:pPr>
    </w:p>
    <w:p w14:paraId="41D56DCC" w14:textId="66F20786" w:rsidR="00DF4522" w:rsidRPr="00531789" w:rsidRDefault="00DF4522" w:rsidP="00DF4522">
      <w:pPr>
        <w:spacing w:line="360" w:lineRule="auto"/>
        <w:jc w:val="both"/>
        <w:rPr>
          <w:rFonts w:ascii="Cambria" w:hAnsi="Cambria"/>
        </w:rPr>
      </w:pPr>
      <w:proofErr w:type="spellStart"/>
      <w:r w:rsidRPr="00531789">
        <w:rPr>
          <w:rFonts w:ascii="Cambria" w:hAnsi="Cambria"/>
        </w:rPr>
        <w:t>Hexose:sucrose</w:t>
      </w:r>
      <w:proofErr w:type="spellEnd"/>
      <w:r w:rsidRPr="00531789">
        <w:rPr>
          <w:rFonts w:ascii="Cambria" w:hAnsi="Cambria"/>
        </w:rPr>
        <w:t xml:space="preserve"> ratio is an indicator of sink limitation </w:t>
      </w:r>
      <w:r w:rsidRPr="00531789">
        <w:rPr>
          <w:rFonts w:ascii="Cambria" w:hAnsi="Cambria"/>
        </w:rPr>
        <w:fldChar w:fldCharType="begin" w:fldLock="1"/>
      </w:r>
      <w:r>
        <w:rPr>
          <w:rFonts w:ascii="Cambria" w:hAnsi="Cambria"/>
        </w:rPr>
        <w:instrText>ADDIN CSL_CITATION { "citationItems" : [ { "id" : "ITEM-1", "itemData" : { "DOI" : "10.1046/j.1365-3040.1999.00432.x", "ISBN" : "1365-3040", "ISSN" : "0140-7791", "PMID" : "4067", "abstract" : "There have been many recent exciting advances in our understanding of the cellular processes that underlie photosynthetic acclimation to rising atmospheric CO2 concentration. Of particular interest have been the molecular processes that modulate photosynthetic gene expression in response to elevated CO2 and the biochemical processes that link changes in atmospheric CO2 concentration to the production of a metabolic signal. Central to this acclimation response is a reduction in ribulose-1,5-bisphosphate carboxylase/oxygenase (Rubisco) protein content. Studies indicate that this reduction results from species-dependent variation in the differential use and temporal control of molecular processes. We present a model for the control of Rubisco protein accumulation that emphasizes the role of subunit message translation as well as the abundance of subunit messages as components of the acclimation response. Many studies indicate that photosynthetic acclimation to elevated CO2 results from adjustments in leaf carbohydrate signalling. The repression of photosynthetic gene expression is considered to occur primarily by hexokinase functioning as a hexose flux sensor that ultimately affects transcription. Leaf hexoses may be produced as potential sources of signals primarily by sucrose cycling and secondarily by starch hydrolysis. An increased rate of sucrose cycling is suggested to occur at elevated CO2 by enhanced provision of sucrose to leaf acid invertases. Additionally, sink limitations that accentuate photosynthetic acclimation may result from a relative decrease in the export of leaf sucrose and subsequent increase in cellular sucrose levels and sucrose cycling.", "author" : [ { "dropping-particle" : "", "family" : "Moore", "given" : "B D", "non-dropping-particle" : "", "parse-names" : false, "suffix" : "" }, { "dropping-particle" : "", "family" : "Cheng", "given" : "S H", "non-dropping-particle" : "", "parse-names" : false, "suffix" : "" }, { "dropping-particle" : "", "family" : "Sims", "given" : "D", "non-dropping-particle" : "", "parse-names" : false, "suffix" : "" }, { "dropping-particle" : "", "family" : "Seemann", "given" : "J R", "non-dropping-particle" : "", "parse-names" : false, "suffix" : "" } ], "container-title" : "Plant Cell and Environment", "id" : "ITEM-1", "issue" : "6", "issued" : { "date-parts" : [ [ "1999" ] ] }, "page" : "567-582", "title" : "The biochemical and molecular basis for photosynthetic acclimation to elevated atmospheric CO2", "type" : "article-journal", "volume" : "22" }, "uris" : [ "http://www.mendeley.com/documents/?uuid=cf0a466f-c3b0-4974-b4cb-4e35fb4a41ba" ] } ], "mendeley" : { "formattedCitation" : "(Moore &lt;i&gt;et al.&lt;/i&gt;, 1999)", "plainTextFormattedCitation" : "(Moore et al., 1999)", "previouslyFormattedCitation" : "(Moore &lt;i&gt;et al.&lt;/i&gt;, 1999)"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(Moore </w:t>
      </w:r>
      <w:r w:rsidRPr="002C5907">
        <w:rPr>
          <w:rFonts w:ascii="Cambria" w:hAnsi="Cambria"/>
          <w:i/>
          <w:noProof/>
        </w:rPr>
        <w:t>et al.</w:t>
      </w:r>
      <w:r w:rsidRPr="002C5907">
        <w:rPr>
          <w:rFonts w:ascii="Cambria" w:hAnsi="Cambria"/>
          <w:noProof/>
        </w:rPr>
        <w:t>, 1999)</w:t>
      </w:r>
      <w:r w:rsidRPr="00531789">
        <w:rPr>
          <w:rFonts w:ascii="Cambria" w:hAnsi="Cambria"/>
        </w:rPr>
        <w:fldChar w:fldCharType="end"/>
      </w:r>
      <w:r w:rsidRPr="00531789">
        <w:rPr>
          <w:rFonts w:ascii="Cambria" w:hAnsi="Cambria"/>
        </w:rPr>
        <w:t>, since hexoses repress photosynthesis</w:t>
      </w:r>
      <w:r>
        <w:rPr>
          <w:rFonts w:ascii="Cambria" w:hAnsi="Cambria"/>
        </w:rPr>
        <w:t xml:space="preserve"> </w:t>
      </w:r>
      <w:r w:rsidRPr="00531789">
        <w:rPr>
          <w:rFonts w:ascii="Cambria" w:hAnsi="Cambria"/>
        </w:rPr>
        <w:t xml:space="preserve">when the sink is limiting, mediated by the sugar sensor hexokinase </w:t>
      </w:r>
      <w:r w:rsidRPr="00531789">
        <w:rPr>
          <w:rFonts w:ascii="Cambria" w:hAnsi="Cambria"/>
        </w:rPr>
        <w:fldChar w:fldCharType="begin" w:fldLock="1"/>
      </w:r>
      <w:r w:rsidR="00906E41">
        <w:rPr>
          <w:rFonts w:ascii="Cambria" w:hAnsi="Cambria"/>
        </w:rPr>
        <w:instrText>ADDIN CSL_CITATION { "citationItems" : [ { "id" : "ITEM-1", "itemData" : { "author" : [ { "dropping-particle" : "", "family" : "Jang", "given" : "Jyan-Chyun", "non-dropping-particle" : "", "parse-names" : false, "suffix" : "" }, { "dropping-particle" : "", "family" : "Sheen", "given" : "Jen", "non-dropping-particle" : "", "parse-names" : false, "suffix" : "" } ], "container-title" : "The Plant Cell", "id" : "ITEM-1", "issued" : { "date-parts" : [ [ "1994" ] ] }, "page" : "1665-1679", "title" : "Sugar sensing in higher plants", "type" : "article-journal", "volume" : "6" }, "uris" : [ "http://www.mendeley.com/documents/?uuid=0ce2d08e-736a-4488-8d1e-ee1b7d1fbe8a" ] }, { "id" : "ITEM-2", "itemData" : { "author" : [ { "dropping-particle" : "", "family" : "Rogers", "given" : "A", "non-dropping-particle" : "", "parse-names" : false, "suffix" : "" }, { "dropping-particle" : "", "family" : "Ainsworth", "given" : "Elizabeth A", "non-dropping-particle" : "", "parse-names" : false, "suffix" : "" } ], "chapter-number" : "16", "container-title" : "Managed ecosystems and CO2 case studies processes and perspectives", "editor" : [ { "dropping-particle" : "", "family" : "Nosberger", "given" : "J", "non-dropping-particle" : "", "parse-names" : false, "suffix" : "" }, { "dropping-particle" : "", "family" : "Long", "given" : "SP", "non-dropping-particle" : "", "parse-names" : false, "suffix" : "" }, { "dropping-particle" : "", "family" : "Blum", "given" : "H", "non-dropping-particle" : "", "parse-names" : false, "suffix" : "" }, { "dropping-particle" : "", "family" : "Norby", "given" : "RJ", "non-dropping-particle" : "", "parse-names" : false, "suffix" : "" }, { "dropping-particle" : "", "family" : "Hendrey", "given" : "GR", "non-dropping-particle" : "", "parse-names" : false, "suffix" : "" }, { "dropping-particle" : "", "family" : "Stitt", "given" : "M", "non-dropping-particle" : "", "parse-names" : false, "suffix" : "" } ], "id" : "ITEM-2", "issued" : { "date-parts" : [ [ "2006" ] ] }, "page" : "293-308", "publisher" : "Springer-Verlag", "publisher-place" : "Heidelberg, Berlin", "title" : "The response of foliar carbohydrates to elevated [CO2]", "type" : "chapter" }, "uris" : [ "http://www.mendeley.com/documents/?uuid=ad611b43-52b4-4728-8d67-4ff9617c644b" ] } ], "mendeley" : { "formattedCitation" : "(Jang and Sheen, 1994; Rogers and Ainsworth, 2006)", "plainTextFormattedCitation" : "(Jang and Sheen, 1994; Rogers and Ainsworth, 2006)", "previouslyFormattedCitation" : "(Jang and Sheen, 1994; Rogers and Ainsworth, 2006)"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(Jang and Sheen, 1994; Rogers and Ainsworth, 2006)</w:t>
      </w:r>
      <w:r w:rsidRPr="00531789">
        <w:rPr>
          <w:rFonts w:ascii="Cambria" w:hAnsi="Cambria"/>
        </w:rPr>
        <w:fldChar w:fldCharType="end"/>
      </w:r>
      <w:r w:rsidRPr="00531789">
        <w:rPr>
          <w:rFonts w:ascii="Cambria" w:hAnsi="Cambria"/>
        </w:rPr>
        <w:t xml:space="preserve">.  The </w:t>
      </w:r>
      <w:proofErr w:type="spellStart"/>
      <w:r w:rsidRPr="00531789">
        <w:rPr>
          <w:rFonts w:ascii="Cambria" w:hAnsi="Cambria"/>
        </w:rPr>
        <w:t>hexose:sucrose</w:t>
      </w:r>
      <w:proofErr w:type="spellEnd"/>
      <w:r w:rsidRPr="00531789">
        <w:rPr>
          <w:rFonts w:ascii="Cambria" w:hAnsi="Cambria"/>
        </w:rPr>
        <w:t xml:space="preserve"> ratio (Fig. 5) increases over time in both elevated CO</w:t>
      </w:r>
      <w:r w:rsidRPr="00531789">
        <w:rPr>
          <w:rFonts w:ascii="Cambria" w:hAnsi="Cambria"/>
          <w:vertAlign w:val="subscript"/>
        </w:rPr>
        <w:t>2</w:t>
      </w:r>
      <w:r w:rsidRPr="00531789">
        <w:rPr>
          <w:rFonts w:ascii="Cambria" w:hAnsi="Cambria"/>
        </w:rPr>
        <w:t xml:space="preserve"> and control plants (F</w:t>
      </w:r>
      <w:r w:rsidRPr="00531789">
        <w:rPr>
          <w:rFonts w:ascii="Cambria" w:hAnsi="Cambria"/>
          <w:vertAlign w:val="subscript"/>
        </w:rPr>
        <w:t>(2,12)</w:t>
      </w:r>
      <w:r w:rsidRPr="00531789">
        <w:rPr>
          <w:rFonts w:ascii="Cambria" w:hAnsi="Cambria"/>
        </w:rPr>
        <w:t xml:space="preserve"> = 40.60, p&lt;0.001) and is slightly higher in plants exposed to elevated CO</w:t>
      </w:r>
      <w:r w:rsidRPr="00531789">
        <w:rPr>
          <w:rFonts w:ascii="Cambria" w:hAnsi="Cambria"/>
          <w:vertAlign w:val="subscript"/>
        </w:rPr>
        <w:t>2</w:t>
      </w:r>
      <w:r w:rsidRPr="00531789">
        <w:rPr>
          <w:rFonts w:ascii="Cambria" w:hAnsi="Cambria"/>
        </w:rPr>
        <w:t xml:space="preserve"> (F</w:t>
      </w:r>
      <w:r w:rsidRPr="00531789">
        <w:rPr>
          <w:rFonts w:ascii="Cambria" w:hAnsi="Cambria"/>
          <w:vertAlign w:val="subscript"/>
        </w:rPr>
        <w:t>(1,12)</w:t>
      </w:r>
      <w:r w:rsidRPr="00531789">
        <w:rPr>
          <w:rFonts w:ascii="Cambria" w:hAnsi="Cambria"/>
        </w:rPr>
        <w:t xml:space="preserve"> = 8.60, p&lt;0.05), but there is no tre</w:t>
      </w:r>
      <w:r>
        <w:rPr>
          <w:rFonts w:ascii="Cambria" w:hAnsi="Cambria"/>
        </w:rPr>
        <w:t>atment x harvest interaction (p</w:t>
      </w:r>
      <w:r w:rsidRPr="00531789">
        <w:rPr>
          <w:rFonts w:ascii="Cambria" w:hAnsi="Cambria"/>
        </w:rPr>
        <w:t>&gt;0.7).  In contrast, the concentrations of TNC (Fig. 3) and protein (Fig. 6) decrease over time in the leaf with significant effects of harvest age (for TNC, F</w:t>
      </w:r>
      <w:r w:rsidRPr="00531789">
        <w:rPr>
          <w:rFonts w:ascii="Cambria" w:hAnsi="Cambria"/>
          <w:vertAlign w:val="subscript"/>
        </w:rPr>
        <w:t>(2,12)</w:t>
      </w:r>
      <w:r w:rsidRPr="00531789">
        <w:rPr>
          <w:rFonts w:ascii="Cambria" w:hAnsi="Cambria"/>
        </w:rPr>
        <w:t xml:space="preserve"> = 47.92, p&lt;0.001; for protein,  F</w:t>
      </w:r>
      <w:r w:rsidRPr="00531789">
        <w:rPr>
          <w:rFonts w:ascii="Cambria" w:hAnsi="Cambria"/>
          <w:vertAlign w:val="subscript"/>
        </w:rPr>
        <w:t>(2,12)</w:t>
      </w:r>
      <w:r w:rsidRPr="00531789">
        <w:rPr>
          <w:rFonts w:ascii="Cambria" w:hAnsi="Cambria"/>
        </w:rPr>
        <w:t xml:space="preserve"> = 33.36, p&lt;0.001).  </w:t>
      </w:r>
    </w:p>
    <w:p w14:paraId="33E209AC" w14:textId="77777777" w:rsidR="00DF4522" w:rsidRDefault="00DF4522" w:rsidP="00DF4522">
      <w:pPr>
        <w:spacing w:line="360" w:lineRule="auto"/>
        <w:jc w:val="both"/>
        <w:rPr>
          <w:rFonts w:ascii="Cambria" w:hAnsi="Cambria"/>
        </w:rPr>
      </w:pPr>
      <w:r>
        <w:rPr>
          <w:b/>
          <w:noProof/>
          <w:lang w:val="en-US"/>
        </w:rPr>
        <w:drawing>
          <wp:anchor distT="0" distB="0" distL="114300" distR="114300" simplePos="0" relativeHeight="251731968" behindDoc="0" locked="0" layoutInCell="1" allowOverlap="1" wp14:anchorId="37FE7749" wp14:editId="3832F83F">
            <wp:simplePos x="0" y="0"/>
            <wp:positionH relativeFrom="column">
              <wp:posOffset>914400</wp:posOffset>
            </wp:positionH>
            <wp:positionV relativeFrom="paragraph">
              <wp:posOffset>264160</wp:posOffset>
            </wp:positionV>
            <wp:extent cx="3543300" cy="2661285"/>
            <wp:effectExtent l="0" t="0" r="12700" b="5715"/>
            <wp:wrapThrough wrapText="bothSides">
              <wp:wrapPolygon edited="0">
                <wp:start x="0" y="0"/>
                <wp:lineTo x="0" y="21440"/>
                <wp:lineTo x="21523" y="21440"/>
                <wp:lineTo x="21523" y="0"/>
                <wp:lineTo x="0" y="0"/>
              </wp:wrapPolygon>
            </wp:wrapThrough>
            <wp:docPr id="23" name="Picture 23" descr="Macintosh HD:Users:angelawhite:Dropbox:University of Sheffield:Publishing:Thesis:Chapter 2 Defoliation and CO2:Figures:Elevated CO2 hexosesucro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gelawhite:Dropbox:University of Sheffield:Publishing:Thesis:Chapter 2 Defoliation and CO2:Figures:Elevated CO2 hexosesucros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43300" cy="2661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99C7CE" w14:textId="77777777" w:rsidR="00DF4522" w:rsidRDefault="00DF4522" w:rsidP="00DF4522">
      <w:pPr>
        <w:spacing w:line="360" w:lineRule="auto"/>
        <w:jc w:val="both"/>
        <w:rPr>
          <w:rFonts w:ascii="Cambria" w:hAnsi="Cambria"/>
        </w:rPr>
      </w:pPr>
    </w:p>
    <w:p w14:paraId="0392E5C8" w14:textId="77777777" w:rsidR="00DF4522" w:rsidRDefault="00DF4522" w:rsidP="00DF4522">
      <w:pPr>
        <w:spacing w:line="360" w:lineRule="auto"/>
        <w:jc w:val="both"/>
        <w:rPr>
          <w:rFonts w:ascii="Cambria" w:hAnsi="Cambria"/>
        </w:rPr>
      </w:pPr>
    </w:p>
    <w:p w14:paraId="3585E91F" w14:textId="77777777" w:rsidR="00DF4522" w:rsidRDefault="00DF4522" w:rsidP="00DF4522">
      <w:pPr>
        <w:spacing w:line="360" w:lineRule="auto"/>
        <w:jc w:val="both"/>
        <w:rPr>
          <w:rFonts w:ascii="Cambria" w:hAnsi="Cambria"/>
        </w:rPr>
      </w:pPr>
    </w:p>
    <w:p w14:paraId="6D4D29D3" w14:textId="77777777" w:rsidR="00DF4522" w:rsidRDefault="00DF4522" w:rsidP="00DF4522">
      <w:pPr>
        <w:spacing w:line="360" w:lineRule="auto"/>
        <w:jc w:val="both"/>
        <w:rPr>
          <w:rFonts w:ascii="Cambria" w:hAnsi="Cambria"/>
        </w:rPr>
      </w:pPr>
    </w:p>
    <w:p w14:paraId="444A8341" w14:textId="77777777" w:rsidR="00DF4522" w:rsidRDefault="00DF4522" w:rsidP="00DF4522">
      <w:pPr>
        <w:spacing w:line="360" w:lineRule="auto"/>
        <w:jc w:val="both"/>
        <w:rPr>
          <w:rFonts w:ascii="Cambria" w:hAnsi="Cambria"/>
        </w:rPr>
      </w:pPr>
    </w:p>
    <w:p w14:paraId="799A3B56" w14:textId="77777777" w:rsidR="00DF4522" w:rsidRDefault="00DF4522" w:rsidP="00DF4522">
      <w:pPr>
        <w:spacing w:line="360" w:lineRule="auto"/>
        <w:jc w:val="both"/>
        <w:rPr>
          <w:rFonts w:ascii="Cambria" w:hAnsi="Cambria"/>
        </w:rPr>
      </w:pPr>
    </w:p>
    <w:p w14:paraId="2CE35392" w14:textId="77777777" w:rsidR="00DF4522" w:rsidRDefault="00DF4522" w:rsidP="00DF4522">
      <w:pPr>
        <w:spacing w:line="360" w:lineRule="auto"/>
        <w:jc w:val="both"/>
        <w:rPr>
          <w:rFonts w:ascii="Cambria" w:hAnsi="Cambria"/>
        </w:rPr>
      </w:pPr>
    </w:p>
    <w:p w14:paraId="2809CF4C" w14:textId="77777777" w:rsidR="00DF4522" w:rsidRDefault="00DF4522" w:rsidP="00DF4522">
      <w:pPr>
        <w:spacing w:line="360" w:lineRule="auto"/>
        <w:jc w:val="both"/>
        <w:rPr>
          <w:rFonts w:ascii="Cambria" w:hAnsi="Cambria"/>
        </w:rPr>
      </w:pPr>
    </w:p>
    <w:p w14:paraId="1B62667C" w14:textId="77777777" w:rsidR="00DF4522" w:rsidRDefault="00DF4522" w:rsidP="00DF4522">
      <w:pPr>
        <w:spacing w:line="360" w:lineRule="auto"/>
        <w:jc w:val="both"/>
        <w:rPr>
          <w:rFonts w:ascii="Cambria" w:hAnsi="Cambria"/>
        </w:rPr>
      </w:pPr>
    </w:p>
    <w:p w14:paraId="29026EA7" w14:textId="77777777" w:rsidR="00DF4522" w:rsidRDefault="00DF4522" w:rsidP="00DF4522">
      <w:pPr>
        <w:spacing w:line="360" w:lineRule="auto"/>
        <w:jc w:val="both"/>
        <w:rPr>
          <w:rFonts w:ascii="Cambria" w:hAnsi="Cambria"/>
        </w:rPr>
      </w:pPr>
    </w:p>
    <w:p w14:paraId="5D5BBAB5" w14:textId="77777777" w:rsidR="00DF4522" w:rsidRPr="000B5E14" w:rsidRDefault="00DF4522" w:rsidP="00DF4522">
      <w:pPr>
        <w:spacing w:line="360" w:lineRule="auto"/>
        <w:jc w:val="both"/>
        <w:rPr>
          <w:rFonts w:ascii="Cambria" w:hAnsi="Cambria"/>
          <w:sz w:val="20"/>
          <w:szCs w:val="20"/>
        </w:rPr>
      </w:pPr>
    </w:p>
    <w:p w14:paraId="23169AE1" w14:textId="77777777" w:rsidR="00DF4522" w:rsidRDefault="00DF4522" w:rsidP="00DF4522">
      <w:pPr>
        <w:jc w:val="both"/>
        <w:rPr>
          <w:rFonts w:ascii="Cambria" w:hAnsi="Cambria" w:cs="font652"/>
          <w:sz w:val="20"/>
          <w:szCs w:val="20"/>
          <w:lang w:val="en-US"/>
        </w:rPr>
      </w:pPr>
      <w:r w:rsidRPr="000B5E14">
        <w:rPr>
          <w:b/>
          <w:sz w:val="20"/>
          <w:szCs w:val="20"/>
        </w:rPr>
        <w:t xml:space="preserve">Figure 5.  </w:t>
      </w:r>
      <w:proofErr w:type="spellStart"/>
      <w:r w:rsidRPr="000B5E14">
        <w:rPr>
          <w:sz w:val="20"/>
          <w:szCs w:val="20"/>
        </w:rPr>
        <w:t>Hexose:sucrose</w:t>
      </w:r>
      <w:proofErr w:type="spellEnd"/>
      <w:r w:rsidRPr="000B5E14">
        <w:rPr>
          <w:sz w:val="20"/>
          <w:szCs w:val="20"/>
        </w:rPr>
        <w:t xml:space="preserve"> ratio in leaf tissue increases across harvests in plants exposed to a two-week elevated CO</w:t>
      </w:r>
      <w:r w:rsidRPr="000B5E14">
        <w:rPr>
          <w:sz w:val="20"/>
          <w:szCs w:val="20"/>
          <w:vertAlign w:val="subscript"/>
        </w:rPr>
        <w:t>2</w:t>
      </w:r>
      <w:r w:rsidRPr="000B5E14">
        <w:rPr>
          <w:sz w:val="20"/>
          <w:szCs w:val="20"/>
        </w:rPr>
        <w:t xml:space="preserve"> treatment (filled triangles, dashed line) and in control plants (filled circles, solid line).  </w:t>
      </w:r>
      <w:r w:rsidRPr="000B5E14">
        <w:rPr>
          <w:rFonts w:ascii="Cambria" w:hAnsi="Cambria" w:cs="ArialMT"/>
          <w:sz w:val="20"/>
          <w:szCs w:val="20"/>
          <w:lang w:val="en-US"/>
        </w:rPr>
        <w:t xml:space="preserve">Data are expressed in </w:t>
      </w:r>
      <w:proofErr w:type="spellStart"/>
      <w:r w:rsidRPr="000B5E14">
        <w:rPr>
          <w:rFonts w:ascii="Cambria" w:hAnsi="Cambria" w:cs="ArialMT"/>
          <w:sz w:val="20"/>
          <w:szCs w:val="20"/>
          <w:lang w:val="en-US"/>
        </w:rPr>
        <w:t>μmol</w:t>
      </w:r>
      <w:proofErr w:type="spellEnd"/>
      <w:r w:rsidRPr="000B5E14">
        <w:rPr>
          <w:rFonts w:ascii="Cambria" w:hAnsi="Cambria" w:cs="ArialMT"/>
          <w:sz w:val="20"/>
          <w:szCs w:val="20"/>
          <w:lang w:val="en-US"/>
        </w:rPr>
        <w:t xml:space="preserve"> glucose equivalents per g carbohydrate-corrected dry weight (CCDW).  </w:t>
      </w:r>
      <w:r w:rsidRPr="000B5E14">
        <w:rPr>
          <w:sz w:val="20"/>
          <w:szCs w:val="20"/>
        </w:rPr>
        <w:t xml:space="preserve">Data show </w:t>
      </w:r>
      <w:r w:rsidRPr="000B5E14">
        <w:rPr>
          <w:rFonts w:ascii="Cambria" w:hAnsi="Cambria"/>
          <w:sz w:val="20"/>
          <w:szCs w:val="20"/>
        </w:rPr>
        <w:t xml:space="preserve">mean </w:t>
      </w:r>
      <w:r w:rsidRPr="000B5E14">
        <w:rPr>
          <w:rFonts w:ascii="Cambria" w:hAnsi="Cambria" w:cs="font652"/>
          <w:sz w:val="20"/>
          <w:szCs w:val="20"/>
          <w:lang w:val="en-US"/>
        </w:rPr>
        <w:t>± SE (n=3).</w:t>
      </w:r>
    </w:p>
    <w:p w14:paraId="35407D82" w14:textId="77777777" w:rsidR="00DF4522" w:rsidRDefault="00DF4522" w:rsidP="00DF4522">
      <w:pPr>
        <w:jc w:val="both"/>
        <w:rPr>
          <w:rFonts w:ascii="Cambria" w:hAnsi="Cambria" w:cs="font652"/>
          <w:sz w:val="20"/>
          <w:szCs w:val="20"/>
          <w:lang w:val="en-US"/>
        </w:rPr>
      </w:pPr>
    </w:p>
    <w:p w14:paraId="061BC0EB" w14:textId="77777777" w:rsidR="00DF4522" w:rsidRDefault="00DF4522" w:rsidP="00DF4522">
      <w:pPr>
        <w:jc w:val="both"/>
        <w:rPr>
          <w:rFonts w:ascii="Cambria" w:hAnsi="Cambria" w:cs="font652"/>
          <w:sz w:val="20"/>
          <w:szCs w:val="20"/>
          <w:lang w:val="en-US"/>
        </w:rPr>
      </w:pPr>
    </w:p>
    <w:p w14:paraId="71C49EEE" w14:textId="77777777" w:rsidR="00DF4522" w:rsidRPr="000B5E14" w:rsidRDefault="00DF4522" w:rsidP="00DF4522">
      <w:pPr>
        <w:jc w:val="both"/>
        <w:rPr>
          <w:rFonts w:ascii="Cambria" w:hAnsi="Cambria" w:cs="font652"/>
          <w:sz w:val="20"/>
          <w:szCs w:val="20"/>
          <w:lang w:val="en-US"/>
        </w:rPr>
      </w:pPr>
    </w:p>
    <w:p w14:paraId="1F120D12" w14:textId="77777777" w:rsidR="00DF4522" w:rsidRDefault="00DF4522" w:rsidP="00DF4522">
      <w:pPr>
        <w:spacing w:line="360" w:lineRule="auto"/>
        <w:jc w:val="both"/>
        <w:rPr>
          <w:rFonts w:ascii="Cambria" w:hAnsi="Cambria"/>
        </w:rPr>
      </w:pPr>
      <w:r>
        <w:rPr>
          <w:b/>
          <w:noProof/>
          <w:lang w:val="en-US"/>
        </w:rPr>
        <w:drawing>
          <wp:anchor distT="0" distB="0" distL="114300" distR="114300" simplePos="0" relativeHeight="251732992" behindDoc="0" locked="0" layoutInCell="1" allowOverlap="1" wp14:anchorId="166A62BB" wp14:editId="0A5A4B3F">
            <wp:simplePos x="0" y="0"/>
            <wp:positionH relativeFrom="column">
              <wp:posOffset>934720</wp:posOffset>
            </wp:positionH>
            <wp:positionV relativeFrom="paragraph">
              <wp:posOffset>96520</wp:posOffset>
            </wp:positionV>
            <wp:extent cx="3637280" cy="2732405"/>
            <wp:effectExtent l="0" t="0" r="0" b="10795"/>
            <wp:wrapThrough wrapText="bothSides">
              <wp:wrapPolygon edited="0">
                <wp:start x="0" y="0"/>
                <wp:lineTo x="0" y="21485"/>
                <wp:lineTo x="21419" y="21485"/>
                <wp:lineTo x="21419" y="0"/>
                <wp:lineTo x="0" y="0"/>
              </wp:wrapPolygon>
            </wp:wrapThrough>
            <wp:docPr id="24" name="Picture 24" descr="Macintosh HD:Users:angelawhite:Dropbox:University of Sheffield:Publishing:Thesis:Chapter 2 Defoliation and CO2:Figures:Elevated CO2 prote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gelawhite:Dropbox:University of Sheffield:Publishing:Thesis:Chapter 2 Defoliation and CO2:Figures:Elevated CO2 protein.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37280" cy="2732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C21B7" w14:textId="77777777" w:rsidR="00DF4522" w:rsidRDefault="00DF4522" w:rsidP="00DF4522">
      <w:pPr>
        <w:spacing w:line="360" w:lineRule="auto"/>
        <w:jc w:val="both"/>
        <w:rPr>
          <w:rFonts w:ascii="Cambria" w:hAnsi="Cambria"/>
        </w:rPr>
      </w:pPr>
    </w:p>
    <w:p w14:paraId="24F62979" w14:textId="77777777" w:rsidR="00DF4522" w:rsidRDefault="00DF4522" w:rsidP="00DF4522">
      <w:pPr>
        <w:spacing w:line="360" w:lineRule="auto"/>
        <w:jc w:val="both"/>
        <w:rPr>
          <w:rFonts w:ascii="Cambria" w:hAnsi="Cambria"/>
        </w:rPr>
      </w:pPr>
    </w:p>
    <w:p w14:paraId="12A1BF15" w14:textId="77777777" w:rsidR="00DF4522" w:rsidRDefault="00DF4522" w:rsidP="00DF4522">
      <w:pPr>
        <w:spacing w:line="360" w:lineRule="auto"/>
        <w:jc w:val="both"/>
        <w:rPr>
          <w:rFonts w:ascii="Cambria" w:hAnsi="Cambria"/>
        </w:rPr>
      </w:pPr>
    </w:p>
    <w:p w14:paraId="622C3DFA" w14:textId="77777777" w:rsidR="00DF4522" w:rsidRDefault="00DF4522" w:rsidP="00DF4522">
      <w:pPr>
        <w:spacing w:line="360" w:lineRule="auto"/>
        <w:jc w:val="both"/>
        <w:rPr>
          <w:rFonts w:ascii="Cambria" w:hAnsi="Cambria"/>
        </w:rPr>
      </w:pPr>
    </w:p>
    <w:p w14:paraId="5652863F" w14:textId="77777777" w:rsidR="00DF4522" w:rsidRDefault="00DF4522" w:rsidP="00DF4522">
      <w:pPr>
        <w:spacing w:line="360" w:lineRule="auto"/>
        <w:jc w:val="both"/>
        <w:rPr>
          <w:rFonts w:ascii="Cambria" w:hAnsi="Cambria"/>
        </w:rPr>
      </w:pPr>
    </w:p>
    <w:p w14:paraId="36F50457" w14:textId="77777777" w:rsidR="00DF4522" w:rsidRDefault="00DF4522" w:rsidP="00DF4522">
      <w:pPr>
        <w:spacing w:line="360" w:lineRule="auto"/>
        <w:jc w:val="both"/>
        <w:rPr>
          <w:rFonts w:ascii="Cambria" w:hAnsi="Cambria"/>
        </w:rPr>
      </w:pPr>
    </w:p>
    <w:p w14:paraId="70B45532" w14:textId="77777777" w:rsidR="00DF4522" w:rsidRDefault="00DF4522" w:rsidP="00DF4522">
      <w:pPr>
        <w:spacing w:line="360" w:lineRule="auto"/>
        <w:jc w:val="both"/>
        <w:rPr>
          <w:rFonts w:ascii="Cambria" w:hAnsi="Cambria"/>
        </w:rPr>
      </w:pPr>
    </w:p>
    <w:p w14:paraId="513545F7" w14:textId="77777777" w:rsidR="00DF4522" w:rsidRDefault="00DF4522" w:rsidP="00DF4522">
      <w:pPr>
        <w:spacing w:line="360" w:lineRule="auto"/>
        <w:jc w:val="both"/>
        <w:rPr>
          <w:rFonts w:ascii="Cambria" w:hAnsi="Cambria"/>
        </w:rPr>
      </w:pPr>
    </w:p>
    <w:p w14:paraId="03C9F6AA" w14:textId="77777777" w:rsidR="00DF4522" w:rsidRDefault="00DF4522" w:rsidP="00DF4522">
      <w:pPr>
        <w:spacing w:line="360" w:lineRule="auto"/>
        <w:jc w:val="both"/>
        <w:rPr>
          <w:rFonts w:ascii="Cambria" w:hAnsi="Cambria"/>
        </w:rPr>
      </w:pPr>
    </w:p>
    <w:p w14:paraId="76089ABE" w14:textId="77777777" w:rsidR="00DF4522" w:rsidRDefault="00DF4522" w:rsidP="00DF4522">
      <w:pPr>
        <w:spacing w:line="360" w:lineRule="auto"/>
        <w:jc w:val="both"/>
        <w:rPr>
          <w:rFonts w:ascii="Cambria" w:hAnsi="Cambria"/>
        </w:rPr>
      </w:pPr>
    </w:p>
    <w:p w14:paraId="432553B3" w14:textId="77777777" w:rsidR="00DF4522" w:rsidRPr="00967F33" w:rsidRDefault="00DF4522" w:rsidP="00DF4522">
      <w:pPr>
        <w:jc w:val="both"/>
        <w:rPr>
          <w:rFonts w:ascii="Cambria" w:hAnsi="Cambria" w:cs="font652"/>
          <w:sz w:val="20"/>
          <w:szCs w:val="20"/>
          <w:lang w:val="en-US"/>
        </w:rPr>
      </w:pPr>
      <w:r w:rsidRPr="00967F33">
        <w:rPr>
          <w:b/>
          <w:sz w:val="20"/>
          <w:szCs w:val="20"/>
        </w:rPr>
        <w:t xml:space="preserve">Figure 6.  </w:t>
      </w:r>
      <w:r w:rsidRPr="00967F33">
        <w:rPr>
          <w:sz w:val="20"/>
          <w:szCs w:val="20"/>
        </w:rPr>
        <w:t>Protein concentration in leaf tissue decreases over time and is not higher in plants exposed to a two-week elevated CO</w:t>
      </w:r>
      <w:r w:rsidRPr="00967F33">
        <w:rPr>
          <w:sz w:val="20"/>
          <w:szCs w:val="20"/>
          <w:vertAlign w:val="subscript"/>
        </w:rPr>
        <w:t>2</w:t>
      </w:r>
      <w:r w:rsidRPr="00967F33">
        <w:rPr>
          <w:sz w:val="20"/>
          <w:szCs w:val="20"/>
        </w:rPr>
        <w:t xml:space="preserve"> treatment (filled triangles, dashed line) than in control plants (filled circles, solid line).  </w:t>
      </w:r>
      <w:r w:rsidRPr="00967F33">
        <w:rPr>
          <w:rFonts w:ascii="Cambria" w:hAnsi="Cambria" w:cs="ArialMT"/>
          <w:sz w:val="20"/>
          <w:szCs w:val="20"/>
          <w:lang w:val="en-US"/>
        </w:rPr>
        <w:t xml:space="preserve">Data are expressed in g protein per g carbohydrate-corrected dry weight (CCDW).  </w:t>
      </w:r>
      <w:r w:rsidRPr="00967F33">
        <w:rPr>
          <w:sz w:val="20"/>
          <w:szCs w:val="20"/>
        </w:rPr>
        <w:t xml:space="preserve">Data show </w:t>
      </w:r>
      <w:r w:rsidRPr="00967F33">
        <w:rPr>
          <w:rFonts w:ascii="Cambria" w:hAnsi="Cambria"/>
          <w:sz w:val="20"/>
          <w:szCs w:val="20"/>
        </w:rPr>
        <w:t xml:space="preserve">mean </w:t>
      </w:r>
      <w:r w:rsidRPr="00967F33">
        <w:rPr>
          <w:rFonts w:ascii="Cambria" w:hAnsi="Cambria" w:cs="font652"/>
          <w:sz w:val="20"/>
          <w:szCs w:val="20"/>
          <w:lang w:val="en-US"/>
        </w:rPr>
        <w:t>± SE (n=3).</w:t>
      </w:r>
    </w:p>
    <w:p w14:paraId="0A08CA6E" w14:textId="77777777" w:rsidR="00DF4522" w:rsidRDefault="00DF4522" w:rsidP="00DF4522">
      <w:pPr>
        <w:spacing w:line="360" w:lineRule="auto"/>
        <w:jc w:val="both"/>
        <w:rPr>
          <w:rFonts w:ascii="Cambria" w:hAnsi="Cambria"/>
        </w:rPr>
      </w:pPr>
    </w:p>
    <w:p w14:paraId="0E4A8D9E" w14:textId="77777777" w:rsidR="00DF4522" w:rsidRDefault="00DF4522" w:rsidP="00DF4522">
      <w:pPr>
        <w:spacing w:line="360" w:lineRule="auto"/>
        <w:jc w:val="both"/>
        <w:rPr>
          <w:rFonts w:ascii="Cambria" w:hAnsi="Cambria"/>
        </w:rPr>
      </w:pPr>
    </w:p>
    <w:p w14:paraId="5D27ADF4" w14:textId="77777777" w:rsidR="00DF4522" w:rsidRPr="00531789" w:rsidRDefault="00DF4522" w:rsidP="00DF4522">
      <w:pPr>
        <w:spacing w:line="360" w:lineRule="auto"/>
        <w:jc w:val="both"/>
        <w:rPr>
          <w:rFonts w:ascii="Cambria" w:hAnsi="Cambria"/>
          <w:b/>
        </w:rPr>
      </w:pPr>
      <w:r w:rsidRPr="00531789">
        <w:rPr>
          <w:rFonts w:ascii="Cambria" w:hAnsi="Cambria"/>
          <w:b/>
        </w:rPr>
        <w:t>Partial defoliation</w:t>
      </w:r>
    </w:p>
    <w:p w14:paraId="56495563" w14:textId="77777777" w:rsidR="00DF4522" w:rsidRDefault="00DF4522" w:rsidP="00DF4522">
      <w:pPr>
        <w:spacing w:line="360" w:lineRule="auto"/>
        <w:jc w:val="both"/>
        <w:rPr>
          <w:rFonts w:ascii="Cambria" w:hAnsi="Cambria"/>
        </w:rPr>
      </w:pPr>
    </w:p>
    <w:p w14:paraId="565D9872" w14:textId="77777777" w:rsidR="00DF4522" w:rsidRDefault="00DF4522" w:rsidP="00DF4522">
      <w:pPr>
        <w:spacing w:line="360" w:lineRule="auto"/>
        <w:jc w:val="both"/>
        <w:rPr>
          <w:rFonts w:ascii="Cambria" w:hAnsi="Cambria"/>
        </w:rPr>
      </w:pPr>
      <w:r w:rsidRPr="00531789">
        <w:rPr>
          <w:rFonts w:ascii="Cambria" w:hAnsi="Cambria"/>
        </w:rPr>
        <w:t>Contrary to the hypothesis that defoliation would increase photosynthesis, especially earlier in development, defoliation does not affect photosynthetic activity or capacity in the remaining leaves (Fig. 7).  Differentials of four parameters were obtained by subtracting the value after defoliation from the value before defoliation for each individual.  These parameters are: steady state light-saturated net photosynthesis under ambient conditions, at the start of the A/</w:t>
      </w:r>
      <w:proofErr w:type="spellStart"/>
      <w:r w:rsidRPr="00531789">
        <w:rPr>
          <w:rFonts w:ascii="Cambria" w:hAnsi="Cambria"/>
        </w:rPr>
        <w:t>C</w:t>
      </w:r>
      <w:r w:rsidRPr="00531789">
        <w:rPr>
          <w:rFonts w:ascii="Cambria" w:hAnsi="Cambria"/>
          <w:vertAlign w:val="subscript"/>
        </w:rPr>
        <w:t>i</w:t>
      </w:r>
      <w:proofErr w:type="spellEnd"/>
      <w:r w:rsidRPr="00531789">
        <w:rPr>
          <w:rFonts w:ascii="Cambria" w:hAnsi="Cambria"/>
        </w:rPr>
        <w:t xml:space="preserve"> curve (Fig. 7A); steady state </w:t>
      </w:r>
      <w:proofErr w:type="spellStart"/>
      <w:r w:rsidRPr="00531789">
        <w:rPr>
          <w:rFonts w:ascii="Cambria" w:hAnsi="Cambria"/>
        </w:rPr>
        <w:t>stomatal</w:t>
      </w:r>
      <w:proofErr w:type="spellEnd"/>
      <w:r w:rsidRPr="00531789">
        <w:rPr>
          <w:rFonts w:ascii="Cambria" w:hAnsi="Cambria"/>
        </w:rPr>
        <w:t xml:space="preserve"> conductance at the start of the A/</w:t>
      </w:r>
      <w:proofErr w:type="spellStart"/>
      <w:r w:rsidRPr="00531789">
        <w:rPr>
          <w:rFonts w:ascii="Cambria" w:hAnsi="Cambria"/>
        </w:rPr>
        <w:t>C</w:t>
      </w:r>
      <w:r w:rsidRPr="00531789">
        <w:rPr>
          <w:rFonts w:ascii="Cambria" w:hAnsi="Cambria"/>
          <w:vertAlign w:val="subscript"/>
        </w:rPr>
        <w:t>i</w:t>
      </w:r>
      <w:proofErr w:type="spellEnd"/>
      <w:r w:rsidRPr="00531789">
        <w:rPr>
          <w:rFonts w:ascii="Cambria" w:hAnsi="Cambria"/>
        </w:rPr>
        <w:t xml:space="preserve"> curve (Fig. 7B); maximum carboxylation capacity of </w:t>
      </w:r>
      <w:proofErr w:type="spellStart"/>
      <w:r w:rsidRPr="00531789">
        <w:rPr>
          <w:rFonts w:ascii="Cambria" w:hAnsi="Cambria"/>
        </w:rPr>
        <w:t>Rubisco</w:t>
      </w:r>
      <w:proofErr w:type="spellEnd"/>
      <w:r w:rsidRPr="00531789">
        <w:rPr>
          <w:rFonts w:ascii="Cambria" w:hAnsi="Cambria"/>
        </w:rPr>
        <w:t xml:space="preserve"> (</w:t>
      </w:r>
      <w:proofErr w:type="spellStart"/>
      <w:r w:rsidRPr="00531789">
        <w:rPr>
          <w:rFonts w:ascii="Cambria" w:hAnsi="Cambria"/>
        </w:rPr>
        <w:t>V</w:t>
      </w:r>
      <w:r w:rsidRPr="00531789">
        <w:rPr>
          <w:rFonts w:ascii="Cambria" w:hAnsi="Cambria"/>
          <w:vertAlign w:val="subscript"/>
        </w:rPr>
        <w:t>c,max</w:t>
      </w:r>
      <w:proofErr w:type="spellEnd"/>
      <w:r w:rsidRPr="00531789">
        <w:rPr>
          <w:rFonts w:ascii="Cambria" w:hAnsi="Cambria"/>
        </w:rPr>
        <w:t>) modelled from the curve (Fig. 7C) and electron transport capacity (</w:t>
      </w:r>
      <w:proofErr w:type="spellStart"/>
      <w:r w:rsidRPr="00531789">
        <w:rPr>
          <w:rFonts w:ascii="Cambria" w:hAnsi="Cambria"/>
        </w:rPr>
        <w:t>J</w:t>
      </w:r>
      <w:r w:rsidRPr="00531789">
        <w:rPr>
          <w:rFonts w:ascii="Cambria" w:hAnsi="Cambria"/>
          <w:vertAlign w:val="subscript"/>
        </w:rPr>
        <w:t>max</w:t>
      </w:r>
      <w:proofErr w:type="spellEnd"/>
      <w:r w:rsidRPr="00531789">
        <w:rPr>
          <w:rFonts w:ascii="Cambria" w:hAnsi="Cambria"/>
        </w:rPr>
        <w:t xml:space="preserve">) modelled from the curve (Fig. 7D). </w:t>
      </w:r>
    </w:p>
    <w:p w14:paraId="5FAE3351" w14:textId="77777777" w:rsidR="00DF4522" w:rsidRPr="00EA5A0C" w:rsidRDefault="00DF4522" w:rsidP="00DF4522">
      <w:pPr>
        <w:spacing w:line="360" w:lineRule="auto"/>
        <w:jc w:val="both"/>
        <w:rPr>
          <w:rFonts w:ascii="Cambria" w:hAnsi="Cambria"/>
          <w:sz w:val="12"/>
          <w:szCs w:val="12"/>
        </w:rPr>
      </w:pPr>
    </w:p>
    <w:p w14:paraId="38F38577" w14:textId="77777777" w:rsidR="00DF4522" w:rsidRDefault="00DF4522" w:rsidP="00DF4522">
      <w:pPr>
        <w:spacing w:line="360" w:lineRule="auto"/>
        <w:jc w:val="both"/>
        <w:rPr>
          <w:rFonts w:ascii="Cambria" w:hAnsi="Cambria"/>
        </w:rPr>
      </w:pPr>
      <w:r w:rsidRPr="00177E77">
        <w:rPr>
          <w:b/>
          <w:noProof/>
          <w:lang w:val="en-US"/>
        </w:rPr>
        <w:drawing>
          <wp:inline distT="0" distB="0" distL="0" distR="0" wp14:anchorId="450562EA" wp14:editId="7AB0793B">
            <wp:extent cx="2514600" cy="1888987"/>
            <wp:effectExtent l="0" t="0" r="0" b="0"/>
            <wp:docPr id="25" name="Picture 25" descr="Macintosh HD:Users:angelawhite:Dropbox:University of Sheffield:Publishing:Thesis:Chapter 2 Defoliation and CO2:Figures:Defoliation diff.aam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angelawhite:Dropbox:University of Sheffield:Publishing:Thesis:Chapter 2 Defoliation and CO2:Figures:Defoliation diff.aamb.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14860" cy="1889182"/>
                    </a:xfrm>
                    <a:prstGeom prst="rect">
                      <a:avLst/>
                    </a:prstGeom>
                    <a:noFill/>
                    <a:ln>
                      <a:noFill/>
                    </a:ln>
                  </pic:spPr>
                </pic:pic>
              </a:graphicData>
            </a:graphic>
          </wp:inline>
        </w:drawing>
      </w:r>
      <w:r>
        <w:rPr>
          <w:b/>
          <w:noProof/>
          <w:lang w:val="en-US"/>
        </w:rPr>
        <w:drawing>
          <wp:inline distT="0" distB="0" distL="0" distR="0" wp14:anchorId="5F27BE8C" wp14:editId="12C5F347">
            <wp:extent cx="2515033" cy="1889312"/>
            <wp:effectExtent l="0" t="0" r="0" b="0"/>
            <wp:docPr id="26" name="Picture 26" descr="Macintosh HD:Users:angelawhite:Dropbox:University of Sheffield:Publishing:Thesis:Chapter 2 Defoliation and CO2:Figures:Defoliation diff.gsam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angelawhite:Dropbox:University of Sheffield:Publishing:Thesis:Chapter 2 Defoliation and CO2:Figures:Defoliation diff.gsamb.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15033" cy="1889312"/>
                    </a:xfrm>
                    <a:prstGeom prst="rect">
                      <a:avLst/>
                    </a:prstGeom>
                    <a:noFill/>
                    <a:ln>
                      <a:noFill/>
                    </a:ln>
                  </pic:spPr>
                </pic:pic>
              </a:graphicData>
            </a:graphic>
          </wp:inline>
        </w:drawing>
      </w:r>
      <w:r>
        <w:rPr>
          <w:b/>
          <w:noProof/>
          <w:lang w:val="en-US"/>
        </w:rPr>
        <w:drawing>
          <wp:inline distT="0" distB="0" distL="0" distR="0" wp14:anchorId="4F12AC48" wp14:editId="1A68168F">
            <wp:extent cx="2515033" cy="1889312"/>
            <wp:effectExtent l="0" t="0" r="0" b="0"/>
            <wp:docPr id="27" name="Picture 27" descr="Macintosh HD:Users:angelawhite:Dropbox:University of Sheffield:Publishing:Thesis:Chapter 2 Defoliation and CO2:Figures:Defoliation diff.Vcma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angelawhite:Dropbox:University of Sheffield:Publishing:Thesis:Chapter 2 Defoliation and CO2:Figures:Defoliation diff.Vcmax.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15033" cy="1889312"/>
                    </a:xfrm>
                    <a:prstGeom prst="rect">
                      <a:avLst/>
                    </a:prstGeom>
                    <a:noFill/>
                    <a:ln>
                      <a:noFill/>
                    </a:ln>
                  </pic:spPr>
                </pic:pic>
              </a:graphicData>
            </a:graphic>
          </wp:inline>
        </w:drawing>
      </w:r>
      <w:r>
        <w:rPr>
          <w:rFonts w:ascii="Cambria" w:hAnsi="Cambria"/>
        </w:rPr>
        <w:t xml:space="preserve">     </w:t>
      </w:r>
      <w:r>
        <w:rPr>
          <w:b/>
          <w:noProof/>
          <w:lang w:val="en-US"/>
        </w:rPr>
        <w:drawing>
          <wp:inline distT="0" distB="0" distL="0" distR="0" wp14:anchorId="26361B9B" wp14:editId="04CDD0DE">
            <wp:extent cx="2514600" cy="1888987"/>
            <wp:effectExtent l="0" t="0" r="0" b="0"/>
            <wp:docPr id="28" name="Picture 28" descr="Macintosh HD:Users:angelawhite:Dropbox:University of Sheffield:Publishing:Thesis:Chapter 2 Defoliation and CO2:Figures:Defoliation diff.Jma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ngelawhite:Dropbox:University of Sheffield:Publishing:Thesis:Chapter 2 Defoliation and CO2:Figures:Defoliation diff.Jmax.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14600" cy="1888987"/>
                    </a:xfrm>
                    <a:prstGeom prst="rect">
                      <a:avLst/>
                    </a:prstGeom>
                    <a:noFill/>
                    <a:ln>
                      <a:noFill/>
                    </a:ln>
                  </pic:spPr>
                </pic:pic>
              </a:graphicData>
            </a:graphic>
          </wp:inline>
        </w:drawing>
      </w:r>
      <w:r>
        <w:rPr>
          <w:rFonts w:ascii="Cambria" w:hAnsi="Cambria"/>
        </w:rPr>
        <w:t xml:space="preserve">  </w:t>
      </w:r>
    </w:p>
    <w:p w14:paraId="7153F44E" w14:textId="77777777" w:rsidR="00DF4522" w:rsidRDefault="00DF4522" w:rsidP="00DF4522">
      <w:pPr>
        <w:jc w:val="both"/>
        <w:rPr>
          <w:rFonts w:ascii="Cambria" w:hAnsi="Cambria"/>
        </w:rPr>
      </w:pPr>
      <w:r w:rsidRPr="00AA70DE">
        <w:rPr>
          <w:b/>
          <w:sz w:val="20"/>
          <w:szCs w:val="20"/>
        </w:rPr>
        <w:t xml:space="preserve">Figure 7.  </w:t>
      </w:r>
      <w:r w:rsidRPr="00AA70DE">
        <w:rPr>
          <w:sz w:val="20"/>
          <w:szCs w:val="20"/>
        </w:rPr>
        <w:t>Defoliation has no effect on photosynthetic parameters obtained from A/</w:t>
      </w:r>
      <w:proofErr w:type="spellStart"/>
      <w:r w:rsidRPr="00AA70DE">
        <w:rPr>
          <w:sz w:val="20"/>
          <w:szCs w:val="20"/>
        </w:rPr>
        <w:t>C</w:t>
      </w:r>
      <w:r w:rsidRPr="00AA70DE">
        <w:rPr>
          <w:sz w:val="20"/>
          <w:szCs w:val="20"/>
          <w:vertAlign w:val="subscript"/>
        </w:rPr>
        <w:t>i</w:t>
      </w:r>
      <w:proofErr w:type="spellEnd"/>
      <w:r w:rsidRPr="00AA70DE">
        <w:rPr>
          <w:sz w:val="20"/>
          <w:szCs w:val="20"/>
        </w:rPr>
        <w:t xml:space="preserve"> curves, in plants exposed to a </w:t>
      </w:r>
      <w:r w:rsidRPr="00AA70DE">
        <w:rPr>
          <w:rFonts w:ascii="Cambria" w:hAnsi="Cambria"/>
          <w:sz w:val="20"/>
          <w:szCs w:val="20"/>
        </w:rPr>
        <w:t>1-week defoliation treatment (hollow circles, dashed line) in comparison with control plants (filled circles, solid line)</w:t>
      </w:r>
      <w:r w:rsidRPr="00AA70DE">
        <w:rPr>
          <w:sz w:val="20"/>
          <w:szCs w:val="20"/>
        </w:rPr>
        <w:t xml:space="preserve">.  A, net photosynthesis recorded at the start of the curve; B, </w:t>
      </w:r>
      <w:proofErr w:type="spellStart"/>
      <w:r w:rsidRPr="00AA70DE">
        <w:rPr>
          <w:sz w:val="20"/>
          <w:szCs w:val="20"/>
        </w:rPr>
        <w:t>stomatal</w:t>
      </w:r>
      <w:proofErr w:type="spellEnd"/>
      <w:r w:rsidRPr="00AA70DE">
        <w:rPr>
          <w:sz w:val="20"/>
          <w:szCs w:val="20"/>
        </w:rPr>
        <w:t xml:space="preserve"> conductance recorded at the start of the curve; C, maximum carboxylation efficiency of </w:t>
      </w:r>
      <w:proofErr w:type="spellStart"/>
      <w:r w:rsidRPr="00AA70DE">
        <w:rPr>
          <w:sz w:val="20"/>
          <w:szCs w:val="20"/>
        </w:rPr>
        <w:t>Rubisco</w:t>
      </w:r>
      <w:proofErr w:type="spellEnd"/>
      <w:r w:rsidRPr="00AA70DE">
        <w:rPr>
          <w:sz w:val="20"/>
          <w:szCs w:val="20"/>
        </w:rPr>
        <w:t xml:space="preserve">, </w:t>
      </w:r>
      <w:proofErr w:type="spellStart"/>
      <w:r w:rsidRPr="00AA70DE">
        <w:rPr>
          <w:sz w:val="20"/>
          <w:szCs w:val="20"/>
        </w:rPr>
        <w:t>V</w:t>
      </w:r>
      <w:r w:rsidRPr="00AA70DE">
        <w:rPr>
          <w:sz w:val="20"/>
          <w:szCs w:val="20"/>
          <w:vertAlign w:val="subscript"/>
        </w:rPr>
        <w:t>c,max</w:t>
      </w:r>
      <w:proofErr w:type="spellEnd"/>
      <w:r w:rsidRPr="00AA70DE">
        <w:rPr>
          <w:sz w:val="20"/>
          <w:szCs w:val="20"/>
        </w:rPr>
        <w:t>,</w:t>
      </w:r>
      <w:r w:rsidRPr="00AA70DE">
        <w:rPr>
          <w:sz w:val="20"/>
          <w:szCs w:val="20"/>
          <w:vertAlign w:val="subscript"/>
        </w:rPr>
        <w:t xml:space="preserve"> </w:t>
      </w:r>
      <w:r w:rsidRPr="00AA70DE">
        <w:rPr>
          <w:sz w:val="20"/>
          <w:szCs w:val="20"/>
        </w:rPr>
        <w:t xml:space="preserve">modelled from the curve; D, electron transport capacity, </w:t>
      </w:r>
      <w:proofErr w:type="spellStart"/>
      <w:r w:rsidRPr="00AA70DE">
        <w:rPr>
          <w:sz w:val="20"/>
          <w:szCs w:val="20"/>
        </w:rPr>
        <w:t>J</w:t>
      </w:r>
      <w:r w:rsidRPr="00AA70DE">
        <w:rPr>
          <w:sz w:val="20"/>
          <w:szCs w:val="20"/>
          <w:vertAlign w:val="subscript"/>
        </w:rPr>
        <w:t>max</w:t>
      </w:r>
      <w:proofErr w:type="spellEnd"/>
      <w:r w:rsidRPr="00AA70DE">
        <w:rPr>
          <w:sz w:val="20"/>
          <w:szCs w:val="20"/>
        </w:rPr>
        <w:t>, modelled from the curve.  For each parameter the differential is shown: value after defoliation was subtracted from value before defoliation for each individual.  A/</w:t>
      </w:r>
      <w:proofErr w:type="spellStart"/>
      <w:r w:rsidRPr="00AA70DE">
        <w:rPr>
          <w:sz w:val="20"/>
          <w:szCs w:val="20"/>
        </w:rPr>
        <w:t>C</w:t>
      </w:r>
      <w:r w:rsidRPr="00AA70DE">
        <w:rPr>
          <w:sz w:val="20"/>
          <w:szCs w:val="20"/>
          <w:vertAlign w:val="subscript"/>
        </w:rPr>
        <w:t>i</w:t>
      </w:r>
      <w:proofErr w:type="spellEnd"/>
      <w:r w:rsidRPr="00AA70DE">
        <w:rPr>
          <w:sz w:val="20"/>
          <w:szCs w:val="20"/>
        </w:rPr>
        <w:t xml:space="preserve"> curves were performed during the day before defoliation was imposed and again the day before harvest.  For plants at 10 weeks old, only steady state light saturated ambient measurements of net photosynthesis and </w:t>
      </w:r>
      <w:proofErr w:type="spellStart"/>
      <w:r w:rsidRPr="00AA70DE">
        <w:rPr>
          <w:sz w:val="20"/>
          <w:szCs w:val="20"/>
        </w:rPr>
        <w:t>stomatal</w:t>
      </w:r>
      <w:proofErr w:type="spellEnd"/>
      <w:r w:rsidRPr="00AA70DE">
        <w:rPr>
          <w:sz w:val="20"/>
          <w:szCs w:val="20"/>
        </w:rPr>
        <w:t xml:space="preserve"> conductance were measured, since no curves could be performed.  </w:t>
      </w:r>
      <w:r w:rsidRPr="00AA70DE">
        <w:rPr>
          <w:rFonts w:ascii="Cambria" w:hAnsi="Cambria"/>
          <w:sz w:val="20"/>
          <w:szCs w:val="20"/>
        </w:rPr>
        <w:t xml:space="preserve">Data show mean </w:t>
      </w:r>
      <w:r w:rsidRPr="00AA70DE">
        <w:rPr>
          <w:rFonts w:ascii="Cambria" w:hAnsi="Cambria" w:cs="font652"/>
          <w:sz w:val="20"/>
          <w:szCs w:val="20"/>
          <w:lang w:val="en-US"/>
        </w:rPr>
        <w:t>± SE (n=3).</w:t>
      </w:r>
    </w:p>
    <w:p w14:paraId="3CD03884" w14:textId="77777777" w:rsidR="00DF4522" w:rsidRPr="00531789" w:rsidRDefault="00DF4522" w:rsidP="00DF4522">
      <w:pPr>
        <w:spacing w:line="360" w:lineRule="auto"/>
        <w:jc w:val="both"/>
        <w:rPr>
          <w:rFonts w:ascii="Cambria" w:hAnsi="Cambria"/>
        </w:rPr>
      </w:pPr>
      <w:r w:rsidRPr="00531789">
        <w:rPr>
          <w:rFonts w:ascii="Cambria" w:hAnsi="Cambria"/>
        </w:rPr>
        <w:t xml:space="preserve">Defoliation and harvest time have no main effects on these parameters, and whilst there is a treatment x harvest interaction for </w:t>
      </w:r>
      <w:proofErr w:type="spellStart"/>
      <w:r w:rsidRPr="00531789">
        <w:rPr>
          <w:rFonts w:ascii="Cambria" w:hAnsi="Cambria"/>
        </w:rPr>
        <w:t>stomatal</w:t>
      </w:r>
      <w:proofErr w:type="spellEnd"/>
      <w:r w:rsidRPr="00531789">
        <w:rPr>
          <w:rFonts w:ascii="Cambria" w:hAnsi="Cambria"/>
        </w:rPr>
        <w:t xml:space="preserve"> conductance (F</w:t>
      </w:r>
      <w:r w:rsidRPr="00531789">
        <w:rPr>
          <w:rFonts w:ascii="Cambria" w:hAnsi="Cambria"/>
          <w:vertAlign w:val="subscript"/>
        </w:rPr>
        <w:t>(1,14)</w:t>
      </w:r>
      <w:r>
        <w:rPr>
          <w:rFonts w:ascii="Cambria" w:hAnsi="Cambria"/>
        </w:rPr>
        <w:t xml:space="preserve"> = 7.46, p</w:t>
      </w:r>
      <w:r w:rsidRPr="00531789">
        <w:rPr>
          <w:rFonts w:ascii="Cambria" w:hAnsi="Cambria"/>
        </w:rPr>
        <w:t xml:space="preserve">&lt;0.05), with lower </w:t>
      </w:r>
      <w:proofErr w:type="spellStart"/>
      <w:r w:rsidRPr="00531789">
        <w:rPr>
          <w:rFonts w:ascii="Cambria" w:hAnsi="Cambria"/>
        </w:rPr>
        <w:t>stomatal</w:t>
      </w:r>
      <w:proofErr w:type="spellEnd"/>
      <w:r w:rsidRPr="00531789">
        <w:rPr>
          <w:rFonts w:ascii="Cambria" w:hAnsi="Cambria"/>
        </w:rPr>
        <w:t xml:space="preserve"> conductance in defoliated plants compared to controls 10 weeks after germination, there are no treatment x harvest interacti</w:t>
      </w:r>
      <w:r>
        <w:rPr>
          <w:rFonts w:ascii="Cambria" w:hAnsi="Cambria"/>
        </w:rPr>
        <w:t>ons for net photosynthesis (p&gt;</w:t>
      </w:r>
      <w:r w:rsidRPr="00531789">
        <w:rPr>
          <w:rFonts w:ascii="Cambria" w:hAnsi="Cambria"/>
        </w:rPr>
        <w:t xml:space="preserve">0.1), </w:t>
      </w:r>
      <w:proofErr w:type="spellStart"/>
      <w:r w:rsidRPr="00531789">
        <w:rPr>
          <w:rFonts w:ascii="Cambria" w:hAnsi="Cambria"/>
        </w:rPr>
        <w:t>V</w:t>
      </w:r>
      <w:r w:rsidRPr="00531789">
        <w:rPr>
          <w:rFonts w:ascii="Cambria" w:hAnsi="Cambria"/>
          <w:vertAlign w:val="subscript"/>
        </w:rPr>
        <w:t>c,max</w:t>
      </w:r>
      <w:proofErr w:type="spellEnd"/>
      <w:r>
        <w:rPr>
          <w:rFonts w:ascii="Cambria" w:hAnsi="Cambria"/>
        </w:rPr>
        <w:t xml:space="preserve"> (p&gt;</w:t>
      </w:r>
      <w:r w:rsidRPr="00531789">
        <w:rPr>
          <w:rFonts w:ascii="Cambria" w:hAnsi="Cambria"/>
        </w:rPr>
        <w:t xml:space="preserve">0.8) or </w:t>
      </w:r>
      <w:proofErr w:type="spellStart"/>
      <w:r w:rsidRPr="00531789">
        <w:rPr>
          <w:rFonts w:ascii="Cambria" w:hAnsi="Cambria"/>
        </w:rPr>
        <w:t>J</w:t>
      </w:r>
      <w:r w:rsidRPr="00531789">
        <w:rPr>
          <w:rFonts w:ascii="Cambria" w:hAnsi="Cambria"/>
          <w:vertAlign w:val="subscript"/>
        </w:rPr>
        <w:t>max</w:t>
      </w:r>
      <w:proofErr w:type="spellEnd"/>
      <w:r>
        <w:rPr>
          <w:rFonts w:ascii="Cambria" w:hAnsi="Cambria"/>
        </w:rPr>
        <w:t xml:space="preserve"> (p</w:t>
      </w:r>
      <w:r w:rsidRPr="00531789">
        <w:rPr>
          <w:rFonts w:ascii="Cambria" w:hAnsi="Cambria"/>
        </w:rPr>
        <w:t xml:space="preserve">&gt;0.8).  </w:t>
      </w:r>
    </w:p>
    <w:p w14:paraId="1B14F440" w14:textId="77777777" w:rsidR="00DF4522" w:rsidRPr="00531789" w:rsidRDefault="00DF4522" w:rsidP="00DF4522">
      <w:pPr>
        <w:spacing w:line="360" w:lineRule="auto"/>
        <w:jc w:val="both"/>
        <w:rPr>
          <w:rFonts w:ascii="Cambria" w:hAnsi="Cambria"/>
        </w:rPr>
      </w:pPr>
    </w:p>
    <w:p w14:paraId="0DEAFBFE" w14:textId="77777777" w:rsidR="00DF4522" w:rsidRDefault="00DF4522" w:rsidP="00DF4522">
      <w:pPr>
        <w:spacing w:line="360" w:lineRule="auto"/>
        <w:jc w:val="both"/>
        <w:rPr>
          <w:rFonts w:ascii="Cambria" w:hAnsi="Cambria"/>
        </w:rPr>
      </w:pPr>
      <w:r w:rsidRPr="00531789">
        <w:rPr>
          <w:rFonts w:ascii="Cambria" w:hAnsi="Cambria"/>
        </w:rPr>
        <w:t>Net photosynthesis measured in control plants the day before harvest (Fig. 8) does decrease during development (F</w:t>
      </w:r>
      <w:r w:rsidRPr="00531789">
        <w:rPr>
          <w:rFonts w:ascii="Cambria" w:hAnsi="Cambria"/>
          <w:vertAlign w:val="subscript"/>
        </w:rPr>
        <w:t>(1,7)</w:t>
      </w:r>
      <w:r w:rsidRPr="00531789">
        <w:rPr>
          <w:rFonts w:ascii="Cambria" w:hAnsi="Cambria"/>
        </w:rPr>
        <w:t xml:space="preserve"> = 53.23, p&lt;0.001), but plant age does not affect </w:t>
      </w:r>
      <w:proofErr w:type="spellStart"/>
      <w:r w:rsidRPr="00531789">
        <w:rPr>
          <w:rFonts w:ascii="Cambria" w:hAnsi="Cambria"/>
        </w:rPr>
        <w:t>stomatal</w:t>
      </w:r>
      <w:proofErr w:type="spellEnd"/>
      <w:r w:rsidRPr="00531789">
        <w:rPr>
          <w:rFonts w:ascii="Cambria" w:hAnsi="Cambria"/>
        </w:rPr>
        <w:t xml:space="preserve"> conductance, </w:t>
      </w:r>
      <w:proofErr w:type="spellStart"/>
      <w:r w:rsidRPr="00531789">
        <w:rPr>
          <w:rFonts w:ascii="Cambria" w:hAnsi="Cambria"/>
        </w:rPr>
        <w:t>V</w:t>
      </w:r>
      <w:r w:rsidRPr="00531789">
        <w:rPr>
          <w:rFonts w:ascii="Cambria" w:hAnsi="Cambria"/>
          <w:vertAlign w:val="subscript"/>
        </w:rPr>
        <w:t>c,max</w:t>
      </w:r>
      <w:proofErr w:type="spellEnd"/>
      <w:r w:rsidRPr="00531789">
        <w:rPr>
          <w:rFonts w:ascii="Cambria" w:hAnsi="Cambria"/>
          <w:vertAlign w:val="subscript"/>
        </w:rPr>
        <w:t xml:space="preserve"> </w:t>
      </w:r>
      <w:r w:rsidRPr="00531789">
        <w:rPr>
          <w:rFonts w:ascii="Cambria" w:hAnsi="Cambria"/>
        </w:rPr>
        <w:t xml:space="preserve">or </w:t>
      </w:r>
      <w:proofErr w:type="spellStart"/>
      <w:r w:rsidRPr="00531789">
        <w:rPr>
          <w:rFonts w:ascii="Cambria" w:hAnsi="Cambria"/>
        </w:rPr>
        <w:t>J</w:t>
      </w:r>
      <w:r w:rsidRPr="00531789">
        <w:rPr>
          <w:rFonts w:ascii="Cambria" w:hAnsi="Cambria"/>
          <w:vertAlign w:val="subscript"/>
        </w:rPr>
        <w:t>max</w:t>
      </w:r>
      <w:proofErr w:type="spellEnd"/>
      <w:r w:rsidRPr="00531789">
        <w:rPr>
          <w:rFonts w:ascii="Cambria" w:hAnsi="Cambria"/>
          <w:vertAlign w:val="subscript"/>
        </w:rPr>
        <w:t xml:space="preserve"> </w:t>
      </w:r>
      <w:r w:rsidRPr="00531789">
        <w:rPr>
          <w:rFonts w:ascii="Cambria" w:hAnsi="Cambria"/>
        </w:rPr>
        <w:t>for these plants.</w:t>
      </w:r>
    </w:p>
    <w:p w14:paraId="0AD1F05B" w14:textId="77777777" w:rsidR="00DF4522" w:rsidRPr="00531789" w:rsidRDefault="00DF4522" w:rsidP="00DF4522">
      <w:pPr>
        <w:spacing w:line="360" w:lineRule="auto"/>
        <w:jc w:val="both"/>
        <w:rPr>
          <w:rFonts w:ascii="Cambria" w:hAnsi="Cambria"/>
        </w:rPr>
      </w:pPr>
    </w:p>
    <w:p w14:paraId="32FE8590" w14:textId="77777777" w:rsidR="00DF4522" w:rsidRDefault="00DF4522" w:rsidP="00DF4522">
      <w:pPr>
        <w:spacing w:line="360" w:lineRule="auto"/>
        <w:jc w:val="both"/>
        <w:rPr>
          <w:rFonts w:ascii="Cambria" w:hAnsi="Cambria"/>
        </w:rPr>
      </w:pPr>
      <w:r>
        <w:rPr>
          <w:b/>
          <w:noProof/>
          <w:lang w:val="en-US"/>
        </w:rPr>
        <w:drawing>
          <wp:anchor distT="0" distB="0" distL="114300" distR="114300" simplePos="0" relativeHeight="251734016" behindDoc="0" locked="0" layoutInCell="1" allowOverlap="1" wp14:anchorId="66D29A08" wp14:editId="386C0664">
            <wp:simplePos x="0" y="0"/>
            <wp:positionH relativeFrom="column">
              <wp:posOffset>914400</wp:posOffset>
            </wp:positionH>
            <wp:positionV relativeFrom="paragraph">
              <wp:posOffset>102870</wp:posOffset>
            </wp:positionV>
            <wp:extent cx="3543300" cy="2661285"/>
            <wp:effectExtent l="0" t="0" r="12700" b="5715"/>
            <wp:wrapThrough wrapText="bothSides">
              <wp:wrapPolygon edited="0">
                <wp:start x="0" y="0"/>
                <wp:lineTo x="0" y="21440"/>
                <wp:lineTo x="21523" y="21440"/>
                <wp:lineTo x="21523" y="0"/>
                <wp:lineTo x="0" y="0"/>
              </wp:wrapPolygon>
            </wp:wrapThrough>
            <wp:docPr id="29" name="Picture 29" descr="Macintosh HD:Users:angelawhite:Dropbox:University of Sheffield:Publishing:Thesis:Chapter 2 Defoliation and CO2:Figures:Defoliation baseline.aam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angelawhite:Dropbox:University of Sheffield:Publishing:Thesis:Chapter 2 Defoliation and CO2:Figures:Defoliation baseline.aamb.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43300" cy="2661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56A91F" w14:textId="77777777" w:rsidR="00DF4522" w:rsidRDefault="00DF4522" w:rsidP="00DF4522">
      <w:pPr>
        <w:spacing w:line="360" w:lineRule="auto"/>
        <w:jc w:val="both"/>
        <w:rPr>
          <w:rFonts w:ascii="Cambria" w:hAnsi="Cambria"/>
        </w:rPr>
      </w:pPr>
    </w:p>
    <w:p w14:paraId="3CA2F2DD" w14:textId="77777777" w:rsidR="00DF4522" w:rsidRDefault="00DF4522" w:rsidP="00DF4522">
      <w:pPr>
        <w:spacing w:line="360" w:lineRule="auto"/>
        <w:jc w:val="both"/>
        <w:rPr>
          <w:rFonts w:ascii="Cambria" w:hAnsi="Cambria"/>
        </w:rPr>
      </w:pPr>
    </w:p>
    <w:p w14:paraId="524BD1A4" w14:textId="77777777" w:rsidR="00DF4522" w:rsidRDefault="00DF4522" w:rsidP="00DF4522">
      <w:pPr>
        <w:spacing w:line="360" w:lineRule="auto"/>
        <w:jc w:val="both"/>
        <w:rPr>
          <w:rFonts w:ascii="Cambria" w:hAnsi="Cambria"/>
        </w:rPr>
      </w:pPr>
    </w:p>
    <w:p w14:paraId="41B653C0" w14:textId="77777777" w:rsidR="00DF4522" w:rsidRDefault="00DF4522" w:rsidP="00DF4522">
      <w:pPr>
        <w:spacing w:line="360" w:lineRule="auto"/>
        <w:jc w:val="both"/>
        <w:rPr>
          <w:rFonts w:ascii="Cambria" w:hAnsi="Cambria"/>
        </w:rPr>
      </w:pPr>
    </w:p>
    <w:p w14:paraId="0AB7B80E" w14:textId="77777777" w:rsidR="00DF4522" w:rsidRDefault="00DF4522" w:rsidP="00DF4522">
      <w:pPr>
        <w:spacing w:line="360" w:lineRule="auto"/>
        <w:jc w:val="both"/>
        <w:rPr>
          <w:rFonts w:ascii="Cambria" w:hAnsi="Cambria"/>
        </w:rPr>
      </w:pPr>
    </w:p>
    <w:p w14:paraId="451CB99E" w14:textId="77777777" w:rsidR="00DF4522" w:rsidRDefault="00DF4522" w:rsidP="00DF4522">
      <w:pPr>
        <w:spacing w:line="360" w:lineRule="auto"/>
        <w:jc w:val="both"/>
        <w:rPr>
          <w:rFonts w:ascii="Cambria" w:hAnsi="Cambria"/>
        </w:rPr>
      </w:pPr>
    </w:p>
    <w:p w14:paraId="7A09B5A4" w14:textId="77777777" w:rsidR="00DF4522" w:rsidRDefault="00DF4522" w:rsidP="00DF4522">
      <w:pPr>
        <w:spacing w:line="360" w:lineRule="auto"/>
        <w:jc w:val="both"/>
        <w:rPr>
          <w:rFonts w:ascii="Cambria" w:hAnsi="Cambria"/>
        </w:rPr>
      </w:pPr>
    </w:p>
    <w:p w14:paraId="618A4D36" w14:textId="77777777" w:rsidR="00DF4522" w:rsidRDefault="00DF4522" w:rsidP="00DF4522">
      <w:pPr>
        <w:spacing w:line="360" w:lineRule="auto"/>
        <w:jc w:val="both"/>
        <w:rPr>
          <w:rFonts w:ascii="Cambria" w:hAnsi="Cambria"/>
        </w:rPr>
      </w:pPr>
    </w:p>
    <w:p w14:paraId="11C0FB8B" w14:textId="77777777" w:rsidR="00DF4522" w:rsidRDefault="00DF4522" w:rsidP="00DF4522">
      <w:pPr>
        <w:spacing w:line="360" w:lineRule="auto"/>
        <w:jc w:val="both"/>
        <w:rPr>
          <w:rFonts w:ascii="Cambria" w:hAnsi="Cambria"/>
        </w:rPr>
      </w:pPr>
    </w:p>
    <w:p w14:paraId="337EBEB1" w14:textId="77777777" w:rsidR="00DF4522" w:rsidRDefault="00DF4522" w:rsidP="00DF4522">
      <w:pPr>
        <w:spacing w:line="360" w:lineRule="auto"/>
        <w:jc w:val="both"/>
        <w:rPr>
          <w:rFonts w:ascii="Cambria" w:hAnsi="Cambria"/>
        </w:rPr>
      </w:pPr>
    </w:p>
    <w:p w14:paraId="206652D0" w14:textId="77777777" w:rsidR="00DF4522" w:rsidRPr="000C3AB1" w:rsidRDefault="00DF4522" w:rsidP="00DF4522">
      <w:pPr>
        <w:jc w:val="both"/>
        <w:rPr>
          <w:rFonts w:ascii="Cambria" w:hAnsi="Cambria" w:cs="font652"/>
          <w:sz w:val="20"/>
          <w:szCs w:val="20"/>
          <w:lang w:val="en-US"/>
        </w:rPr>
      </w:pPr>
      <w:r w:rsidRPr="000C3AB1">
        <w:rPr>
          <w:b/>
          <w:sz w:val="20"/>
          <w:szCs w:val="20"/>
        </w:rPr>
        <w:t xml:space="preserve">Figure 8. </w:t>
      </w:r>
      <w:r w:rsidRPr="000C3AB1">
        <w:rPr>
          <w:sz w:val="20"/>
          <w:szCs w:val="20"/>
        </w:rPr>
        <w:t>Light-saturated net photosynthesis under ambient CO</w:t>
      </w:r>
      <w:r w:rsidRPr="000C3AB1">
        <w:rPr>
          <w:sz w:val="20"/>
          <w:szCs w:val="20"/>
          <w:vertAlign w:val="subscript"/>
        </w:rPr>
        <w:t>2</w:t>
      </w:r>
      <w:r w:rsidRPr="000C3AB1">
        <w:rPr>
          <w:sz w:val="20"/>
          <w:szCs w:val="20"/>
        </w:rPr>
        <w:t xml:space="preserve"> in control plants decreases across the three harvests.  Data shown are from A/</w:t>
      </w:r>
      <w:proofErr w:type="spellStart"/>
      <w:r w:rsidRPr="000C3AB1">
        <w:rPr>
          <w:sz w:val="20"/>
          <w:szCs w:val="20"/>
        </w:rPr>
        <w:t>C</w:t>
      </w:r>
      <w:r w:rsidRPr="000C3AB1">
        <w:rPr>
          <w:sz w:val="20"/>
          <w:szCs w:val="20"/>
          <w:vertAlign w:val="subscript"/>
        </w:rPr>
        <w:t>i</w:t>
      </w:r>
      <w:proofErr w:type="spellEnd"/>
      <w:r w:rsidRPr="000C3AB1">
        <w:rPr>
          <w:sz w:val="20"/>
          <w:szCs w:val="20"/>
        </w:rPr>
        <w:t xml:space="preserve"> curves carried out the day before harvest.  </w:t>
      </w:r>
      <w:r w:rsidRPr="000C3AB1">
        <w:rPr>
          <w:rFonts w:ascii="Cambria" w:hAnsi="Cambria"/>
          <w:sz w:val="20"/>
          <w:szCs w:val="20"/>
        </w:rPr>
        <w:t xml:space="preserve">Data show mean </w:t>
      </w:r>
      <w:r w:rsidRPr="000C3AB1">
        <w:rPr>
          <w:rFonts w:ascii="Cambria" w:hAnsi="Cambria" w:cs="font652"/>
          <w:sz w:val="20"/>
          <w:szCs w:val="20"/>
          <w:lang w:val="en-US"/>
        </w:rPr>
        <w:t>± SE (n=3).</w:t>
      </w:r>
    </w:p>
    <w:p w14:paraId="1083A61F" w14:textId="77777777" w:rsidR="00DF4522" w:rsidRPr="000C3AB1" w:rsidRDefault="00DF4522" w:rsidP="00DF4522">
      <w:pPr>
        <w:jc w:val="both"/>
        <w:rPr>
          <w:sz w:val="20"/>
          <w:szCs w:val="20"/>
        </w:rPr>
      </w:pPr>
    </w:p>
    <w:p w14:paraId="25889B5A" w14:textId="77777777" w:rsidR="00DF4522" w:rsidRDefault="00DF4522" w:rsidP="00DF4522">
      <w:pPr>
        <w:spacing w:line="360" w:lineRule="auto"/>
        <w:jc w:val="both"/>
        <w:rPr>
          <w:rFonts w:ascii="Cambria" w:hAnsi="Cambria"/>
        </w:rPr>
      </w:pPr>
    </w:p>
    <w:p w14:paraId="04BC85FE" w14:textId="77777777" w:rsidR="00DF4522" w:rsidRDefault="00DF4522" w:rsidP="00DF4522">
      <w:pPr>
        <w:spacing w:line="360" w:lineRule="auto"/>
        <w:jc w:val="both"/>
        <w:rPr>
          <w:rFonts w:ascii="Cambria" w:hAnsi="Cambria"/>
        </w:rPr>
      </w:pPr>
    </w:p>
    <w:p w14:paraId="4F6D20E3" w14:textId="77777777" w:rsidR="00DF4522" w:rsidRPr="00531789" w:rsidRDefault="00DF4522" w:rsidP="00DF4522">
      <w:pPr>
        <w:spacing w:line="360" w:lineRule="auto"/>
        <w:jc w:val="both"/>
        <w:rPr>
          <w:rFonts w:ascii="Cambria" w:hAnsi="Cambria"/>
        </w:rPr>
      </w:pPr>
      <w:r w:rsidRPr="00531789">
        <w:rPr>
          <w:rFonts w:ascii="Cambria" w:hAnsi="Cambria"/>
        </w:rPr>
        <w:t>Contrary to predictions, defoliation does not affect TNC in the remaining leaves (Fig. 9).  As with the elevated CO</w:t>
      </w:r>
      <w:r w:rsidRPr="00531789">
        <w:rPr>
          <w:rFonts w:ascii="Cambria" w:hAnsi="Cambria"/>
          <w:vertAlign w:val="subscript"/>
        </w:rPr>
        <w:t>2</w:t>
      </w:r>
      <w:r w:rsidRPr="00531789">
        <w:rPr>
          <w:rFonts w:ascii="Cambria" w:hAnsi="Cambria"/>
        </w:rPr>
        <w:t xml:space="preserve"> plants, leaf TNC (Fig. 9) and protein (Fig. 10) decreases significantly in defoliated plants over time (for TNC, F</w:t>
      </w:r>
      <w:r w:rsidRPr="00531789">
        <w:rPr>
          <w:rFonts w:ascii="Cambria" w:hAnsi="Cambria"/>
          <w:vertAlign w:val="subscript"/>
        </w:rPr>
        <w:t>(2,12)</w:t>
      </w:r>
      <w:r w:rsidRPr="00531789">
        <w:rPr>
          <w:rFonts w:ascii="Cambria" w:hAnsi="Cambria"/>
        </w:rPr>
        <w:t xml:space="preserve"> = 59.87, p&lt;0.001; for protein, F</w:t>
      </w:r>
      <w:r w:rsidRPr="00531789">
        <w:rPr>
          <w:rFonts w:ascii="Cambria" w:hAnsi="Cambria"/>
          <w:vertAlign w:val="subscript"/>
        </w:rPr>
        <w:t>(2,12)</w:t>
      </w:r>
      <w:r w:rsidRPr="00531789">
        <w:rPr>
          <w:rFonts w:ascii="Cambria" w:hAnsi="Cambria"/>
        </w:rPr>
        <w:t xml:space="preserve"> = 26.37, p&lt;0.001).  </w:t>
      </w:r>
      <w:proofErr w:type="spellStart"/>
      <w:r w:rsidRPr="00531789">
        <w:rPr>
          <w:rFonts w:ascii="Cambria" w:hAnsi="Cambria"/>
        </w:rPr>
        <w:t>Hexose:sucrose</w:t>
      </w:r>
      <w:proofErr w:type="spellEnd"/>
      <w:r w:rsidRPr="00531789">
        <w:rPr>
          <w:rFonts w:ascii="Cambria" w:hAnsi="Cambria"/>
        </w:rPr>
        <w:t xml:space="preserve"> ratio increases over time (Fig. 11), but whilst the harvest time effect is significant (F</w:t>
      </w:r>
      <w:r w:rsidRPr="00531789">
        <w:rPr>
          <w:rFonts w:ascii="Cambria" w:hAnsi="Cambria"/>
          <w:vertAlign w:val="subscript"/>
        </w:rPr>
        <w:t>(2,12)</w:t>
      </w:r>
      <w:r w:rsidRPr="00531789">
        <w:rPr>
          <w:rFonts w:ascii="Cambria" w:hAnsi="Cambria"/>
        </w:rPr>
        <w:t xml:space="preserve"> = 35.26, p&lt;0.001) there is no treatment effect.</w:t>
      </w:r>
    </w:p>
    <w:p w14:paraId="28938679" w14:textId="77777777" w:rsidR="00DF4522" w:rsidRDefault="00DF4522" w:rsidP="00DF4522">
      <w:pPr>
        <w:spacing w:line="360" w:lineRule="auto"/>
        <w:jc w:val="both"/>
        <w:rPr>
          <w:rFonts w:ascii="Cambria" w:hAnsi="Cambria"/>
        </w:rPr>
      </w:pPr>
    </w:p>
    <w:p w14:paraId="3E9A99E9" w14:textId="77777777" w:rsidR="00DF4522" w:rsidRDefault="00DF4522" w:rsidP="00DF4522">
      <w:pPr>
        <w:spacing w:line="360" w:lineRule="auto"/>
        <w:jc w:val="both"/>
        <w:rPr>
          <w:rFonts w:ascii="Cambria" w:hAnsi="Cambria"/>
        </w:rPr>
      </w:pPr>
    </w:p>
    <w:p w14:paraId="4C0F6433" w14:textId="77777777" w:rsidR="00DF4522" w:rsidRDefault="00DF4522" w:rsidP="00DF4522">
      <w:pPr>
        <w:spacing w:line="360" w:lineRule="auto"/>
        <w:jc w:val="both"/>
        <w:rPr>
          <w:rFonts w:ascii="Cambria" w:hAnsi="Cambria"/>
        </w:rPr>
      </w:pPr>
    </w:p>
    <w:p w14:paraId="0583C93B" w14:textId="77777777" w:rsidR="00DF4522" w:rsidRDefault="00DF4522" w:rsidP="00DF4522">
      <w:pPr>
        <w:spacing w:line="360" w:lineRule="auto"/>
        <w:jc w:val="both"/>
        <w:rPr>
          <w:rFonts w:ascii="Cambria" w:hAnsi="Cambria"/>
        </w:rPr>
      </w:pPr>
    </w:p>
    <w:p w14:paraId="2BCB8199" w14:textId="77777777" w:rsidR="00DF4522" w:rsidRPr="00531789" w:rsidRDefault="00DF4522" w:rsidP="00DF4522">
      <w:pPr>
        <w:spacing w:line="360" w:lineRule="auto"/>
        <w:jc w:val="both"/>
        <w:rPr>
          <w:rFonts w:ascii="Cambria" w:hAnsi="Cambria"/>
        </w:rPr>
      </w:pPr>
      <w:r>
        <w:rPr>
          <w:b/>
          <w:noProof/>
          <w:lang w:val="en-US"/>
        </w:rPr>
        <w:drawing>
          <wp:anchor distT="0" distB="0" distL="114300" distR="114300" simplePos="0" relativeHeight="251735040" behindDoc="0" locked="0" layoutInCell="1" allowOverlap="1" wp14:anchorId="233DE9DF" wp14:editId="1941C4B0">
            <wp:simplePos x="0" y="0"/>
            <wp:positionH relativeFrom="column">
              <wp:posOffset>800100</wp:posOffset>
            </wp:positionH>
            <wp:positionV relativeFrom="paragraph">
              <wp:posOffset>-114300</wp:posOffset>
            </wp:positionV>
            <wp:extent cx="3543300" cy="2661285"/>
            <wp:effectExtent l="0" t="0" r="12700" b="5715"/>
            <wp:wrapThrough wrapText="bothSides">
              <wp:wrapPolygon edited="0">
                <wp:start x="0" y="0"/>
                <wp:lineTo x="0" y="21440"/>
                <wp:lineTo x="21523" y="21440"/>
                <wp:lineTo x="21523" y="0"/>
                <wp:lineTo x="0" y="0"/>
              </wp:wrapPolygon>
            </wp:wrapThrough>
            <wp:docPr id="30" name="Picture 30" descr="Macintosh HD:Users:angelawhite:Dropbox:University of Sheffield:Publishing:Thesis:Chapter 2 Defoliation and CO2:Figures:Defoliation T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angelawhite:Dropbox:University of Sheffield:Publishing:Thesis:Chapter 2 Defoliation and CO2:Figures:Defoliation TNC.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43300" cy="2661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37A805" w14:textId="77777777" w:rsidR="00DF4522" w:rsidRDefault="00DF4522" w:rsidP="00DF4522">
      <w:pPr>
        <w:spacing w:line="360" w:lineRule="auto"/>
        <w:jc w:val="both"/>
        <w:rPr>
          <w:rFonts w:ascii="Cambria" w:hAnsi="Cambria"/>
        </w:rPr>
      </w:pPr>
    </w:p>
    <w:p w14:paraId="27358EB3" w14:textId="77777777" w:rsidR="00DF4522" w:rsidRDefault="00DF4522" w:rsidP="00DF4522">
      <w:pPr>
        <w:spacing w:line="360" w:lineRule="auto"/>
        <w:jc w:val="both"/>
        <w:rPr>
          <w:rFonts w:ascii="Cambria" w:hAnsi="Cambria"/>
        </w:rPr>
      </w:pPr>
    </w:p>
    <w:p w14:paraId="4CB03C6C" w14:textId="77777777" w:rsidR="00DF4522" w:rsidRDefault="00DF4522" w:rsidP="00DF4522">
      <w:pPr>
        <w:spacing w:line="360" w:lineRule="auto"/>
        <w:jc w:val="both"/>
        <w:rPr>
          <w:rFonts w:ascii="Cambria" w:hAnsi="Cambria"/>
        </w:rPr>
      </w:pPr>
    </w:p>
    <w:p w14:paraId="200ADB72" w14:textId="77777777" w:rsidR="00DF4522" w:rsidRDefault="00DF4522" w:rsidP="00DF4522">
      <w:pPr>
        <w:spacing w:line="360" w:lineRule="auto"/>
        <w:jc w:val="both"/>
        <w:rPr>
          <w:rFonts w:ascii="Cambria" w:hAnsi="Cambria"/>
        </w:rPr>
      </w:pPr>
    </w:p>
    <w:p w14:paraId="5B916095" w14:textId="77777777" w:rsidR="00DF4522" w:rsidRDefault="00DF4522" w:rsidP="00DF4522">
      <w:pPr>
        <w:spacing w:line="360" w:lineRule="auto"/>
        <w:jc w:val="both"/>
        <w:rPr>
          <w:rFonts w:ascii="Cambria" w:hAnsi="Cambria"/>
        </w:rPr>
      </w:pPr>
    </w:p>
    <w:p w14:paraId="7333087F" w14:textId="77777777" w:rsidR="00DF4522" w:rsidRDefault="00DF4522" w:rsidP="00DF4522">
      <w:pPr>
        <w:spacing w:line="360" w:lineRule="auto"/>
        <w:jc w:val="both"/>
        <w:rPr>
          <w:rFonts w:ascii="Cambria" w:hAnsi="Cambria"/>
        </w:rPr>
      </w:pPr>
    </w:p>
    <w:p w14:paraId="07D9DE36" w14:textId="77777777" w:rsidR="00DF4522" w:rsidRDefault="00DF4522" w:rsidP="00DF4522">
      <w:pPr>
        <w:spacing w:line="360" w:lineRule="auto"/>
        <w:jc w:val="both"/>
        <w:rPr>
          <w:rFonts w:ascii="Cambria" w:hAnsi="Cambria"/>
        </w:rPr>
      </w:pPr>
    </w:p>
    <w:p w14:paraId="4C2E6AA6" w14:textId="77777777" w:rsidR="00DF4522" w:rsidRDefault="00DF4522" w:rsidP="00DF4522">
      <w:pPr>
        <w:spacing w:line="360" w:lineRule="auto"/>
        <w:jc w:val="both"/>
        <w:rPr>
          <w:rFonts w:ascii="Cambria" w:hAnsi="Cambria"/>
        </w:rPr>
      </w:pPr>
    </w:p>
    <w:p w14:paraId="2BBE4284" w14:textId="77777777" w:rsidR="00DF4522" w:rsidRDefault="00DF4522" w:rsidP="00DF4522">
      <w:pPr>
        <w:spacing w:line="360" w:lineRule="auto"/>
        <w:jc w:val="both"/>
        <w:rPr>
          <w:rFonts w:ascii="Cambria" w:hAnsi="Cambria"/>
        </w:rPr>
      </w:pPr>
    </w:p>
    <w:p w14:paraId="3D0A7E1F" w14:textId="77777777" w:rsidR="00DF4522" w:rsidRPr="00740FCA" w:rsidRDefault="00DF4522" w:rsidP="00DF4522">
      <w:pPr>
        <w:jc w:val="both"/>
        <w:rPr>
          <w:rFonts w:ascii="Cambria" w:hAnsi="Cambria" w:cs="font652"/>
          <w:sz w:val="20"/>
          <w:szCs w:val="20"/>
          <w:lang w:val="en-US"/>
        </w:rPr>
      </w:pPr>
      <w:r w:rsidRPr="00740FCA">
        <w:rPr>
          <w:b/>
          <w:sz w:val="20"/>
          <w:szCs w:val="20"/>
        </w:rPr>
        <w:t xml:space="preserve">Figure 9.  </w:t>
      </w:r>
      <w:r w:rsidRPr="00740FCA">
        <w:rPr>
          <w:sz w:val="20"/>
          <w:szCs w:val="20"/>
        </w:rPr>
        <w:t xml:space="preserve">Total non-structural </w:t>
      </w:r>
      <w:r w:rsidRPr="00740FCA">
        <w:rPr>
          <w:rFonts w:ascii="Cambria" w:hAnsi="Cambria"/>
          <w:sz w:val="20"/>
          <w:szCs w:val="20"/>
        </w:rPr>
        <w:t xml:space="preserve">carbohydrate (TNC) concentration in leaf tissue is no higher in plants exposed to defoliation (hollow circles, dashed line) than in control plants (filled circles, solid line).  TNC concentration decreases across the three harvests.  </w:t>
      </w:r>
      <w:r w:rsidRPr="00740FCA">
        <w:rPr>
          <w:rFonts w:ascii="Cambria" w:hAnsi="Cambria" w:cs="ArialMT"/>
          <w:sz w:val="20"/>
          <w:szCs w:val="20"/>
          <w:lang w:val="en-US"/>
        </w:rPr>
        <w:t xml:space="preserve">Data are expressed in mmol glucose equivalents per g carbohydrate-corrected dry weight (CCDW).  </w:t>
      </w:r>
      <w:r w:rsidRPr="00740FCA">
        <w:rPr>
          <w:rFonts w:ascii="Cambria" w:hAnsi="Cambria"/>
          <w:sz w:val="20"/>
          <w:szCs w:val="20"/>
        </w:rPr>
        <w:t xml:space="preserve">Data show mean </w:t>
      </w:r>
      <w:r w:rsidRPr="00740FCA">
        <w:rPr>
          <w:rFonts w:ascii="Cambria" w:hAnsi="Cambria" w:cs="font652"/>
          <w:sz w:val="20"/>
          <w:szCs w:val="20"/>
          <w:lang w:val="en-US"/>
        </w:rPr>
        <w:t>± SE (n=3).</w:t>
      </w:r>
    </w:p>
    <w:p w14:paraId="56953FA1" w14:textId="77777777" w:rsidR="00DF4522" w:rsidRDefault="00DF4522" w:rsidP="00DF4522">
      <w:pPr>
        <w:jc w:val="both"/>
        <w:rPr>
          <w:rFonts w:ascii="Cambria" w:hAnsi="Cambria" w:cs="font652"/>
          <w:sz w:val="20"/>
          <w:szCs w:val="20"/>
          <w:lang w:val="en-US"/>
        </w:rPr>
      </w:pPr>
    </w:p>
    <w:p w14:paraId="36B6F18F" w14:textId="77777777" w:rsidR="00DF4522" w:rsidRDefault="00DF4522" w:rsidP="00DF4522">
      <w:pPr>
        <w:jc w:val="both"/>
        <w:rPr>
          <w:rFonts w:ascii="Cambria" w:hAnsi="Cambria" w:cs="font652"/>
          <w:sz w:val="20"/>
          <w:szCs w:val="20"/>
          <w:lang w:val="en-US"/>
        </w:rPr>
      </w:pPr>
    </w:p>
    <w:p w14:paraId="235DCE46" w14:textId="77777777" w:rsidR="00DF4522" w:rsidRPr="00740FCA" w:rsidRDefault="00DF4522" w:rsidP="00DF4522">
      <w:pPr>
        <w:jc w:val="both"/>
        <w:rPr>
          <w:rFonts w:ascii="Cambria" w:hAnsi="Cambria" w:cs="font652"/>
          <w:sz w:val="20"/>
          <w:szCs w:val="20"/>
          <w:lang w:val="en-US"/>
        </w:rPr>
      </w:pPr>
    </w:p>
    <w:p w14:paraId="60BF064E" w14:textId="77777777" w:rsidR="00DF4522" w:rsidRDefault="00DF4522" w:rsidP="00DF4522">
      <w:pPr>
        <w:spacing w:line="360" w:lineRule="auto"/>
        <w:jc w:val="both"/>
        <w:rPr>
          <w:rFonts w:ascii="Cambria" w:hAnsi="Cambria"/>
        </w:rPr>
      </w:pPr>
      <w:r>
        <w:rPr>
          <w:b/>
          <w:noProof/>
          <w:lang w:val="en-US"/>
        </w:rPr>
        <w:drawing>
          <wp:anchor distT="0" distB="0" distL="114300" distR="114300" simplePos="0" relativeHeight="251736064" behindDoc="0" locked="0" layoutInCell="1" allowOverlap="1" wp14:anchorId="0B236204" wp14:editId="6773F144">
            <wp:simplePos x="0" y="0"/>
            <wp:positionH relativeFrom="column">
              <wp:posOffset>800100</wp:posOffset>
            </wp:positionH>
            <wp:positionV relativeFrom="paragraph">
              <wp:posOffset>198755</wp:posOffset>
            </wp:positionV>
            <wp:extent cx="3543300" cy="2661285"/>
            <wp:effectExtent l="0" t="0" r="12700" b="5715"/>
            <wp:wrapThrough wrapText="bothSides">
              <wp:wrapPolygon edited="0">
                <wp:start x="0" y="0"/>
                <wp:lineTo x="0" y="21440"/>
                <wp:lineTo x="21523" y="21440"/>
                <wp:lineTo x="21523" y="0"/>
                <wp:lineTo x="0" y="0"/>
              </wp:wrapPolygon>
            </wp:wrapThrough>
            <wp:docPr id="31" name="Picture 31" descr="Macintosh HD:Users:angelawhite:Dropbox:University of Sheffield:Publishing:Thesis:Chapter 2 Defoliation and CO2:Figures:Defoliation prote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angelawhite:Dropbox:University of Sheffield:Publishing:Thesis:Chapter 2 Defoliation and CO2:Figures:Defoliation protein.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43300" cy="2661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61C4FE" w14:textId="77777777" w:rsidR="00DF4522" w:rsidRDefault="00DF4522" w:rsidP="00DF4522">
      <w:pPr>
        <w:spacing w:line="360" w:lineRule="auto"/>
        <w:jc w:val="both"/>
        <w:rPr>
          <w:rFonts w:ascii="Cambria" w:hAnsi="Cambria"/>
        </w:rPr>
      </w:pPr>
    </w:p>
    <w:p w14:paraId="10CEF1E8" w14:textId="77777777" w:rsidR="00DF4522" w:rsidRDefault="00DF4522" w:rsidP="00DF4522">
      <w:pPr>
        <w:spacing w:line="360" w:lineRule="auto"/>
        <w:jc w:val="both"/>
        <w:rPr>
          <w:rFonts w:ascii="Cambria" w:hAnsi="Cambria"/>
        </w:rPr>
      </w:pPr>
    </w:p>
    <w:p w14:paraId="6E231C82" w14:textId="77777777" w:rsidR="00DF4522" w:rsidRDefault="00DF4522" w:rsidP="00DF4522">
      <w:pPr>
        <w:spacing w:line="360" w:lineRule="auto"/>
        <w:jc w:val="both"/>
        <w:rPr>
          <w:rFonts w:ascii="Cambria" w:hAnsi="Cambria"/>
        </w:rPr>
      </w:pPr>
    </w:p>
    <w:p w14:paraId="54098F27" w14:textId="77777777" w:rsidR="00DF4522" w:rsidRDefault="00DF4522" w:rsidP="00DF4522">
      <w:pPr>
        <w:spacing w:line="360" w:lineRule="auto"/>
        <w:jc w:val="both"/>
        <w:rPr>
          <w:rFonts w:ascii="Cambria" w:hAnsi="Cambria"/>
        </w:rPr>
      </w:pPr>
    </w:p>
    <w:p w14:paraId="0DC5A29D" w14:textId="77777777" w:rsidR="00DF4522" w:rsidRDefault="00DF4522" w:rsidP="00DF4522">
      <w:pPr>
        <w:spacing w:line="360" w:lineRule="auto"/>
        <w:jc w:val="both"/>
        <w:rPr>
          <w:rFonts w:ascii="Cambria" w:hAnsi="Cambria"/>
        </w:rPr>
      </w:pPr>
    </w:p>
    <w:p w14:paraId="71FC1389" w14:textId="77777777" w:rsidR="00DF4522" w:rsidRDefault="00DF4522" w:rsidP="00DF4522">
      <w:pPr>
        <w:spacing w:line="360" w:lineRule="auto"/>
        <w:jc w:val="both"/>
        <w:rPr>
          <w:rFonts w:ascii="Cambria" w:hAnsi="Cambria"/>
        </w:rPr>
      </w:pPr>
    </w:p>
    <w:p w14:paraId="6E8658F1" w14:textId="77777777" w:rsidR="00DF4522" w:rsidRDefault="00DF4522" w:rsidP="00DF4522">
      <w:pPr>
        <w:spacing w:line="360" w:lineRule="auto"/>
        <w:jc w:val="both"/>
        <w:rPr>
          <w:rFonts w:ascii="Cambria" w:hAnsi="Cambria"/>
        </w:rPr>
      </w:pPr>
    </w:p>
    <w:p w14:paraId="330EFE3A" w14:textId="77777777" w:rsidR="00DF4522" w:rsidRDefault="00DF4522" w:rsidP="00DF4522">
      <w:pPr>
        <w:spacing w:line="360" w:lineRule="auto"/>
        <w:jc w:val="both"/>
        <w:rPr>
          <w:rFonts w:ascii="Cambria" w:hAnsi="Cambria"/>
        </w:rPr>
      </w:pPr>
    </w:p>
    <w:p w14:paraId="613BC777" w14:textId="77777777" w:rsidR="00DF4522" w:rsidRPr="00C32502" w:rsidRDefault="00DF4522" w:rsidP="00DF4522">
      <w:pPr>
        <w:spacing w:line="360" w:lineRule="auto"/>
        <w:jc w:val="both"/>
        <w:rPr>
          <w:rFonts w:ascii="Cambria" w:hAnsi="Cambria"/>
          <w:sz w:val="20"/>
          <w:szCs w:val="20"/>
        </w:rPr>
      </w:pPr>
    </w:p>
    <w:p w14:paraId="4D601C9C" w14:textId="77777777" w:rsidR="00DF4522" w:rsidRPr="00C32502" w:rsidRDefault="00DF4522" w:rsidP="00DF4522">
      <w:pPr>
        <w:spacing w:line="360" w:lineRule="auto"/>
        <w:jc w:val="both"/>
        <w:rPr>
          <w:rFonts w:ascii="Cambria" w:hAnsi="Cambria"/>
          <w:sz w:val="20"/>
          <w:szCs w:val="20"/>
        </w:rPr>
      </w:pPr>
    </w:p>
    <w:p w14:paraId="7B367A97" w14:textId="77777777" w:rsidR="00DF4522" w:rsidRDefault="00DF4522" w:rsidP="00DF4522">
      <w:pPr>
        <w:jc w:val="both"/>
        <w:rPr>
          <w:b/>
          <w:sz w:val="20"/>
          <w:szCs w:val="20"/>
        </w:rPr>
      </w:pPr>
    </w:p>
    <w:p w14:paraId="7409DE99" w14:textId="77777777" w:rsidR="00DF4522" w:rsidRPr="00C32502" w:rsidRDefault="00DF4522" w:rsidP="00DF4522">
      <w:pPr>
        <w:jc w:val="both"/>
        <w:rPr>
          <w:rFonts w:ascii="Cambria" w:hAnsi="Cambria" w:cs="font652"/>
          <w:sz w:val="20"/>
          <w:szCs w:val="20"/>
          <w:lang w:val="en-US"/>
        </w:rPr>
      </w:pPr>
      <w:r w:rsidRPr="00C32502">
        <w:rPr>
          <w:b/>
          <w:sz w:val="20"/>
          <w:szCs w:val="20"/>
        </w:rPr>
        <w:t xml:space="preserve">Figure 10.  </w:t>
      </w:r>
      <w:r w:rsidRPr="00C32502">
        <w:rPr>
          <w:sz w:val="20"/>
          <w:szCs w:val="20"/>
        </w:rPr>
        <w:t xml:space="preserve">Protein concentration in leaf tissue decreases over time and is not higher in plants exposed to defoliation (hollow circles, dashed line) than in control plants (filled circles, solid line).  </w:t>
      </w:r>
      <w:r w:rsidRPr="00C32502">
        <w:rPr>
          <w:rFonts w:ascii="Cambria" w:hAnsi="Cambria" w:cs="ArialMT"/>
          <w:sz w:val="20"/>
          <w:szCs w:val="20"/>
          <w:lang w:val="en-US"/>
        </w:rPr>
        <w:t xml:space="preserve">Data are expressed in g protein per g carbohydrate-corrected dry weight (CCDW).  </w:t>
      </w:r>
      <w:r w:rsidRPr="00C32502">
        <w:rPr>
          <w:sz w:val="20"/>
          <w:szCs w:val="20"/>
        </w:rPr>
        <w:t xml:space="preserve">Data show </w:t>
      </w:r>
      <w:r w:rsidRPr="00C32502">
        <w:rPr>
          <w:rFonts w:ascii="Cambria" w:hAnsi="Cambria"/>
          <w:sz w:val="20"/>
          <w:szCs w:val="20"/>
        </w:rPr>
        <w:t xml:space="preserve">mean </w:t>
      </w:r>
      <w:r w:rsidRPr="00C32502">
        <w:rPr>
          <w:rFonts w:ascii="Cambria" w:hAnsi="Cambria" w:cs="font652"/>
          <w:sz w:val="20"/>
          <w:szCs w:val="20"/>
          <w:lang w:val="en-US"/>
        </w:rPr>
        <w:t>± SE (n=3).</w:t>
      </w:r>
    </w:p>
    <w:p w14:paraId="39AD9B94" w14:textId="77777777" w:rsidR="00DF4522" w:rsidRDefault="00DF4522" w:rsidP="00DF4522">
      <w:pPr>
        <w:jc w:val="both"/>
        <w:rPr>
          <w:b/>
        </w:rPr>
      </w:pPr>
    </w:p>
    <w:p w14:paraId="54364A51" w14:textId="77777777" w:rsidR="00DF4522" w:rsidRDefault="00DF4522" w:rsidP="00DF4522">
      <w:pPr>
        <w:spacing w:line="360" w:lineRule="auto"/>
        <w:jc w:val="both"/>
        <w:rPr>
          <w:rFonts w:ascii="Cambria" w:hAnsi="Cambria"/>
        </w:rPr>
      </w:pPr>
    </w:p>
    <w:p w14:paraId="41CDDF31" w14:textId="77777777" w:rsidR="00DF4522" w:rsidRDefault="00DF4522" w:rsidP="00DF4522">
      <w:pPr>
        <w:spacing w:line="360" w:lineRule="auto"/>
        <w:jc w:val="both"/>
        <w:rPr>
          <w:rFonts w:ascii="Cambria" w:hAnsi="Cambria"/>
        </w:rPr>
      </w:pPr>
    </w:p>
    <w:p w14:paraId="11F82582" w14:textId="77777777" w:rsidR="00DF4522" w:rsidRDefault="00DF4522" w:rsidP="00DF4522">
      <w:pPr>
        <w:spacing w:line="360" w:lineRule="auto"/>
        <w:jc w:val="both"/>
        <w:rPr>
          <w:rFonts w:ascii="Cambria" w:hAnsi="Cambria"/>
        </w:rPr>
      </w:pPr>
      <w:r>
        <w:rPr>
          <w:b/>
          <w:noProof/>
          <w:lang w:val="en-US"/>
        </w:rPr>
        <w:drawing>
          <wp:anchor distT="0" distB="0" distL="114300" distR="114300" simplePos="0" relativeHeight="251737088" behindDoc="0" locked="0" layoutInCell="1" allowOverlap="1" wp14:anchorId="65FBB849" wp14:editId="04D9A8A8">
            <wp:simplePos x="0" y="0"/>
            <wp:positionH relativeFrom="column">
              <wp:posOffset>914400</wp:posOffset>
            </wp:positionH>
            <wp:positionV relativeFrom="paragraph">
              <wp:posOffset>-228600</wp:posOffset>
            </wp:positionV>
            <wp:extent cx="3543300" cy="2661285"/>
            <wp:effectExtent l="0" t="0" r="12700" b="5715"/>
            <wp:wrapThrough wrapText="bothSides">
              <wp:wrapPolygon edited="0">
                <wp:start x="0" y="0"/>
                <wp:lineTo x="0" y="21440"/>
                <wp:lineTo x="21523" y="21440"/>
                <wp:lineTo x="21523" y="0"/>
                <wp:lineTo x="0" y="0"/>
              </wp:wrapPolygon>
            </wp:wrapThrough>
            <wp:docPr id="32" name="Picture 32" descr="Macintosh HD:Users:angelawhite:Dropbox:University of Sheffield:Publishing:Thesis:Chapter 2 Defoliation and CO2:Figures:Defoliation hexosesucro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angelawhite:Dropbox:University of Sheffield:Publishing:Thesis:Chapter 2 Defoliation and CO2:Figures:Defoliation hexosesucrose.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43300" cy="2661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C3A35F" w14:textId="77777777" w:rsidR="00DF4522" w:rsidRDefault="00DF4522" w:rsidP="00DF4522">
      <w:pPr>
        <w:spacing w:line="360" w:lineRule="auto"/>
        <w:jc w:val="both"/>
        <w:rPr>
          <w:rFonts w:ascii="Cambria" w:hAnsi="Cambria"/>
        </w:rPr>
      </w:pPr>
    </w:p>
    <w:p w14:paraId="275F67BA" w14:textId="77777777" w:rsidR="00DF4522" w:rsidRDefault="00DF4522" w:rsidP="00DF4522">
      <w:pPr>
        <w:spacing w:line="360" w:lineRule="auto"/>
        <w:jc w:val="both"/>
        <w:rPr>
          <w:rFonts w:ascii="Cambria" w:hAnsi="Cambria"/>
        </w:rPr>
      </w:pPr>
    </w:p>
    <w:p w14:paraId="121B19EC" w14:textId="77777777" w:rsidR="00DF4522" w:rsidRDefault="00DF4522" w:rsidP="00DF4522">
      <w:pPr>
        <w:spacing w:line="360" w:lineRule="auto"/>
        <w:jc w:val="both"/>
        <w:rPr>
          <w:rFonts w:ascii="Cambria" w:hAnsi="Cambria"/>
        </w:rPr>
      </w:pPr>
    </w:p>
    <w:p w14:paraId="34BE33EC" w14:textId="77777777" w:rsidR="00DF4522" w:rsidRDefault="00DF4522" w:rsidP="00DF4522">
      <w:pPr>
        <w:spacing w:line="360" w:lineRule="auto"/>
        <w:jc w:val="both"/>
        <w:rPr>
          <w:rFonts w:ascii="Cambria" w:hAnsi="Cambria"/>
        </w:rPr>
      </w:pPr>
    </w:p>
    <w:p w14:paraId="7FDABF9E" w14:textId="77777777" w:rsidR="00DF4522" w:rsidRDefault="00DF4522" w:rsidP="00DF4522">
      <w:pPr>
        <w:spacing w:line="360" w:lineRule="auto"/>
        <w:jc w:val="both"/>
        <w:rPr>
          <w:rFonts w:ascii="Cambria" w:hAnsi="Cambria"/>
        </w:rPr>
      </w:pPr>
    </w:p>
    <w:p w14:paraId="05F61D44" w14:textId="77777777" w:rsidR="00DF4522" w:rsidRDefault="00DF4522" w:rsidP="00DF4522">
      <w:pPr>
        <w:spacing w:line="360" w:lineRule="auto"/>
        <w:jc w:val="both"/>
        <w:rPr>
          <w:rFonts w:ascii="Cambria" w:hAnsi="Cambria"/>
        </w:rPr>
      </w:pPr>
    </w:p>
    <w:p w14:paraId="4DCD7FC3" w14:textId="77777777" w:rsidR="00DF4522" w:rsidRDefault="00DF4522" w:rsidP="00DF4522">
      <w:pPr>
        <w:spacing w:line="360" w:lineRule="auto"/>
        <w:jc w:val="both"/>
        <w:rPr>
          <w:rFonts w:ascii="Cambria" w:hAnsi="Cambria"/>
        </w:rPr>
      </w:pPr>
    </w:p>
    <w:p w14:paraId="5FAB2F4F" w14:textId="77777777" w:rsidR="00DF4522" w:rsidRDefault="00DF4522" w:rsidP="00DF4522">
      <w:pPr>
        <w:spacing w:line="360" w:lineRule="auto"/>
        <w:jc w:val="both"/>
        <w:rPr>
          <w:rFonts w:ascii="Cambria" w:hAnsi="Cambria"/>
        </w:rPr>
      </w:pPr>
    </w:p>
    <w:p w14:paraId="4542D0E0" w14:textId="77777777" w:rsidR="00DF4522" w:rsidRDefault="00DF4522" w:rsidP="00DF4522">
      <w:pPr>
        <w:spacing w:line="360" w:lineRule="auto"/>
        <w:jc w:val="both"/>
        <w:rPr>
          <w:rFonts w:ascii="Cambria" w:hAnsi="Cambria"/>
        </w:rPr>
      </w:pPr>
    </w:p>
    <w:p w14:paraId="2F53FFC9" w14:textId="77777777" w:rsidR="00DF4522" w:rsidRPr="00C32502" w:rsidRDefault="00DF4522" w:rsidP="00DF4522">
      <w:pPr>
        <w:jc w:val="both"/>
        <w:rPr>
          <w:rFonts w:ascii="Cambria" w:hAnsi="Cambria" w:cs="font652"/>
          <w:sz w:val="20"/>
          <w:szCs w:val="20"/>
          <w:lang w:val="en-US"/>
        </w:rPr>
      </w:pPr>
      <w:r w:rsidRPr="00C32502">
        <w:rPr>
          <w:b/>
          <w:sz w:val="20"/>
          <w:szCs w:val="20"/>
        </w:rPr>
        <w:t xml:space="preserve">Figure 11.  </w:t>
      </w:r>
      <w:proofErr w:type="spellStart"/>
      <w:r w:rsidRPr="00C32502">
        <w:rPr>
          <w:sz w:val="20"/>
          <w:szCs w:val="20"/>
        </w:rPr>
        <w:t>Hexose:sucrose</w:t>
      </w:r>
      <w:proofErr w:type="spellEnd"/>
      <w:r w:rsidRPr="00C32502">
        <w:rPr>
          <w:sz w:val="20"/>
          <w:szCs w:val="20"/>
        </w:rPr>
        <w:t xml:space="preserve"> ratio in leaf tissue increases across harvests in plants exposed to defoliation (hollow circles, dashed line) and in control plants (filled circles, solid line).  </w:t>
      </w:r>
      <w:r w:rsidRPr="00C32502">
        <w:rPr>
          <w:rFonts w:ascii="Cambria" w:hAnsi="Cambria" w:cs="ArialMT"/>
          <w:sz w:val="20"/>
          <w:szCs w:val="20"/>
          <w:lang w:val="en-US"/>
        </w:rPr>
        <w:t xml:space="preserve">Data are expressed in </w:t>
      </w:r>
      <w:proofErr w:type="spellStart"/>
      <w:r w:rsidRPr="00C32502">
        <w:rPr>
          <w:rFonts w:ascii="Cambria" w:hAnsi="Cambria" w:cs="ArialMT"/>
          <w:sz w:val="20"/>
          <w:szCs w:val="20"/>
          <w:lang w:val="en-US"/>
        </w:rPr>
        <w:t>μmol</w:t>
      </w:r>
      <w:proofErr w:type="spellEnd"/>
      <w:r w:rsidRPr="00C32502">
        <w:rPr>
          <w:rFonts w:ascii="Cambria" w:hAnsi="Cambria" w:cs="ArialMT"/>
          <w:sz w:val="20"/>
          <w:szCs w:val="20"/>
          <w:lang w:val="en-US"/>
        </w:rPr>
        <w:t xml:space="preserve"> glucose equivalents per g carbohydrate-corrected dry weight (CCDW).  </w:t>
      </w:r>
      <w:r w:rsidRPr="00C32502">
        <w:rPr>
          <w:sz w:val="20"/>
          <w:szCs w:val="20"/>
        </w:rPr>
        <w:t xml:space="preserve">Data show </w:t>
      </w:r>
      <w:r w:rsidRPr="00C32502">
        <w:rPr>
          <w:rFonts w:ascii="Cambria" w:hAnsi="Cambria"/>
          <w:sz w:val="20"/>
          <w:szCs w:val="20"/>
        </w:rPr>
        <w:t xml:space="preserve">mean </w:t>
      </w:r>
      <w:r w:rsidRPr="00C32502">
        <w:rPr>
          <w:rFonts w:ascii="Cambria" w:hAnsi="Cambria" w:cs="font652"/>
          <w:sz w:val="20"/>
          <w:szCs w:val="20"/>
          <w:lang w:val="en-US"/>
        </w:rPr>
        <w:t>± SE (n=3).</w:t>
      </w:r>
    </w:p>
    <w:p w14:paraId="448896C3" w14:textId="77777777" w:rsidR="00DF4522" w:rsidRPr="00C32502" w:rsidRDefault="00DF4522" w:rsidP="00DF4522">
      <w:pPr>
        <w:jc w:val="both"/>
        <w:rPr>
          <w:rFonts w:ascii="Cambria" w:hAnsi="Cambria" w:cs="font652"/>
          <w:sz w:val="20"/>
          <w:szCs w:val="20"/>
          <w:lang w:val="en-US"/>
        </w:rPr>
      </w:pPr>
    </w:p>
    <w:p w14:paraId="470CA163" w14:textId="77777777" w:rsidR="00DF4522" w:rsidRDefault="00DF4522" w:rsidP="00DF4522">
      <w:pPr>
        <w:spacing w:line="360" w:lineRule="auto"/>
        <w:jc w:val="both"/>
        <w:rPr>
          <w:rFonts w:ascii="Cambria" w:hAnsi="Cambria"/>
        </w:rPr>
      </w:pPr>
    </w:p>
    <w:p w14:paraId="4A98380B" w14:textId="77777777" w:rsidR="00DF4522" w:rsidRDefault="00DF4522" w:rsidP="00DF4522">
      <w:pPr>
        <w:spacing w:line="360" w:lineRule="auto"/>
        <w:jc w:val="both"/>
        <w:rPr>
          <w:rFonts w:ascii="Cambria" w:hAnsi="Cambria"/>
        </w:rPr>
      </w:pPr>
    </w:p>
    <w:p w14:paraId="4CAAD91C" w14:textId="77777777" w:rsidR="00DF4522" w:rsidRPr="00531789" w:rsidRDefault="00DF4522" w:rsidP="00DF4522">
      <w:pPr>
        <w:spacing w:line="360" w:lineRule="auto"/>
        <w:jc w:val="both"/>
        <w:rPr>
          <w:rFonts w:ascii="Cambria" w:hAnsi="Cambria"/>
        </w:rPr>
      </w:pPr>
      <w:r w:rsidRPr="00531789">
        <w:rPr>
          <w:rFonts w:ascii="Cambria" w:hAnsi="Cambria"/>
        </w:rPr>
        <w:t xml:space="preserve">Because plants were partially defoliated 5 or 8 days before harvest, RGR and </w:t>
      </w:r>
      <w:proofErr w:type="spellStart"/>
      <w:r w:rsidRPr="00531789">
        <w:rPr>
          <w:rFonts w:ascii="Cambria" w:hAnsi="Cambria"/>
        </w:rPr>
        <w:t>root:shoot</w:t>
      </w:r>
      <w:proofErr w:type="spellEnd"/>
      <w:r w:rsidRPr="00531789">
        <w:rPr>
          <w:rFonts w:ascii="Cambria" w:hAnsi="Cambria"/>
        </w:rPr>
        <w:t xml:space="preserve"> ratio could not be measured.  However, LMA</w:t>
      </w:r>
      <w:r>
        <w:rPr>
          <w:rFonts w:ascii="Cambria" w:hAnsi="Cambria"/>
        </w:rPr>
        <w:t xml:space="preserve"> in the remaining leaves</w:t>
      </w:r>
      <w:r w:rsidRPr="00531789">
        <w:rPr>
          <w:rFonts w:ascii="Cambria" w:hAnsi="Cambria"/>
        </w:rPr>
        <w:t xml:space="preserve"> was measured at harvest for these plants.  LMA (Table 2) decreases significantly over time in defoliated and control plants (F</w:t>
      </w:r>
      <w:r w:rsidRPr="00531789">
        <w:rPr>
          <w:rFonts w:ascii="Cambria" w:hAnsi="Cambria"/>
          <w:vertAlign w:val="subscript"/>
        </w:rPr>
        <w:t>(1,12)</w:t>
      </w:r>
      <w:r>
        <w:rPr>
          <w:rFonts w:ascii="Cambria" w:hAnsi="Cambria"/>
        </w:rPr>
        <w:t xml:space="preserve"> = 27.2, p</w:t>
      </w:r>
      <w:r w:rsidRPr="00531789">
        <w:rPr>
          <w:rFonts w:ascii="Cambria" w:hAnsi="Cambria"/>
        </w:rPr>
        <w:t>&lt;0.001), as seen for elevated CO</w:t>
      </w:r>
      <w:r w:rsidRPr="00531789">
        <w:rPr>
          <w:rFonts w:ascii="Cambria" w:hAnsi="Cambria"/>
          <w:vertAlign w:val="subscript"/>
        </w:rPr>
        <w:t>2</w:t>
      </w:r>
      <w:r w:rsidRPr="00531789">
        <w:rPr>
          <w:rFonts w:ascii="Cambria" w:hAnsi="Cambria"/>
        </w:rPr>
        <w:t xml:space="preserve"> and control plants (Table 1), but there is no effect of defoliation treatment on LMA.  </w:t>
      </w:r>
    </w:p>
    <w:p w14:paraId="5157DC37" w14:textId="77777777" w:rsidR="00DF4522" w:rsidRDefault="00DF4522" w:rsidP="00DF4522">
      <w:pPr>
        <w:spacing w:line="360" w:lineRule="auto"/>
        <w:jc w:val="both"/>
        <w:rPr>
          <w:rFonts w:ascii="Cambria" w:hAnsi="Cambria"/>
          <w:sz w:val="20"/>
          <w:szCs w:val="20"/>
        </w:rPr>
      </w:pPr>
    </w:p>
    <w:p w14:paraId="32A80A0A" w14:textId="77777777" w:rsidR="00DF4522" w:rsidRDefault="00DF4522" w:rsidP="00DF4522">
      <w:pPr>
        <w:spacing w:line="360" w:lineRule="auto"/>
        <w:jc w:val="both"/>
        <w:rPr>
          <w:rFonts w:ascii="Cambria" w:hAnsi="Cambria"/>
          <w:sz w:val="20"/>
          <w:szCs w:val="20"/>
        </w:rPr>
      </w:pPr>
    </w:p>
    <w:p w14:paraId="7395F639" w14:textId="77777777" w:rsidR="00DF4522" w:rsidRPr="005E0279" w:rsidRDefault="00DF4522" w:rsidP="00DF4522">
      <w:pPr>
        <w:spacing w:line="360" w:lineRule="auto"/>
        <w:jc w:val="both"/>
        <w:rPr>
          <w:rFonts w:ascii="Cambria" w:hAnsi="Cambria"/>
          <w:sz w:val="20"/>
          <w:szCs w:val="20"/>
        </w:rPr>
      </w:pPr>
    </w:p>
    <w:p w14:paraId="5B13EBAE" w14:textId="77777777" w:rsidR="00DF4522" w:rsidRPr="005E0279" w:rsidRDefault="00DF4522" w:rsidP="00DF4522">
      <w:pPr>
        <w:jc w:val="both"/>
        <w:rPr>
          <w:rFonts w:ascii="Cambria" w:hAnsi="Cambria"/>
          <w:sz w:val="20"/>
          <w:szCs w:val="20"/>
        </w:rPr>
      </w:pPr>
      <w:r w:rsidRPr="005E0279">
        <w:rPr>
          <w:b/>
          <w:sz w:val="20"/>
          <w:szCs w:val="20"/>
        </w:rPr>
        <w:t xml:space="preserve">Table 2.  </w:t>
      </w:r>
      <w:r w:rsidRPr="00D74B32">
        <w:rPr>
          <w:sz w:val="20"/>
          <w:szCs w:val="20"/>
        </w:rPr>
        <w:t>Leaf mass per unit area (LMA, g m</w:t>
      </w:r>
      <w:r w:rsidRPr="00D74B32">
        <w:rPr>
          <w:sz w:val="20"/>
          <w:szCs w:val="20"/>
          <w:vertAlign w:val="superscript"/>
        </w:rPr>
        <w:t>-2</w:t>
      </w:r>
      <w:r>
        <w:rPr>
          <w:sz w:val="20"/>
          <w:szCs w:val="20"/>
        </w:rPr>
        <w:t>)</w:t>
      </w:r>
      <w:r w:rsidRPr="005E0279">
        <w:rPr>
          <w:sz w:val="20"/>
          <w:szCs w:val="20"/>
        </w:rPr>
        <w:t xml:space="preserve"> decreases significantly over time in defoliated and control barley plants harvested 4, 6 and 10 weeks after germination.  Data show </w:t>
      </w:r>
      <w:r w:rsidRPr="005E0279">
        <w:rPr>
          <w:rFonts w:ascii="Cambria" w:hAnsi="Cambria"/>
          <w:sz w:val="20"/>
          <w:szCs w:val="20"/>
        </w:rPr>
        <w:t xml:space="preserve">mean </w:t>
      </w:r>
      <w:r w:rsidRPr="005E0279">
        <w:rPr>
          <w:rFonts w:ascii="Cambria" w:hAnsi="Cambria" w:cs="font652"/>
          <w:sz w:val="20"/>
          <w:szCs w:val="20"/>
          <w:lang w:val="en-US"/>
        </w:rPr>
        <w:t xml:space="preserve">± SE (n=3, except for LMA </w:t>
      </w:r>
      <w:r>
        <w:rPr>
          <w:rFonts w:ascii="Cambria" w:hAnsi="Cambria" w:cs="font652"/>
          <w:sz w:val="20"/>
          <w:szCs w:val="20"/>
          <w:lang w:val="en-US"/>
        </w:rPr>
        <w:t xml:space="preserve">after </w:t>
      </w:r>
      <w:r w:rsidRPr="005E0279">
        <w:rPr>
          <w:rFonts w:ascii="Cambria" w:hAnsi="Cambria" w:cs="font652"/>
          <w:sz w:val="20"/>
          <w:szCs w:val="20"/>
          <w:lang w:val="en-US"/>
        </w:rPr>
        <w:t>defoliation</w:t>
      </w:r>
      <w:r>
        <w:rPr>
          <w:rFonts w:ascii="Cambria" w:hAnsi="Cambria" w:cs="font652"/>
          <w:sz w:val="20"/>
          <w:szCs w:val="20"/>
          <w:lang w:val="en-US"/>
        </w:rPr>
        <w:t xml:space="preserve"> treatment</w:t>
      </w:r>
      <w:r w:rsidRPr="005E0279">
        <w:rPr>
          <w:rFonts w:ascii="Cambria" w:hAnsi="Cambria" w:cs="font652"/>
          <w:sz w:val="20"/>
          <w:szCs w:val="20"/>
          <w:lang w:val="en-US"/>
        </w:rPr>
        <w:t xml:space="preserve"> at 4 weeks where n=1).</w:t>
      </w:r>
      <w:r w:rsidRPr="005E0279">
        <w:rPr>
          <w:rFonts w:ascii="Cambria" w:hAnsi="Cambria"/>
          <w:sz w:val="20"/>
          <w:szCs w:val="20"/>
        </w:rPr>
        <w:t xml:space="preserve">  </w:t>
      </w:r>
    </w:p>
    <w:p w14:paraId="26455F89" w14:textId="77777777" w:rsidR="00DF4522" w:rsidRPr="00706FF3" w:rsidRDefault="00DF4522" w:rsidP="00DF4522">
      <w:pPr>
        <w:jc w:val="both"/>
        <w:rPr>
          <w:rFonts w:ascii="Cambria" w:hAnsi="Cambria"/>
          <w:b/>
        </w:rPr>
      </w:pPr>
    </w:p>
    <w:tbl>
      <w:tblPr>
        <w:tblStyle w:val="TableGrid"/>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1648"/>
        <w:gridCol w:w="1659"/>
        <w:gridCol w:w="1659"/>
        <w:gridCol w:w="1659"/>
      </w:tblGrid>
      <w:tr w:rsidR="00DF4522" w:rsidRPr="00706FF3" w14:paraId="16362DAD" w14:textId="77777777" w:rsidTr="00FB53C0">
        <w:tc>
          <w:tcPr>
            <w:tcW w:w="850" w:type="dxa"/>
          </w:tcPr>
          <w:p w14:paraId="4E6EBEC5" w14:textId="77777777" w:rsidR="00DF4522" w:rsidRPr="00706FF3" w:rsidRDefault="00DF4522" w:rsidP="00FB53C0">
            <w:pPr>
              <w:jc w:val="both"/>
              <w:rPr>
                <w:rFonts w:ascii="Cambria" w:hAnsi="Cambria"/>
                <w:b/>
                <w:sz w:val="24"/>
                <w:szCs w:val="24"/>
              </w:rPr>
            </w:pPr>
          </w:p>
        </w:tc>
        <w:tc>
          <w:tcPr>
            <w:tcW w:w="1655" w:type="dxa"/>
          </w:tcPr>
          <w:p w14:paraId="099967A8" w14:textId="77777777" w:rsidR="00DF4522" w:rsidRPr="00706FF3" w:rsidRDefault="00DF4522" w:rsidP="00FB53C0">
            <w:pPr>
              <w:jc w:val="both"/>
              <w:rPr>
                <w:rFonts w:ascii="Cambria" w:hAnsi="Cambria"/>
                <w:b/>
                <w:sz w:val="24"/>
                <w:szCs w:val="24"/>
              </w:rPr>
            </w:pPr>
            <w:r w:rsidRPr="00706FF3">
              <w:rPr>
                <w:rFonts w:ascii="Cambria" w:hAnsi="Cambria"/>
                <w:b/>
                <w:sz w:val="24"/>
                <w:szCs w:val="24"/>
              </w:rPr>
              <w:t>Treatment</w:t>
            </w:r>
          </w:p>
        </w:tc>
        <w:tc>
          <w:tcPr>
            <w:tcW w:w="1684" w:type="dxa"/>
          </w:tcPr>
          <w:p w14:paraId="5D2A5492" w14:textId="77777777" w:rsidR="00DF4522" w:rsidRPr="00706FF3" w:rsidRDefault="00DF4522" w:rsidP="00FB53C0">
            <w:pPr>
              <w:jc w:val="center"/>
              <w:rPr>
                <w:rFonts w:ascii="Cambria" w:hAnsi="Cambria"/>
                <w:b/>
                <w:sz w:val="24"/>
                <w:szCs w:val="24"/>
              </w:rPr>
            </w:pPr>
            <w:r w:rsidRPr="00706FF3">
              <w:rPr>
                <w:rFonts w:ascii="Cambria" w:hAnsi="Cambria"/>
                <w:b/>
                <w:sz w:val="24"/>
                <w:szCs w:val="24"/>
              </w:rPr>
              <w:t>4 weeks</w:t>
            </w:r>
          </w:p>
        </w:tc>
        <w:tc>
          <w:tcPr>
            <w:tcW w:w="1684" w:type="dxa"/>
          </w:tcPr>
          <w:p w14:paraId="3BFB5C40" w14:textId="77777777" w:rsidR="00DF4522" w:rsidRPr="00706FF3" w:rsidRDefault="00DF4522" w:rsidP="00FB53C0">
            <w:pPr>
              <w:jc w:val="center"/>
              <w:rPr>
                <w:rFonts w:ascii="Cambria" w:hAnsi="Cambria"/>
                <w:b/>
                <w:sz w:val="24"/>
                <w:szCs w:val="24"/>
              </w:rPr>
            </w:pPr>
            <w:r w:rsidRPr="00706FF3">
              <w:rPr>
                <w:rFonts w:ascii="Cambria" w:hAnsi="Cambria"/>
                <w:b/>
                <w:sz w:val="24"/>
                <w:szCs w:val="24"/>
              </w:rPr>
              <w:t>6 weeks</w:t>
            </w:r>
          </w:p>
        </w:tc>
        <w:tc>
          <w:tcPr>
            <w:tcW w:w="1684" w:type="dxa"/>
          </w:tcPr>
          <w:p w14:paraId="350EDCB7" w14:textId="77777777" w:rsidR="00DF4522" w:rsidRPr="00706FF3" w:rsidRDefault="00DF4522" w:rsidP="00FB53C0">
            <w:pPr>
              <w:jc w:val="center"/>
              <w:rPr>
                <w:rFonts w:ascii="Cambria" w:hAnsi="Cambria"/>
                <w:b/>
                <w:sz w:val="24"/>
                <w:szCs w:val="24"/>
              </w:rPr>
            </w:pPr>
            <w:r w:rsidRPr="00706FF3">
              <w:rPr>
                <w:rFonts w:ascii="Cambria" w:hAnsi="Cambria"/>
                <w:b/>
                <w:sz w:val="24"/>
                <w:szCs w:val="24"/>
              </w:rPr>
              <w:t>10 weeks</w:t>
            </w:r>
          </w:p>
        </w:tc>
      </w:tr>
      <w:tr w:rsidR="00DF4522" w:rsidRPr="00706FF3" w14:paraId="0D9408AE" w14:textId="77777777" w:rsidTr="00FB53C0">
        <w:tc>
          <w:tcPr>
            <w:tcW w:w="850" w:type="dxa"/>
          </w:tcPr>
          <w:p w14:paraId="37830D7B" w14:textId="77777777" w:rsidR="00DF4522" w:rsidRPr="00706FF3" w:rsidRDefault="00DF4522" w:rsidP="00FB53C0">
            <w:pPr>
              <w:jc w:val="both"/>
              <w:rPr>
                <w:rFonts w:ascii="Cambria" w:hAnsi="Cambria"/>
                <w:b/>
                <w:sz w:val="24"/>
                <w:szCs w:val="24"/>
              </w:rPr>
            </w:pPr>
            <w:r w:rsidRPr="00706FF3">
              <w:rPr>
                <w:rFonts w:ascii="Cambria" w:hAnsi="Cambria"/>
                <w:b/>
                <w:sz w:val="24"/>
                <w:szCs w:val="24"/>
              </w:rPr>
              <w:t>LMA</w:t>
            </w:r>
          </w:p>
        </w:tc>
        <w:tc>
          <w:tcPr>
            <w:tcW w:w="1655" w:type="dxa"/>
          </w:tcPr>
          <w:p w14:paraId="39A8F409" w14:textId="77777777" w:rsidR="00DF4522" w:rsidRPr="00706FF3" w:rsidRDefault="00DF4522" w:rsidP="00FB53C0">
            <w:pPr>
              <w:jc w:val="both"/>
              <w:rPr>
                <w:rFonts w:ascii="Cambria" w:hAnsi="Cambria"/>
                <w:b/>
                <w:sz w:val="24"/>
                <w:szCs w:val="24"/>
              </w:rPr>
            </w:pPr>
            <w:r w:rsidRPr="00706FF3">
              <w:rPr>
                <w:rFonts w:ascii="Cambria" w:hAnsi="Cambria"/>
                <w:b/>
                <w:sz w:val="24"/>
                <w:szCs w:val="24"/>
              </w:rPr>
              <w:t>Defoliation</w:t>
            </w:r>
          </w:p>
        </w:tc>
        <w:tc>
          <w:tcPr>
            <w:tcW w:w="1684" w:type="dxa"/>
          </w:tcPr>
          <w:p w14:paraId="21A6DAA2" w14:textId="77777777" w:rsidR="00DF4522" w:rsidRPr="00706FF3" w:rsidRDefault="00DF4522" w:rsidP="00FB53C0">
            <w:pPr>
              <w:jc w:val="center"/>
              <w:rPr>
                <w:rFonts w:ascii="Cambria" w:hAnsi="Cambria"/>
                <w:b/>
                <w:sz w:val="24"/>
                <w:szCs w:val="24"/>
              </w:rPr>
            </w:pPr>
            <w:r w:rsidRPr="00706FF3">
              <w:rPr>
                <w:rFonts w:ascii="Cambria" w:hAnsi="Cambria"/>
                <w:b/>
                <w:sz w:val="24"/>
                <w:szCs w:val="24"/>
              </w:rPr>
              <w:t>71.1</w:t>
            </w:r>
          </w:p>
        </w:tc>
        <w:tc>
          <w:tcPr>
            <w:tcW w:w="1684" w:type="dxa"/>
          </w:tcPr>
          <w:p w14:paraId="191E38C5" w14:textId="77777777" w:rsidR="00DF4522" w:rsidRPr="00706FF3" w:rsidRDefault="00DF4522" w:rsidP="00FB53C0">
            <w:pPr>
              <w:jc w:val="center"/>
              <w:rPr>
                <w:rFonts w:ascii="Cambria" w:hAnsi="Cambria"/>
                <w:b/>
                <w:sz w:val="24"/>
                <w:szCs w:val="24"/>
              </w:rPr>
            </w:pPr>
            <w:r w:rsidRPr="00706FF3">
              <w:rPr>
                <w:rFonts w:ascii="Cambria" w:hAnsi="Cambria"/>
                <w:b/>
                <w:sz w:val="24"/>
                <w:szCs w:val="24"/>
              </w:rPr>
              <w:t xml:space="preserve">71.8 </w:t>
            </w:r>
            <w:r w:rsidRPr="00706FF3">
              <w:rPr>
                <w:rFonts w:ascii="Cambria" w:hAnsi="Cambria" w:cs="font652"/>
                <w:sz w:val="24"/>
                <w:szCs w:val="24"/>
                <w:lang w:val="en-US"/>
              </w:rPr>
              <w:t>± 2.6</w:t>
            </w:r>
          </w:p>
        </w:tc>
        <w:tc>
          <w:tcPr>
            <w:tcW w:w="1684" w:type="dxa"/>
          </w:tcPr>
          <w:p w14:paraId="37748EB8" w14:textId="77777777" w:rsidR="00DF4522" w:rsidRPr="00706FF3" w:rsidRDefault="00DF4522" w:rsidP="00FB53C0">
            <w:pPr>
              <w:jc w:val="center"/>
              <w:rPr>
                <w:rFonts w:ascii="Cambria" w:hAnsi="Cambria"/>
                <w:b/>
                <w:sz w:val="24"/>
                <w:szCs w:val="24"/>
              </w:rPr>
            </w:pPr>
            <w:r w:rsidRPr="00706FF3">
              <w:rPr>
                <w:rFonts w:ascii="Cambria" w:hAnsi="Cambria"/>
                <w:b/>
                <w:sz w:val="24"/>
                <w:szCs w:val="24"/>
              </w:rPr>
              <w:t xml:space="preserve">54.5 </w:t>
            </w:r>
            <w:r w:rsidRPr="00706FF3">
              <w:rPr>
                <w:rFonts w:ascii="Cambria" w:hAnsi="Cambria" w:cs="font652"/>
                <w:sz w:val="24"/>
                <w:szCs w:val="24"/>
                <w:lang w:val="en-US"/>
              </w:rPr>
              <w:t>± 3.6</w:t>
            </w:r>
          </w:p>
        </w:tc>
      </w:tr>
      <w:tr w:rsidR="00DF4522" w:rsidRPr="00706FF3" w14:paraId="4F4D8433" w14:textId="77777777" w:rsidTr="00FB53C0">
        <w:tc>
          <w:tcPr>
            <w:tcW w:w="850" w:type="dxa"/>
          </w:tcPr>
          <w:p w14:paraId="031DBAE7" w14:textId="77777777" w:rsidR="00DF4522" w:rsidRPr="00706FF3" w:rsidRDefault="00DF4522" w:rsidP="00FB53C0">
            <w:pPr>
              <w:jc w:val="both"/>
              <w:rPr>
                <w:rFonts w:ascii="Cambria" w:hAnsi="Cambria"/>
                <w:b/>
                <w:sz w:val="24"/>
                <w:szCs w:val="24"/>
              </w:rPr>
            </w:pPr>
            <w:r w:rsidRPr="00706FF3">
              <w:rPr>
                <w:rFonts w:ascii="Cambria" w:hAnsi="Cambria"/>
                <w:b/>
                <w:sz w:val="24"/>
                <w:szCs w:val="24"/>
              </w:rPr>
              <w:t>LMA</w:t>
            </w:r>
          </w:p>
        </w:tc>
        <w:tc>
          <w:tcPr>
            <w:tcW w:w="1655" w:type="dxa"/>
          </w:tcPr>
          <w:p w14:paraId="2697F288" w14:textId="77777777" w:rsidR="00DF4522" w:rsidRPr="00706FF3" w:rsidRDefault="00DF4522" w:rsidP="00FB53C0">
            <w:pPr>
              <w:jc w:val="both"/>
              <w:rPr>
                <w:rFonts w:ascii="Cambria" w:hAnsi="Cambria"/>
                <w:b/>
                <w:sz w:val="24"/>
                <w:szCs w:val="24"/>
              </w:rPr>
            </w:pPr>
            <w:r w:rsidRPr="00706FF3">
              <w:rPr>
                <w:rFonts w:ascii="Cambria" w:hAnsi="Cambria"/>
                <w:b/>
                <w:sz w:val="24"/>
                <w:szCs w:val="24"/>
              </w:rPr>
              <w:t>Control</w:t>
            </w:r>
          </w:p>
        </w:tc>
        <w:tc>
          <w:tcPr>
            <w:tcW w:w="1684" w:type="dxa"/>
          </w:tcPr>
          <w:p w14:paraId="2E40113E" w14:textId="77777777" w:rsidR="00DF4522" w:rsidRPr="00706FF3" w:rsidRDefault="00DF4522" w:rsidP="00FB53C0">
            <w:pPr>
              <w:jc w:val="center"/>
              <w:rPr>
                <w:rFonts w:ascii="Cambria" w:hAnsi="Cambria"/>
                <w:b/>
                <w:sz w:val="24"/>
                <w:szCs w:val="24"/>
              </w:rPr>
            </w:pPr>
            <w:r w:rsidRPr="00706FF3">
              <w:rPr>
                <w:rFonts w:ascii="Cambria" w:hAnsi="Cambria" w:cs="font652"/>
                <w:b/>
                <w:sz w:val="24"/>
                <w:szCs w:val="24"/>
                <w:lang w:val="en-US"/>
              </w:rPr>
              <w:t>69.0</w:t>
            </w:r>
            <w:r w:rsidRPr="00706FF3">
              <w:rPr>
                <w:rFonts w:ascii="Cambria" w:hAnsi="Cambria" w:cs="font652"/>
                <w:sz w:val="24"/>
                <w:szCs w:val="24"/>
                <w:lang w:val="en-US"/>
              </w:rPr>
              <w:t xml:space="preserve"> ± 3.7</w:t>
            </w:r>
          </w:p>
        </w:tc>
        <w:tc>
          <w:tcPr>
            <w:tcW w:w="1684" w:type="dxa"/>
          </w:tcPr>
          <w:p w14:paraId="6AE24D17" w14:textId="77777777" w:rsidR="00DF4522" w:rsidRPr="00706FF3" w:rsidRDefault="00DF4522" w:rsidP="00FB53C0">
            <w:pPr>
              <w:jc w:val="center"/>
              <w:rPr>
                <w:rFonts w:ascii="Cambria" w:hAnsi="Cambria"/>
                <w:b/>
                <w:sz w:val="24"/>
                <w:szCs w:val="24"/>
              </w:rPr>
            </w:pPr>
            <w:r w:rsidRPr="00706FF3">
              <w:rPr>
                <w:rFonts w:ascii="Cambria" w:hAnsi="Cambria" w:cs="font652"/>
                <w:b/>
                <w:sz w:val="24"/>
                <w:szCs w:val="24"/>
                <w:lang w:val="en-US"/>
              </w:rPr>
              <w:t>63.8</w:t>
            </w:r>
            <w:r w:rsidRPr="00706FF3">
              <w:rPr>
                <w:rFonts w:ascii="Cambria" w:hAnsi="Cambria" w:cs="font652"/>
                <w:sz w:val="24"/>
                <w:szCs w:val="24"/>
                <w:lang w:val="en-US"/>
              </w:rPr>
              <w:t xml:space="preserve"> ± 2.5</w:t>
            </w:r>
          </w:p>
        </w:tc>
        <w:tc>
          <w:tcPr>
            <w:tcW w:w="1684" w:type="dxa"/>
          </w:tcPr>
          <w:p w14:paraId="06B455D5" w14:textId="77777777" w:rsidR="00DF4522" w:rsidRPr="00706FF3" w:rsidRDefault="00DF4522" w:rsidP="00FB53C0">
            <w:pPr>
              <w:jc w:val="center"/>
              <w:rPr>
                <w:rFonts w:ascii="Cambria" w:hAnsi="Cambria"/>
                <w:b/>
                <w:sz w:val="24"/>
                <w:szCs w:val="24"/>
              </w:rPr>
            </w:pPr>
            <w:r w:rsidRPr="00706FF3">
              <w:rPr>
                <w:rFonts w:ascii="Cambria" w:hAnsi="Cambria" w:cs="font652"/>
                <w:b/>
                <w:sz w:val="24"/>
                <w:szCs w:val="24"/>
                <w:lang w:val="en-US"/>
              </w:rPr>
              <w:t>50.2</w:t>
            </w:r>
            <w:r w:rsidRPr="00706FF3">
              <w:rPr>
                <w:rFonts w:ascii="Cambria" w:hAnsi="Cambria" w:cs="font652"/>
                <w:sz w:val="24"/>
                <w:szCs w:val="24"/>
                <w:lang w:val="en-US"/>
              </w:rPr>
              <w:t xml:space="preserve"> ± 0.72</w:t>
            </w:r>
          </w:p>
        </w:tc>
      </w:tr>
    </w:tbl>
    <w:p w14:paraId="6BD57EBA" w14:textId="77777777" w:rsidR="00DF4522" w:rsidRPr="00706FF3" w:rsidRDefault="00DF4522" w:rsidP="00DF4522">
      <w:pPr>
        <w:jc w:val="both"/>
        <w:rPr>
          <w:rFonts w:ascii="Cambria" w:hAnsi="Cambria"/>
        </w:rPr>
      </w:pPr>
    </w:p>
    <w:p w14:paraId="786B9C7A" w14:textId="77777777" w:rsidR="00DF4522" w:rsidRDefault="00DF4522" w:rsidP="00DF4522">
      <w:pPr>
        <w:spacing w:line="480" w:lineRule="auto"/>
        <w:jc w:val="both"/>
        <w:rPr>
          <w:b/>
        </w:rPr>
      </w:pPr>
      <w:r>
        <w:rPr>
          <w:b/>
        </w:rPr>
        <w:br w:type="page"/>
      </w:r>
    </w:p>
    <w:p w14:paraId="535EFEB6" w14:textId="77777777" w:rsidR="00DF4522" w:rsidRPr="00531789" w:rsidRDefault="00DF4522" w:rsidP="00DF4522">
      <w:pPr>
        <w:pStyle w:val="Heading2"/>
        <w:rPr>
          <w:rFonts w:ascii="Cambria" w:hAnsi="Cambria"/>
          <w:color w:val="auto"/>
        </w:rPr>
      </w:pPr>
      <w:bookmarkStart w:id="79" w:name="_Toc322267591"/>
      <w:bookmarkStart w:id="80" w:name="_Toc322267713"/>
      <w:bookmarkStart w:id="81" w:name="_Toc322267877"/>
      <w:bookmarkStart w:id="82" w:name="_Toc331253019"/>
      <w:r w:rsidRPr="00531789">
        <w:rPr>
          <w:rFonts w:ascii="Cambria" w:hAnsi="Cambria"/>
          <w:color w:val="auto"/>
        </w:rPr>
        <w:t>DISCUSSION</w:t>
      </w:r>
      <w:bookmarkEnd w:id="79"/>
      <w:bookmarkEnd w:id="80"/>
      <w:bookmarkEnd w:id="81"/>
      <w:bookmarkEnd w:id="82"/>
    </w:p>
    <w:p w14:paraId="7E5E78D6" w14:textId="77777777" w:rsidR="00DF4522" w:rsidRPr="00531789" w:rsidRDefault="00DF4522" w:rsidP="00DF4522">
      <w:pPr>
        <w:spacing w:line="360" w:lineRule="auto"/>
        <w:jc w:val="both"/>
        <w:rPr>
          <w:rFonts w:ascii="Cambria" w:hAnsi="Cambria"/>
          <w:b/>
        </w:rPr>
      </w:pPr>
    </w:p>
    <w:p w14:paraId="094E9917" w14:textId="77777777" w:rsidR="00DF4522" w:rsidRPr="00531789" w:rsidRDefault="00DF4522" w:rsidP="00DF4522">
      <w:pPr>
        <w:spacing w:line="360" w:lineRule="auto"/>
        <w:jc w:val="both"/>
        <w:rPr>
          <w:rFonts w:ascii="Cambria" w:hAnsi="Cambria"/>
        </w:rPr>
      </w:pPr>
      <w:r w:rsidRPr="00531789">
        <w:rPr>
          <w:rFonts w:ascii="Cambria" w:hAnsi="Cambria"/>
        </w:rPr>
        <w:t>In order to investigate the extent to which source and sink limit growth in annual barley, a short-term elevated CO</w:t>
      </w:r>
      <w:r w:rsidRPr="00531789">
        <w:rPr>
          <w:rFonts w:ascii="Cambria" w:hAnsi="Cambria"/>
          <w:vertAlign w:val="subscript"/>
        </w:rPr>
        <w:t>2</w:t>
      </w:r>
      <w:r w:rsidRPr="00531789">
        <w:rPr>
          <w:rFonts w:ascii="Cambria" w:hAnsi="Cambria"/>
        </w:rPr>
        <w:t xml:space="preserve"> treatment was applied to plants that had developed in control conditions to increase the carbon </w:t>
      </w:r>
      <w:proofErr w:type="spellStart"/>
      <w:r w:rsidRPr="00531789">
        <w:rPr>
          <w:rFonts w:ascii="Cambria" w:hAnsi="Cambria"/>
        </w:rPr>
        <w:t>source:sink</w:t>
      </w:r>
      <w:proofErr w:type="spellEnd"/>
      <w:r w:rsidRPr="00531789">
        <w:rPr>
          <w:rFonts w:ascii="Cambria" w:hAnsi="Cambria"/>
        </w:rPr>
        <w:t xml:space="preserve"> ratio, whilst a 5- or 8-day partial defoliation treatment was applied to separate plants to decrease the carbon </w:t>
      </w:r>
      <w:proofErr w:type="spellStart"/>
      <w:r w:rsidRPr="00531789">
        <w:rPr>
          <w:rFonts w:ascii="Cambria" w:hAnsi="Cambria"/>
        </w:rPr>
        <w:t>source:sink</w:t>
      </w:r>
      <w:proofErr w:type="spellEnd"/>
      <w:r w:rsidRPr="00531789">
        <w:rPr>
          <w:rFonts w:ascii="Cambria" w:hAnsi="Cambria"/>
        </w:rPr>
        <w:t xml:space="preserve"> ratio.  Leaf total non-structural carbohydrate </w:t>
      </w:r>
      <w:r>
        <w:rPr>
          <w:rFonts w:ascii="Cambria" w:hAnsi="Cambria"/>
        </w:rPr>
        <w:t xml:space="preserve">(TNC) </w:t>
      </w:r>
      <w:r w:rsidRPr="00531789">
        <w:rPr>
          <w:rFonts w:ascii="Cambria" w:hAnsi="Cambria"/>
        </w:rPr>
        <w:t>concentration is increased under elevated CO</w:t>
      </w:r>
      <w:r w:rsidRPr="00531789">
        <w:rPr>
          <w:rFonts w:ascii="Cambria" w:hAnsi="Cambria"/>
          <w:vertAlign w:val="subscript"/>
        </w:rPr>
        <w:t>2</w:t>
      </w:r>
      <w:r w:rsidRPr="00531789">
        <w:rPr>
          <w:rFonts w:ascii="Cambria" w:hAnsi="Cambria"/>
        </w:rPr>
        <w:t>, suggesting sink limitation, an effect</w:t>
      </w:r>
      <w:r>
        <w:rPr>
          <w:rFonts w:ascii="Cambria" w:hAnsi="Cambria"/>
        </w:rPr>
        <w:t xml:space="preserve"> </w:t>
      </w:r>
      <w:r w:rsidRPr="00531789">
        <w:rPr>
          <w:rFonts w:ascii="Cambria" w:hAnsi="Cambria"/>
        </w:rPr>
        <w:t xml:space="preserve">which </w:t>
      </w:r>
      <w:r>
        <w:rPr>
          <w:rFonts w:ascii="Cambria" w:hAnsi="Cambria"/>
        </w:rPr>
        <w:t>appears to diminish</w:t>
      </w:r>
      <w:r w:rsidRPr="00531789">
        <w:rPr>
          <w:rFonts w:ascii="Cambria" w:hAnsi="Cambria"/>
        </w:rPr>
        <w:t xml:space="preserve"> over time indicating a shift from sink limitation towards greater source limitation during vegetative growth.  However the defoliation treatment has no effect on the parameters measured here and is deemed ineffective.  The results from this study have subsequently enabled the development of effective methods for </w:t>
      </w:r>
      <w:proofErr w:type="spellStart"/>
      <w:r w:rsidRPr="00531789">
        <w:rPr>
          <w:rFonts w:ascii="Cambria" w:hAnsi="Cambria"/>
        </w:rPr>
        <w:t>source:sink</w:t>
      </w:r>
      <w:proofErr w:type="spellEnd"/>
      <w:r w:rsidRPr="00531789">
        <w:rPr>
          <w:rFonts w:ascii="Cambria" w:hAnsi="Cambria"/>
        </w:rPr>
        <w:t xml:space="preserve"> manipulation in </w:t>
      </w:r>
      <w:r>
        <w:rPr>
          <w:rFonts w:ascii="Cambria" w:hAnsi="Cambria"/>
        </w:rPr>
        <w:t>barley</w:t>
      </w:r>
      <w:r w:rsidRPr="00531789">
        <w:rPr>
          <w:rFonts w:ascii="Cambria" w:hAnsi="Cambria"/>
        </w:rPr>
        <w:t xml:space="preserve">, discussed in the following chapters of this thesis.  </w:t>
      </w:r>
    </w:p>
    <w:p w14:paraId="2753B7D6" w14:textId="77777777" w:rsidR="00DF4522" w:rsidRPr="00531789" w:rsidRDefault="00DF4522" w:rsidP="00DF4522">
      <w:pPr>
        <w:spacing w:line="360" w:lineRule="auto"/>
        <w:jc w:val="both"/>
        <w:rPr>
          <w:rFonts w:ascii="Cambria" w:hAnsi="Cambria"/>
          <w:b/>
        </w:rPr>
      </w:pPr>
    </w:p>
    <w:p w14:paraId="51C05439" w14:textId="77777777" w:rsidR="00DF4522" w:rsidRPr="00531789" w:rsidRDefault="00DF4522" w:rsidP="00DF4522">
      <w:pPr>
        <w:spacing w:line="360" w:lineRule="auto"/>
        <w:jc w:val="both"/>
        <w:rPr>
          <w:rFonts w:ascii="Cambria" w:hAnsi="Cambria"/>
          <w:b/>
        </w:rPr>
      </w:pPr>
      <w:r w:rsidRPr="00531789">
        <w:rPr>
          <w:rFonts w:ascii="Cambria" w:hAnsi="Cambria"/>
          <w:b/>
        </w:rPr>
        <w:t>Elevated CO</w:t>
      </w:r>
      <w:r w:rsidRPr="00531789">
        <w:rPr>
          <w:rFonts w:ascii="Cambria" w:hAnsi="Cambria"/>
          <w:b/>
          <w:vertAlign w:val="subscript"/>
        </w:rPr>
        <w:t xml:space="preserve">2 </w:t>
      </w:r>
      <w:r w:rsidRPr="00531789">
        <w:rPr>
          <w:rFonts w:ascii="Cambria" w:hAnsi="Cambria"/>
          <w:b/>
        </w:rPr>
        <w:t>transient does not increase photosynthesis</w:t>
      </w:r>
    </w:p>
    <w:p w14:paraId="5A6BF37C" w14:textId="77777777" w:rsidR="00DF4522" w:rsidRPr="00531789" w:rsidRDefault="00DF4522" w:rsidP="00DF4522">
      <w:pPr>
        <w:spacing w:line="360" w:lineRule="auto"/>
        <w:jc w:val="both"/>
        <w:rPr>
          <w:rFonts w:ascii="Cambria" w:hAnsi="Cambria"/>
        </w:rPr>
      </w:pPr>
    </w:p>
    <w:p w14:paraId="7A68C1A5" w14:textId="696F79EC" w:rsidR="00DF4522" w:rsidRPr="00531789" w:rsidRDefault="00DF4522" w:rsidP="00DF4522">
      <w:pPr>
        <w:spacing w:line="360" w:lineRule="auto"/>
        <w:jc w:val="both"/>
        <w:rPr>
          <w:rFonts w:ascii="Cambria" w:hAnsi="Cambria"/>
        </w:rPr>
      </w:pPr>
      <w:r w:rsidRPr="00531789">
        <w:rPr>
          <w:rFonts w:ascii="Cambria" w:hAnsi="Cambria"/>
        </w:rPr>
        <w:t>Contrary to predictions, elevated CO</w:t>
      </w:r>
      <w:r w:rsidRPr="00531789">
        <w:rPr>
          <w:rFonts w:ascii="Cambria" w:hAnsi="Cambria"/>
          <w:vertAlign w:val="subscript"/>
        </w:rPr>
        <w:t>2</w:t>
      </w:r>
      <w:r w:rsidRPr="00531789">
        <w:rPr>
          <w:rFonts w:ascii="Cambria" w:hAnsi="Cambria"/>
        </w:rPr>
        <w:t xml:space="preserve"> does not increase net photosynthetic rate except at the second harvest, after 6 weeks of growth (Fig. 1).  The imposition of sink limitation by elevated CO</w:t>
      </w:r>
      <w:r w:rsidRPr="00531789">
        <w:rPr>
          <w:rFonts w:ascii="Cambria" w:hAnsi="Cambria"/>
          <w:vertAlign w:val="subscript"/>
        </w:rPr>
        <w:t>2</w:t>
      </w:r>
      <w:r w:rsidRPr="00531789">
        <w:rPr>
          <w:rFonts w:ascii="Cambria" w:hAnsi="Cambria"/>
        </w:rPr>
        <w:t xml:space="preserve"> – reflected in the increased TNC levels – could cause feedback inhibition of photosynthesis by acclimation resulting in an apparent lack of photosynthetic response </w:t>
      </w:r>
      <w:r w:rsidRPr="00531789">
        <w:rPr>
          <w:rFonts w:ascii="Cambria" w:hAnsi="Cambria"/>
        </w:rPr>
        <w:fldChar w:fldCharType="begin" w:fldLock="1"/>
      </w:r>
      <w:r w:rsidR="00906E41">
        <w:rPr>
          <w:rFonts w:ascii="Cambria" w:hAnsi="Cambria"/>
        </w:rPr>
        <w:instrText>ADDIN CSL_CITATION { "citationItems" : [ { "id" : "ITEM-1", "itemData" : { "ISSN" : "1532-2548", "PMID" : "9765554", "abstract" : "Acclimation of photosynthesis to elevated CO2 has previously been shown to be more pronounced when N supply is poor. Is this a direct effect of N or an indirect effect of N by limiting the development of sinks for photoassimilate? This question was tested by growing a perennial ryegrass (Lolium perenne) in the field under elevated (60 Pa) and current (36 Pa) partial pressures of CO2 (pCO2) at low and high levels of N fertilization. Cutting of this herbage crop at 4- to 8-week intervals removed about 80% of the canopy, therefore decreasing the ratio of photosynthetic area to sinks for photoassimilate. Leaf photosynthesis, in vivo carboxylation capacity, carbohydrate, N, ribulose-1,5-bisphosphate carboxylase/oxygenase, sedoheptulose-1,7-bisphosphatase, and chloroplastic fructose-1, 6-bisphosphatase levels were determined for mature lamina during two consecutive summers. Just before the cut, when the canopy was relatively large, growth at elevated pCO2 and low N resulted in significant decreases in carboxylation capacity and the amount of ribulose-1,5-bisphosphate carboxylase/oxygenase protein. In high N there were no significant decreases in carboxylation capacity or proteins, but chloroplastic fructose-1,6-bisphosphatase protein levels increased significantly. Elevated pCO2 resulted in a marked and significant increase in leaf carbohydrate content at low N, but had no effect at high N. This acclimation at low N was absent after the harvest, when the canopy size was small. These results suggest that acclimation under low N is caused by limitation of sink development rather than being a direct effect of N supply on photosynthesis.", "author" : [ { "dropping-particle" : "", "family" : "Rogers", "given" : "A", "non-dropping-particle" : "", "parse-names" : false, "suffix" : "" }, { "dropping-particle" : "", "family" : "Fischer", "given" : "BU", "non-dropping-particle" : "", "parse-names" : false, "suffix" : "" }, { "dropping-particle" : "", "family" : "Bryant", "given" : "J", "non-dropping-particle" : "", "parse-names" : false, "suffix" : "" }, { "dropping-particle" : "", "family" : "Frehner", "given" : "M", "non-dropping-particle" : "", "parse-names" : false, "suffix" : "" }, { "dropping-particle" : "", "family" : "Blum", "given" : "H", "non-dropping-particle" : "", "parse-names" : false, "suffix" : "" }, { "dropping-particle" : "", "family" : "Raines", "given" : "CA", "non-dropping-particle" : "", "parse-names" : false, "suffix" : "" }, { "dropping-particle" : "", "family" : "Long", "given" : "SP", "non-dropping-particle" : "", "parse-names" : false, "suffix" : "" } ], "container-title" : "Plant Physiology", "id" : "ITEM-1", "issue" : "2", "issued" : { "date-parts" : [ [ "1998", "10" ] ] }, "page" : "683-9", "title" : "Acclimation of photosynthesis to elevated CO2 under low-nitrogen nutrition is affected by the capacity for assimilate utilization. Perennial ryegrass under free-air CO2 enrichment", "type" : "article-journal", "volume" : "118" }, "uris" : [ "http://www.mendeley.com/documents/?uuid=cbd02c05-1a1f-4c95-812f-93fcf1df820a" ] }, { "id" : "ITEM-2", "itemData" : { "DOI" : "10.1146/annurev.arplant.55.031903.141610", "ISSN" : "1543-5008", "PMID" : "15377233", "abstract" : "Atmospheric CO(2) concentration ([CO(2)]) is now higher than it was at any time in the past 26 million years and is expected to nearly double during this century. Terrestrial plants with the C(3) photosynthetic pathway respond in the short term to increased [CO(2)] via increased net photosynthesis and decreased transpiration. In the longer term this increase is often offset by downregulation of photosynthetic capacity. But much of what is currently known about plant responses to elevated [CO(2)] comes from enclosure studies, where the responses of plants may be modified by size constraints and the limited life-cycle stages that are examined. Free-Air CO(2) Enrichment (FACE) was developed as a means to grow plants in the field at controlled elevation of CO(2) under fully open-air field conditions. The findings of FACE experiments are quantitatively summarized via meta-analytic statistics and compared to findings from chamber studies. Although trends agree with parallel summaries of enclosure studies, important quantitative differences emerge that have important implications both for predicting the future terrestrial biosphere and understanding how crops may need to be adapted to the changed and changing atmosphere.", "author" : [ { "dropping-particle" : "", "family" : "Long", "given" : "Stephen P", "non-dropping-particle" : "", "parse-names" : false, "suffix" : "" }, { "dropping-particle" : "", "family" : "Ainsworth", "given" : "Elizabeth A", "non-dropping-particle" : "", "parse-names" : false, "suffix" : "" }, { "dropping-particle" : "", "family" : "Rogers", "given" : "Alistair", "non-dropping-particle" : "", "parse-names" : false, "suffix" : "" }, { "dropping-particle" : "", "family" : "Ort", "given" : "Donald R", "non-dropping-particle" : "", "parse-names" : false, "suffix" : "" } ], "container-title" : "Annual Review of Plant Biology", "id" : "ITEM-2", "issued" : { "date-parts" : [ [ "2004", "1" ] ] }, "page" : "591-628", "title" : "Rising atmospheric carbon dioxide: plants FACE the future.", "type" : "article-journal", "volume" : "55" }, "uris" : [ "http://www.mendeley.com/documents/?uuid=26cf908c-0122-4e7c-b24f-8546f0c8ff30" ] } ], "mendeley" : { "formattedCitation" : "(Rogers &lt;i&gt;et al.&lt;/i&gt;, 1998; Long &lt;i&gt;et al.&lt;/i&gt;, 2004)", "plainTextFormattedCitation" : "(Rogers et al., 1998; Long et al., 2004)", "previouslyFormattedCitation" : "(Rogers &lt;i&gt;et al.&lt;/i&gt;, 1998; Long &lt;i&gt;et al.&lt;/i&gt;, 2004)"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(Rogers </w:t>
      </w:r>
      <w:r w:rsidRPr="002C5907">
        <w:rPr>
          <w:rFonts w:ascii="Cambria" w:hAnsi="Cambria"/>
          <w:i/>
          <w:noProof/>
        </w:rPr>
        <w:t>et al.</w:t>
      </w:r>
      <w:r w:rsidRPr="002C5907">
        <w:rPr>
          <w:rFonts w:ascii="Cambria" w:hAnsi="Cambria"/>
          <w:noProof/>
        </w:rPr>
        <w:t xml:space="preserve">, 1998; Long </w:t>
      </w:r>
      <w:r w:rsidRPr="002C5907">
        <w:rPr>
          <w:rFonts w:ascii="Cambria" w:hAnsi="Cambria"/>
          <w:i/>
          <w:noProof/>
        </w:rPr>
        <w:t>et al.</w:t>
      </w:r>
      <w:r w:rsidRPr="002C5907">
        <w:rPr>
          <w:rFonts w:ascii="Cambria" w:hAnsi="Cambria"/>
          <w:noProof/>
        </w:rPr>
        <w:t>, 2004)</w:t>
      </w:r>
      <w:r w:rsidRPr="00531789">
        <w:rPr>
          <w:rFonts w:ascii="Cambria" w:hAnsi="Cambria"/>
        </w:rPr>
        <w:fldChar w:fldCharType="end"/>
      </w:r>
      <w:r w:rsidRPr="00531789">
        <w:rPr>
          <w:rFonts w:ascii="Cambria" w:hAnsi="Cambria"/>
        </w:rPr>
        <w:t xml:space="preserve">.  This could be caused proximately by a decrease in </w:t>
      </w:r>
      <w:proofErr w:type="spellStart"/>
      <w:r w:rsidRPr="00531789">
        <w:rPr>
          <w:rFonts w:ascii="Cambria" w:hAnsi="Cambria"/>
        </w:rPr>
        <w:t>V</w:t>
      </w:r>
      <w:r w:rsidRPr="00531789">
        <w:rPr>
          <w:rFonts w:ascii="Cambria" w:hAnsi="Cambria"/>
          <w:vertAlign w:val="subscript"/>
        </w:rPr>
        <w:t>c,max</w:t>
      </w:r>
      <w:proofErr w:type="spellEnd"/>
      <w:r w:rsidRPr="00531789">
        <w:rPr>
          <w:rFonts w:ascii="Cambria" w:hAnsi="Cambria"/>
        </w:rPr>
        <w:t xml:space="preserve"> brought about by changes in the amount or activity of </w:t>
      </w:r>
      <w:proofErr w:type="spellStart"/>
      <w:r w:rsidRPr="00531789">
        <w:rPr>
          <w:rFonts w:ascii="Cambria" w:hAnsi="Cambria"/>
        </w:rPr>
        <w:t>Rubisco</w:t>
      </w:r>
      <w:proofErr w:type="spellEnd"/>
      <w:r w:rsidRPr="00531789">
        <w:rPr>
          <w:rFonts w:ascii="Cambria" w:hAnsi="Cambria"/>
        </w:rPr>
        <w:t xml:space="preserve">, by </w:t>
      </w:r>
      <w:proofErr w:type="spellStart"/>
      <w:r w:rsidRPr="00531789">
        <w:rPr>
          <w:rFonts w:ascii="Cambria" w:hAnsi="Cambria"/>
        </w:rPr>
        <w:t>RuBP</w:t>
      </w:r>
      <w:proofErr w:type="spellEnd"/>
      <w:r w:rsidRPr="00531789">
        <w:rPr>
          <w:rFonts w:ascii="Cambria" w:hAnsi="Cambria"/>
        </w:rPr>
        <w:t xml:space="preserve">-regeneration limitation, or by a direct sink feedback due to triose phosphate limitation </w:t>
      </w:r>
      <w:r w:rsidRPr="00531789">
        <w:rPr>
          <w:rFonts w:ascii="Cambria" w:hAnsi="Cambria"/>
        </w:rPr>
        <w:fldChar w:fldCharType="begin" w:fldLock="1"/>
      </w:r>
      <w:r>
        <w:rPr>
          <w:rFonts w:ascii="Cambria" w:hAnsi="Cambria"/>
        </w:rPr>
        <w:instrText>ADDIN CSL_CITATION { "citationItems" : [ { "id" : "ITEM-1", "itemData" : { "DOI" : "10.1111/j.1365-3040.2007.01710.x", "ISSN" : "0140-7791", "PMID" : "17661745", "abstract" : "Photosynthetic responses to carbon dioxide concentration can provide data on a number of important parameters related to leaf physiology. Methods for fitting a model to such data are briefly described. The method will fit the following parameters: V(cmax), J, TPU, R(d) and g(m)[maximum carboxylation rate allowed by ribulose 1.5-bisphosphate carboxylase/oxygenase (Rubisco), rate of photosynthetic electron transport (based on NADPH requirement), triose phosphate use, day respiration and mesophyll conductance, respectively]. The method requires at least five data pairs of net CO(2) assimilation (A) and [CO(2)] in the intercellular airspaces of the leaf (C(i)) and requires users to indicate the presumed limiting factor. The output is (1) calculated CO(2) partial pressure at the sites of carboxylation, C(c), (2) values for the five parameters at the measurement temperature and (3) values adjusted to 25 degrees C to facilitate comparisons. Fitting this model is a way of exploring leaf level photosynthesis. However, interpreting leaf level photosynthesis in terms of underlying biochemistry and biophysics is subject to assumptions that hold to a greater or lesser degree, a major assumption being that all parts of the leaf are behaving in the same way at each instant.", "author" : [ { "dropping-particle" : "", "family" : "Sharkey", "given" : "Thomas D", "non-dropping-particle" : "", "parse-names" : false, "suffix" : "" }, { "dropping-particle" : "", "family" : "Bernacchi", "given" : "Carl J", "non-dropping-particle" : "", "parse-names" : false, "suffix" : "" }, { "dropping-particle" : "", "family" : "Farquhar", "given" : "Graham D", "non-dropping-particle" : "", "parse-names" : false, "suffix" : "" }, { "dropping-particle" : "", "family" : "Singsaas", "given" : "Eric L", "non-dropping-particle" : "", "parse-names" : false, "suffix" : "" } ], "container-title" : "Plant, Cell &amp; Environment", "id" : "ITEM-1", "issue" : "9", "issued" : { "date-parts" : [ [ "2007", "9" ] ] }, "page" : "1035-40", "title" : "Fitting photosynthetic carbon dioxide response curves for C3 leaves.", "type" : "article-journal", "volume" : "30" }, "uris" : [ "http://www.mendeley.com/documents/?uuid=8d8b2784-0309-4469-a80e-62a79670b7f8" ] } ], "mendeley" : { "formattedCitation" : "(Sharkey &lt;i&gt;et al.&lt;/i&gt;, 2007)", "plainTextFormattedCitation" : "(Sharkey et al., 2007)", "previouslyFormattedCitation" : "(Sharkey &lt;i&gt;et al.&lt;/i&gt;, 2007)"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(Sharkey </w:t>
      </w:r>
      <w:r w:rsidRPr="002C5907">
        <w:rPr>
          <w:rFonts w:ascii="Cambria" w:hAnsi="Cambria"/>
          <w:i/>
          <w:noProof/>
        </w:rPr>
        <w:t>et al.</w:t>
      </w:r>
      <w:r w:rsidRPr="002C5907">
        <w:rPr>
          <w:rFonts w:ascii="Cambria" w:hAnsi="Cambria"/>
          <w:noProof/>
        </w:rPr>
        <w:t>, 2007)</w:t>
      </w:r>
      <w:r w:rsidRPr="00531789">
        <w:rPr>
          <w:rFonts w:ascii="Cambria" w:hAnsi="Cambria"/>
        </w:rPr>
        <w:fldChar w:fldCharType="end"/>
      </w:r>
      <w:r w:rsidRPr="00531789">
        <w:rPr>
          <w:rFonts w:ascii="Cambria" w:hAnsi="Cambria"/>
        </w:rPr>
        <w:t>; A/</w:t>
      </w:r>
      <w:proofErr w:type="spellStart"/>
      <w:r w:rsidRPr="00531789">
        <w:rPr>
          <w:rFonts w:ascii="Cambria" w:hAnsi="Cambria"/>
        </w:rPr>
        <w:t>C</w:t>
      </w:r>
      <w:r w:rsidRPr="00531789">
        <w:rPr>
          <w:rFonts w:ascii="Cambria" w:hAnsi="Cambria"/>
          <w:vertAlign w:val="subscript"/>
        </w:rPr>
        <w:t>i</w:t>
      </w:r>
      <w:proofErr w:type="spellEnd"/>
      <w:r w:rsidRPr="00531789">
        <w:rPr>
          <w:rFonts w:ascii="Cambria" w:hAnsi="Cambria"/>
        </w:rPr>
        <w:t xml:space="preserve"> curves would be required to investigate the limitation.  Elevated CO</w:t>
      </w:r>
      <w:r w:rsidRPr="00531789">
        <w:rPr>
          <w:rFonts w:ascii="Cambria" w:hAnsi="Cambria"/>
          <w:vertAlign w:val="subscript"/>
        </w:rPr>
        <w:t>2</w:t>
      </w:r>
      <w:r w:rsidRPr="00531789">
        <w:rPr>
          <w:rFonts w:ascii="Cambria" w:hAnsi="Cambria"/>
        </w:rPr>
        <w:t xml:space="preserve"> treatments are often applied for months or years, and photosynthetic acclimation occurs over these longer timescales </w:t>
      </w:r>
      <w:r w:rsidRPr="00531789">
        <w:rPr>
          <w:rFonts w:ascii="Cambria" w:hAnsi="Cambria"/>
        </w:rPr>
        <w:fldChar w:fldCharType="begin" w:fldLock="1"/>
      </w:r>
      <w:r w:rsidR="00906E41">
        <w:rPr>
          <w:rFonts w:ascii="Cambria" w:hAnsi="Cambria"/>
        </w:rPr>
        <w:instrText>ADDIN CSL_CITATION { "citationItems" : [ { "id" : "ITEM-1", "itemData" : { "ISSN" : "1532-2548", "PMID" : "9765554", "abstract" : "Acclimation of photosynthesis to elevated CO2 has previously been shown to be more pronounced when N supply is poor. Is this a direct effect of N or an indirect effect of N by limiting the development of sinks for photoassimilate? This question was tested by growing a perennial ryegrass (Lolium perenne) in the field under elevated (60 Pa) and current (36 Pa) partial pressures of CO2 (pCO2) at low and high levels of N fertilization. Cutting of this herbage crop at 4- to 8-week intervals removed about 80% of the canopy, therefore decreasing the ratio of photosynthetic area to sinks for photoassimilate. Leaf photosynthesis, in vivo carboxylation capacity, carbohydrate, N, ribulose-1,5-bisphosphate carboxylase/oxygenase, sedoheptulose-1,7-bisphosphatase, and chloroplastic fructose-1, 6-bisphosphatase levels were determined for mature lamina during two consecutive summers. Just before the cut, when the canopy was relatively large, growth at elevated pCO2 and low N resulted in significant decreases in carboxylation capacity and the amount of ribulose-1,5-bisphosphate carboxylase/oxygenase protein. In high N there were no significant decreases in carboxylation capacity or proteins, but chloroplastic fructose-1,6-bisphosphatase protein levels increased significantly. Elevated pCO2 resulted in a marked and significant increase in leaf carbohydrate content at low N, but had no effect at high N. This acclimation at low N was absent after the harvest, when the canopy size was small. These results suggest that acclimation under low N is caused by limitation of sink development rather than being a direct effect of N supply on photosynthesis.", "author" : [ { "dropping-particle" : "", "family" : "Rogers", "given" : "A", "non-dropping-particle" : "", "parse-names" : false, "suffix" : "" }, { "dropping-particle" : "", "family" : "Fischer", "given" : "BU", "non-dropping-particle" : "", "parse-names" : false, "suffix" : "" }, { "dropping-particle" : "", "family" : "Bryant", "given" : "J", "non-dropping-particle" : "", "parse-names" : false, "suffix" : "" }, { "dropping-particle" : "", "family" : "Frehner", "given" : "M", "non-dropping-particle" : "", "parse-names" : false, "suffix" : "" }, { "dropping-particle" : "", "family" : "Blum", "given" : "H", "non-dropping-particle" : "", "parse-names" : false, "suffix" : "" }, { "dropping-particle" : "", "family" : "Raines", "given" : "CA", "non-dropping-particle" : "", "parse-names" : false, "suffix" : "" }, { "dropping-particle" : "", "family" : "Long", "given" : "SP", "non-dropping-particle" : "", "parse-names" : false, "suffix" : "" } ], "container-title" : "Plant Physiology", "id" : "ITEM-1", "issue" : "2", "issued" : { "date-parts" : [ [ "1998", "10" ] ] }, "page" : "683-9", "title" : "Acclimation of photosynthesis to elevated CO2 under low-nitrogen nutrition is affected by the capacity for assimilate utilization. Perennial ryegrass under free-air CO2 enrichment", "type" : "article-journal", "volume" : "118" }, "uris" : [ "http://www.mendeley.com/documents/?uuid=cbd02c05-1a1f-4c95-812f-93fcf1df820a" ] }, { "id" : "ITEM-2", "itemData" : { "DOI" : "10.1046/j.1365-3040.1998.00265.x", "ISSN" : "0140-7791", "abstract" : "Artificial chalk grassland swards were exposed to either ambient air or air enriched to 600 mol mol\u20131 CO2, using free-airCO2 enrichment technology, and subjected to an 8 week simulated grazing regime. After 14 months of treatment, ribulose-1,5-bisphosphate carboxylase (Rubisco) activity (Vc,max) and electron transport mediated ribulose- 1,5-bisphosphate (RuBP) regeneration capacity (Jmax), estimated from leaf gas exchange, were significantly lower in fully expanded leaves of Anthyllis vulneraria L. (a legume) and Sanguisorba minor Scop. grown in elevated CO2. After a change in source:sink balance brought about by defoliation, photosynthetic capacity was fully restored in A. vulneraria and S. minor, but acclimation continued in the grass Bromopsis erecta (Hudson) Fourr. Changes in net photosynthesis (Pn) with growth at elevated CO2 ranged from a 1\u00b76% reduction in precut leaves of A. vulneraria to a 47\u00b71% stimulation in postcut leaves of S. minor. Stomatal acclimation was observed in leaves of A. vulneraria (reduced stomatal density) and B. erecta (reduced stomatal conductance). The results are discussed in terms of whole-plant resource-use optimization and chalk grass- land community competitive interactions at elevated CO2.", "author" : [ { "dropping-particle" : "", "family" : "Bryant", "given" : "J.", "non-dropping-particle" : "", "parse-names" : false, "suffix" : "" }, { "dropping-particle" : "", "family" : "Taylor", "given" : "G.", "non-dropping-particle" : "", "parse-names" : false, "suffix" : "" }, { "dropping-particle" : "", "family" : "Frehner", "given" : "M.", "non-dropping-particle" : "", "parse-names" : false, "suffix" : "" } ], "container-title" : "Plant, Cell &amp; Environment", "id" : "ITEM-2", "issue" : "2", "issued" : { "date-parts" : [ [ "1998", "2" ] ] }, "page" : "159-168", "title" : "Photosynthetic acclimation to elevated CO2 is modified by source:sink balance in three component species of chalk grassland swards grown in a free air carbon dioxide enrichment (FACE) experiment", "type" : "article-journal", "volume" : "21" }, "uris" : [ "http://www.mendeley.com/documents/?uuid=08d06e6f-6558-4bdd-9350-c1b56acb361c" ] }, { "id" : "ITEM-3", "itemData" : { "DOI" : "10.1016/j.agrformet.2003.09.002", "ISSN" : "01681923", "author" : [ { "dropping-particle" : "", "family" : "Ainsworth", "given" : "Elizabeth A", "non-dropping-particle" : "", "parse-names" : false, "suffix" : "" }, { "dropping-particle" : "", "family" : "Rogers", "given" : "Alistair", "non-dropping-particle" : "", "parse-names" : false, "suffix" : "" }, { "dropping-particle" : "", "family" : "Nelson", "given" : "Randall", "non-dropping-particle" : "", "parse-names" : false, "suffix" : "" }, { "dropping-particle" : "", "family" : "Long", "given" : "Stephen P", "non-dropping-particle" : "", "parse-names" : false, "suffix" : "" } ], "container-title" : "Agricultural and Forest Meteorology", "id" : "ITEM-3", "issue" : "1-2", "issued" : { "date-parts" : [ [ "2004", "3" ] ] }, "page" : "85-94", "title" : "Testing the \u201csource\u2013sink\u201d hypothesis of down-regulation of photosynthesis in elevated [CO2] in the field with single gene substitutions in Glycine max", "type" : "article-journal", "volume" : "122" }, "uris" : [ "http://www.mendeley.com/documents/?uuid=212ed654-d1ec-47e4-9a05-b5a118151413" ] }, { "id" : "ITEM-4", "itemData" : { "author" : [ { "dropping-particle" : "", "family" : "Ainsworth", "given" : "E A", "non-dropping-particle" : "", "parse-names" : false, "suffix" : "" }, { "dropping-particle" : "", "family" : "Davey", "given" : "P A", "non-dropping-particle" : "", "parse-names" : false, "suffix" : "" }, { "dropping-particle" : "", "family" : "Hymus", "given" : "G J", "non-dropping-particle" : "", "parse-names" : false, "suffix" : "" }, { "dropping-particle" : "", "family" : "Osborne", "given" : "C P", "non-dropping-particle" : "", "parse-names" : false, "suffix" : "" }, { "dropping-particle" : "", "family" : "Rogers", "given" : "A", "non-dropping-particle" : "", "parse-names" : false, "suffix" : "" }, { "dropping-particle" : "", "family" : "Blum", "given" : "H", "non-dropping-particle" : "", "parse-names" : false, "suffix" : "" }, { "dropping-particle" : "", "family" : "N\u00f6sberger", "given" : "J", "non-dropping-particle" : "", "parse-names" : false, "suffix" : "" } ], "container-title" : "Plant, Cell &amp; Environment", "id" : "ITEM-4", "issued" : { "date-parts" : [ [ "2003" ] ] }, "page" : "705-714", "title" : "Is stimulation of leaf photosynthesis by elevated carbon dioxide concentration maintained in the long term? A test with Lolium perenne grown for 10 years at two nitrogen fertilization levels under Free Air CO2 Enrichment (FACE)", "type" : "article-journal", "volume" : "26" }, "uris" : [ "http://www.mendeley.com/documents/?uuid=c2e64ee4-0701-4038-bbb9-375db47c90d0" ] }, { "id" : "ITEM-5", "itemData" : { "DOI" : "10.1093/jxb/ert081", "ISSN" : "1460-2431", "PMID" : "23564953", "abstract" : "The expansion of the world's population requires the development of high production agriculture. For this purpose, it is essential to identify target points conditioning crop responsiveness to predicted [CO2]. The aim of this study was to determine the relevance of ear sink strength in leaf protein and metabolomic profiles and its implications in photosynthetic activity and yield of durum wheat plants exposed to elevated [CO2]. For this purpose, a genotype with high harvest index (HI) (Triticum durum var. Sula) and another with low HI (Triticum durum var. Blanqueta) were exposed to elevated [CO2] (700 \u00b5mol mol(-1) versus 400 \u00b5mol mol(-1) CO2) in CO2 greenhouses. The obtained data highlighted that elevated [CO2] only increased plant growth in the genotype with the largest HI; Sula. Gas exchange analyses revealed that although exposure to 700 \u00b5mol mol(-1) depleted Rubisco content, Sula was capable of increasing the light-saturated rate of CO2 assimilation (Asat) whereas, in Blanqueta, the carbohydrate imbalance induced the down-regulation of Asat. The specific depletion of Rubisco in both genotypes under elevated [CO2], together with the enhancement of other proteins in the Calvin cycle, revealed that there was a redistribution of N from Rubisco towards RuBP regeneration. Moreover, the down-regulation of N, NO3 (-), amino acid, and organic acid content, together with the depletion of proteins involved in amino acid synthesis that was detected in Blanqueta grown at 700 \u00b5mol mol(-1) CO2, revealed that inhibition of N assimilation was involved in the carbohydrate imbalance and consequently with the down-regulation of photosynthesis and growth in these plants.", "author" : [ { "dropping-particle" : "", "family" : "Aranjuelo", "given" : "Iker", "non-dropping-particle" : "", "parse-names" : false, "suffix" : "" }, { "dropping-particle" : "", "family" : "Sanz-S\u00e1ez", "given" : "Alvaro", "non-dropping-particle" : "", "parse-names" : false, "suffix" : "" }, { "dropping-particle" : "", "family" : "Jauregui", "given" : "Iv\u00e1n", "non-dropping-particle" : "", "parse-names" : false, "suffix" : "" }, { "dropping-particle" : "", "family" : "Irigoyen", "given" : "Juan J", "non-dropping-particle" : "", "parse-names" : false, "suffix" : "" }, { "dropping-particle" : "", "family" : "Araus", "given" : "Jos\u00e9 L", "non-dropping-particle" : "", "parse-names" : false, "suffix" : "" }, { "dropping-particle" : "", "family" : "S\u00e1nchez-D\u00edaz", "given" : "Manuel", "non-dropping-particle" : "", "parse-names" : false, "suffix" : "" }, { "dropping-particle" : "", "family" : "Erice", "given" : "Gorka", "non-dropping-particle" : "", "parse-names" : false, "suffix" : "" } ], "container-title" : "Journal of Experimental Botany", "id" : "ITEM-5", "issue" : "7", "issued" : { "date-parts" : [ [ "2013", "4", "5" ] ] }, "page" : "1879-1892", "title" : "Harvest index, a parameter conditioning responsiveness of wheat plants to elevated CO2.", "type" : "article-journal", "volume" : "64" }, "uris" : [ "http://www.mendeley.com/documents/?uuid=39990fbf-5a7c-4a03-9ab2-bb31aa67c806" ] }, { "id" : "ITEM-6", "itemData" : { "DOI" : "10.1007/BF00566971", "ISSN" : "0029-8549", "author" : [ { "dropping-particle" : "", "family" : "McConnaughay", "given" : "K. D. M.", "non-dropping-particle" : "", "parse-names" : false, "suffix" : "" }, { "dropping-particle" : "", "family" : "Berntson", "given" : "G. M.", "non-dropping-particle" : "", "parse-names" : false, "suffix" : "" }, { "dropping-particle" : "", "family" : "Bazzaz", "given" : "F. A.", "non-dropping-particle" : "", "parse-names" : false, "suffix" : "" } ], "container-title" : "Oecologia", "id" : "ITEM-6", "issue" : "4", "issued" : { "date-parts" : [ [ "1993", "7" ] ] }, "note" : "Need to read properly!", "page" : "550-557", "title" : "Limitations to CO2-induced growth enhancement in pot studies", "type" : "article-journal", "volume" : "94" }, "uris" : [ "http://www.mendeley.com/documents/?uuid=e2836029-3e9b-4005-a8d1-9243d5886f96" ] }, { "id" : "ITEM-7", "itemData" : { "ISSN" : "1532-2548", "PMID" : "9765543", "abstract" : "Long-term exposure of plants to elevated partial pressures of CO2 (pCO2) often depresses photosynthetic capacity. The mechanistic basis for this photosynthetic acclimation may involve accumulation of carbohydrate and may be promoted by nutrient limitation. However, our current knowledge is inadequate for making reliable predictions concerning the onset and extent of acclimation. Many studies have sought to investigate the effects of N supply but the methodologies used generally do not allow separation of the direct effects of limited N availability from those caused by a N dilution effect due to accelerated growth at elevated pCO2. To dissociate these interactions, wheat (Triticum aestivum L.) was grown hydroponically and N was added in direct proportion to plant growth. Photosynthesis did not acclimate to elevated pCO2 even when growth was restricted by a low-N relative addition rate. Ribulose-1, 5-bisphosphate carboxylase/oxygenase activity and quantity were maintained, there was no evidence for triose phosphate limitation of photosynthesis, and tissue N content remained within the range recorded for healthy wheat plants. In contrast, wheat grown in sand culture with N supplied at a fixed concentration suffered photosynthetic acclimation at elevated pCO2 in a low-N treatment. This was accompanied by a significant reduction in the quantity of active ribulose-1, 5-bisphosphate carboxylase/oxygenase and leaf N content.", "author" : [ { "dropping-particle" : "", "family" : "Farage", "given" : "PK", "non-dropping-particle" : "", "parse-names" : false, "suffix" : "" }, { "dropping-particle" : "", "family" : "McKee", "given" : "IF", "non-dropping-particle" : "", "parse-names" : false, "suffix" : "" }, { "dropping-particle" : "", "family" : "Long", "given" : "SP", "non-dropping-particle" : "", "parse-names" : false, "suffix" : "" } ], "container-title" : "Plant Physiology", "id" : "ITEM-7", "issue" : "2", "issued" : { "date-parts" : [ [ "1998", "10" ] ] }, "page" : "573-80", "title" : "Does a low nitrogen supply necessarily lead to acclimation of photosynthesis to elevated CO2?", "type" : "article-journal", "volume" : "118" }, "uris" : [ "http://www.mendeley.com/documents/?uuid=e71bdee4-0f0f-485a-ac61-5673528705bd" ] } ], "mendeley" : { "formattedCitation" : "(McConnaughay &lt;i&gt;et al.&lt;/i&gt;, 1993; Bryant &lt;i&gt;et al.&lt;/i&gt;, 1998; Farage &lt;i&gt;et al.&lt;/i&gt;, 1998; Rogers &lt;i&gt;et al.&lt;/i&gt;, 1998; Ainsworth &lt;i&gt;et al.&lt;/i&gt;, 2003, 2004; Aranjuelo &lt;i&gt;et al.&lt;/i&gt;, 2013)", "plainTextFormattedCitation" : "(McConnaughay et al., 1993; Bryant et al., 1998; Farage et al., 1998; Rogers et al., 1998; Ainsworth et al., 2003, 2004; Aranjuelo et al., 2013)", "previouslyFormattedCitation" : "(McConnaughay &lt;i&gt;et al.&lt;/i&gt;, 1993; Bryant &lt;i&gt;et al.&lt;/i&gt;, 1998; Farage &lt;i&gt;et al.&lt;/i&gt;, 1998; Rogers &lt;i&gt;et al.&lt;/i&gt;, 1998; Ainsworth &lt;i&gt;et al.&lt;/i&gt;, 2003, 2004; Aranjuelo &lt;i&gt;et al.&lt;/i&gt;, 2013)"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(McConnaughay </w:t>
      </w:r>
      <w:r w:rsidRPr="002C5907">
        <w:rPr>
          <w:rFonts w:ascii="Cambria" w:hAnsi="Cambria"/>
          <w:i/>
          <w:noProof/>
        </w:rPr>
        <w:t>et al.</w:t>
      </w:r>
      <w:r w:rsidRPr="002C5907">
        <w:rPr>
          <w:rFonts w:ascii="Cambria" w:hAnsi="Cambria"/>
          <w:noProof/>
        </w:rPr>
        <w:t xml:space="preserve">, 1993; Bryant </w:t>
      </w:r>
      <w:r w:rsidRPr="002C5907">
        <w:rPr>
          <w:rFonts w:ascii="Cambria" w:hAnsi="Cambria"/>
          <w:i/>
          <w:noProof/>
        </w:rPr>
        <w:t>et al.</w:t>
      </w:r>
      <w:r w:rsidRPr="002C5907">
        <w:rPr>
          <w:rFonts w:ascii="Cambria" w:hAnsi="Cambria"/>
          <w:noProof/>
        </w:rPr>
        <w:t xml:space="preserve">, 1998; Farage </w:t>
      </w:r>
      <w:r w:rsidRPr="002C5907">
        <w:rPr>
          <w:rFonts w:ascii="Cambria" w:hAnsi="Cambria"/>
          <w:i/>
          <w:noProof/>
        </w:rPr>
        <w:t>et al.</w:t>
      </w:r>
      <w:r w:rsidRPr="002C5907">
        <w:rPr>
          <w:rFonts w:ascii="Cambria" w:hAnsi="Cambria"/>
          <w:noProof/>
        </w:rPr>
        <w:t xml:space="preserve">, 1998; Rogers </w:t>
      </w:r>
      <w:r w:rsidRPr="002C5907">
        <w:rPr>
          <w:rFonts w:ascii="Cambria" w:hAnsi="Cambria"/>
          <w:i/>
          <w:noProof/>
        </w:rPr>
        <w:t>et al.</w:t>
      </w:r>
      <w:r w:rsidRPr="002C5907">
        <w:rPr>
          <w:rFonts w:ascii="Cambria" w:hAnsi="Cambria"/>
          <w:noProof/>
        </w:rPr>
        <w:t xml:space="preserve">, 1998; Ainsworth </w:t>
      </w:r>
      <w:r w:rsidRPr="002C5907">
        <w:rPr>
          <w:rFonts w:ascii="Cambria" w:hAnsi="Cambria"/>
          <w:i/>
          <w:noProof/>
        </w:rPr>
        <w:t>et al.</w:t>
      </w:r>
      <w:r w:rsidRPr="002C5907">
        <w:rPr>
          <w:rFonts w:ascii="Cambria" w:hAnsi="Cambria"/>
          <w:noProof/>
        </w:rPr>
        <w:t xml:space="preserve">, 2003, 2004; Aranjuelo </w:t>
      </w:r>
      <w:r w:rsidRPr="002C5907">
        <w:rPr>
          <w:rFonts w:ascii="Cambria" w:hAnsi="Cambria"/>
          <w:i/>
          <w:noProof/>
        </w:rPr>
        <w:t>et al.</w:t>
      </w:r>
      <w:r w:rsidRPr="002C5907">
        <w:rPr>
          <w:rFonts w:ascii="Cambria" w:hAnsi="Cambria"/>
          <w:noProof/>
        </w:rPr>
        <w:t>, 2013)</w:t>
      </w:r>
      <w:r w:rsidRPr="00531789">
        <w:rPr>
          <w:rFonts w:ascii="Cambria" w:hAnsi="Cambria"/>
        </w:rPr>
        <w:fldChar w:fldCharType="end"/>
      </w:r>
      <w:r w:rsidRPr="00531789">
        <w:rPr>
          <w:rFonts w:ascii="Cambria" w:hAnsi="Cambria"/>
        </w:rPr>
        <w:t>.  In all these cases, photosynthetic acclimation is alleviated when the carbon sink is increased.  Shorter-term studies reveal that whilst photosynthesis is increased under elevated CO</w:t>
      </w:r>
      <w:r w:rsidRPr="00531789">
        <w:rPr>
          <w:rFonts w:ascii="Cambria" w:hAnsi="Cambria"/>
          <w:vertAlign w:val="subscript"/>
        </w:rPr>
        <w:t>2</w:t>
      </w:r>
      <w:r w:rsidRPr="00531789">
        <w:rPr>
          <w:rFonts w:ascii="Cambria" w:hAnsi="Cambria"/>
        </w:rPr>
        <w:t xml:space="preserve"> over a time period of seconds or hours </w:t>
      </w:r>
      <w:r w:rsidRPr="00531789">
        <w:rPr>
          <w:rFonts w:ascii="Cambria" w:hAnsi="Cambria"/>
        </w:rPr>
        <w:fldChar w:fldCharType="begin" w:fldLock="1"/>
      </w:r>
      <w:r>
        <w:rPr>
          <w:rFonts w:ascii="Cambria" w:hAnsi="Cambria"/>
        </w:rPr>
        <w:instrText>ADDIN CSL_CITATION { "citationItems" : [ { "id" : "ITEM-1", "itemData" : { "DOI" : "10.1093/oxfordjournals.pcp.a029493", "ISBN" : "0032-0781", "ISSN" : "0032-0781", "PMID" : "4000", "abstract" : "In this review, we discuss the effects of elevated CO2 levels on photosynthesis in relation to the whole plant growth in terrestrial higher C3 plants. Short-term CO2 enrichment stimulates the rate of photosynthesis. Plant mass is also enhanced by CO2 enrichment. However, the effects of long-term CO2 enrichment on photosynthesis are variable. Generally, the prolonged exposure to CO2 enrichment reduces the initial stimulation of photosynthesis in many species, and frequently suppresses photosynthesis. These responses are attributed to secondary responses related to either excess carbohydrate accumulation or decreased N content rather than direct responses to CO2. Accumulation of carbohydrates in leaves may lead to the repression of photosynthetic gene expression and excess starch seems to hinder CO2 diffusion. Therefore, the species which have the sink organs for carbohydrate accumulation do not show the suppression of photosynthesis. The suppression of photosynthesis by CO2 enrichment is always associated with decreases in leaf N and Rubisco contents. These decreases are not due to dilution of N caused by a relative increase in the plant mass but are the result of a decrease in N allocation to leaves at the level of the whole plant, and the decrease in Rubisco content is not selective. Leaf senescence and plant development are also accelerated by CO2 enrichment. However, they are independent of each other in some species. Thus, various responses to CO2 observed at the level of a single leaf result from manifold responses at the level of the whole plant grown under conditions of CO2 enrichment.", "author" : [ { "dropping-particle" : "", "family" : "Makino", "given" : "A", "non-dropping-particle" : "", "parse-names" : false, "suffix" : "" }, { "dropping-particle" : "", "family" : "Mae", "given" : "T", "non-dropping-particle" : "", "parse-names" : false, "suffix" : "" } ], "container-title" : "Plant and Cell Physiology", "id" : "ITEM-1", "issue" : "10", "issued" : { "date-parts" : [ [ "1999" ] ] }, "page" : "999-1006", "title" : "Photosynthesis and Plant Growth at Elevated Levels of CO2", "type" : "article-journal", "volume" : "40" }, "uris" : [ "http://www.mendeley.com/documents/?uuid=9a1695ec-7868-49bf-8209-99553c4008ee", "http://www.mendeley.com/documents/?uuid=9615949e-56c6-4375-a872-87b588999c2b" ] } ], "mendeley" : { "formattedCitation" : "(Makino and Mae, 1999&lt;i&gt;a&lt;/i&gt;)", "manualFormatting" : "(Makino and Mae, 1999)", "plainTextFormattedCitation" : "(Makino and Mae, 1999a)", "previouslyFormattedCitation" : "(Makino and Mae, 1999&lt;i&gt;a&lt;/i&gt;)" }, "properties" : { "noteIndex" : 0 }, "schema" : "https://github.com/citation-style-language/schema/raw/master/csl-citation.json" }</w:instrText>
      </w:r>
      <w:r w:rsidRPr="00531789">
        <w:rPr>
          <w:rFonts w:ascii="Cambria" w:hAnsi="Cambria"/>
        </w:rPr>
        <w:fldChar w:fldCharType="separate"/>
      </w:r>
      <w:r w:rsidRPr="00796CB6">
        <w:rPr>
          <w:rFonts w:ascii="Cambria" w:hAnsi="Cambria"/>
          <w:noProof/>
        </w:rPr>
        <w:t>(Makino and Mae, 1999)</w:t>
      </w:r>
      <w:r w:rsidRPr="00531789">
        <w:rPr>
          <w:rFonts w:ascii="Cambria" w:hAnsi="Cambria"/>
        </w:rPr>
        <w:fldChar w:fldCharType="end"/>
      </w:r>
      <w:r w:rsidRPr="00531789">
        <w:rPr>
          <w:rFonts w:ascii="Cambria" w:hAnsi="Cambria"/>
        </w:rPr>
        <w:t xml:space="preserve">, over a period of days or weeks acclimation occurs due to carbohydrate feedback or nitrogen limitation </w:t>
      </w:r>
      <w:r w:rsidRPr="00531789">
        <w:rPr>
          <w:rFonts w:ascii="Cambria" w:hAnsi="Cambria"/>
        </w:rPr>
        <w:fldChar w:fldCharType="begin" w:fldLock="1"/>
      </w:r>
      <w:r>
        <w:rPr>
          <w:rFonts w:ascii="Cambria" w:hAnsi="Cambria"/>
        </w:rPr>
        <w:instrText>ADDIN CSL_CITATION { "citationItems" : [ { "id" : "ITEM-1", "itemData" : { "author" : [ { "dropping-particle" : "", "family" : "Stitt", "given" : "M", "non-dropping-particle" : "", "parse-names" : false, "suffix" : "" } ], "container-title" : "Plant, Cell and Environment", "id" : "ITEM-1", "issue" : "14", "issued" : { "date-parts" : [ [ "1991" ] ] }, "page" : "741-762", "title" : "Rising CO2 levels and their potential significance for carbon flow in photosynthetic cells", "type" : "article-journal" }, "uris" : [ "http://www.mendeley.com/documents/?uuid=7ec84db5-cf47-41ed-ad9b-12f131523d0c" ] }, { "id" : "ITEM-2", "itemData" : { "DOI" : "10.1093/oxfordjournals.pcp.a029493", "ISBN" : "0032-0781", "ISSN" : "0032-0781", "PMID" : "4000", "abstract" : "In this review, we discuss the effects of elevated CO2 levels on photosynthesis in relation to the whole plant growth in terrestrial higher C3 plants. Short-term CO2 enrichment stimulates the rate of photosynthesis. Plant mass is also enhanced by CO2 enrichment. However, the effects of long-term CO2 enrichment on photosynthesis are variable. Generally, the prolonged exposure to CO2 enrichment reduces the initial stimulation of photosynthesis in many species, and frequently suppresses photosynthesis. These responses are attributed to secondary responses related to either excess carbohydrate accumulation or decreased N content rather than direct responses to CO2. Accumulation of carbohydrates in leaves may lead to the repression of photosynthetic gene expression and excess starch seems to hinder CO2 diffusion. Therefore, the species which have the sink organs for carbohydrate accumulation do not show the suppression of photosynthesis. The suppression of photosynthesis by CO2 enrichment is always associated with decreases in leaf N and Rubisco contents. These decreases are not due to dilution of N caused by a relative increase in the plant mass but are the result of a decrease in N allocation to leaves at the level of the whole plant, and the decrease in Rubisco content is not selective. Leaf senescence and plant development are also accelerated by CO2 enrichment. However, they are independent of each other in some species. Thus, various responses to CO2 observed at the level of a single leaf result from manifold responses at the level of the whole plant grown under conditions of CO2 enrichment.", "author" : [ { "dropping-particle" : "", "family" : "Makino", "given" : "A", "non-dropping-particle" : "", "parse-names" : false, "suffix" : "" }, { "dropping-particle" : "", "family" : "Mae", "given" : "T", "non-dropping-particle" : "", "parse-names" : false, "suffix" : "" } ], "container-title" : "Plant and Cell Physiology", "id" : "ITEM-2", "issue" : "10", "issued" : { "date-parts" : [ [ "1999" ] ] }, "page" : "999-1006", "title" : "Photosynthesis and Plant Growth at Elevated Levels of CO2", "type" : "article-journal", "volume" : "40" }, "uris" : [ "http://www.mendeley.com/documents/?uuid=9615949e-56c6-4375-a872-87b588999c2b", "http://www.mendeley.com/documents/?uuid=9a1695ec-7868-49bf-8209-99553c4008ee" ] } ], "mendeley" : { "formattedCitation" : "(Stitt, 1991; Makino and Mae, 1999&lt;i&gt;b&lt;/i&gt;)", "manualFormatting" : "(Stitt, 1991; Makino and Mae, 1999)", "plainTextFormattedCitation" : "(Stitt, 1991; Makino and Mae, 1999b)", "previouslyFormattedCitation" : "(Stitt, 1991; Makino and Mae, 1999&lt;i&gt;b&lt;/i&gt;)" }, "properties" : { "noteIndex" : 0 }, "schema" : "https://github.com/citation-style-language/schema/raw/master/csl-citation.json" }</w:instrText>
      </w:r>
      <w:r w:rsidRPr="00531789">
        <w:rPr>
          <w:rFonts w:ascii="Cambria" w:hAnsi="Cambria"/>
        </w:rPr>
        <w:fldChar w:fldCharType="separate"/>
      </w:r>
      <w:r w:rsidRPr="00796CB6">
        <w:rPr>
          <w:rFonts w:ascii="Cambria" w:hAnsi="Cambria"/>
          <w:noProof/>
        </w:rPr>
        <w:t>(Stitt, 1991; Makino and Mae, 1999)</w:t>
      </w:r>
      <w:r w:rsidRPr="00531789">
        <w:rPr>
          <w:rFonts w:ascii="Cambria" w:hAnsi="Cambria"/>
        </w:rPr>
        <w:fldChar w:fldCharType="end"/>
      </w:r>
      <w:r w:rsidRPr="00531789">
        <w:rPr>
          <w:rFonts w:ascii="Cambria" w:hAnsi="Cambria"/>
        </w:rPr>
        <w:t xml:space="preserve"> which may be linked to a decrease in </w:t>
      </w:r>
      <w:proofErr w:type="spellStart"/>
      <w:r w:rsidRPr="00531789">
        <w:rPr>
          <w:rFonts w:ascii="Cambria" w:hAnsi="Cambria"/>
        </w:rPr>
        <w:t>Rubisco</w:t>
      </w:r>
      <w:proofErr w:type="spellEnd"/>
      <w:r w:rsidRPr="00531789">
        <w:rPr>
          <w:rFonts w:ascii="Cambria" w:hAnsi="Cambria"/>
        </w:rPr>
        <w:t xml:space="preserve"> content </w:t>
      </w:r>
      <w:r w:rsidRPr="00531789">
        <w:rPr>
          <w:rFonts w:ascii="Cambria" w:hAnsi="Cambria"/>
        </w:rPr>
        <w:fldChar w:fldCharType="begin" w:fldLock="1"/>
      </w:r>
      <w:r>
        <w:rPr>
          <w:rFonts w:ascii="Cambria" w:hAnsi="Cambria"/>
        </w:rPr>
        <w:instrText>ADDIN CSL_CITATION { "citationItems" : [ { "id" : "ITEM-1", "itemData" : { "DOI" : "10.1104/pp.116.2.715", "ISBN" : "0032-0889 (Print)", "ISSN" : "0032-0889", "PMID" : "9489018", "abstract" : "To investigate the proposed molecular characteristics of sugar-mediated repression of photosynthetic genes during plant acclimation to elevated CO2, we examined the relationship between the accumulation and metabolism of nonstructural carbohydrates and changes in ribulose-1,5-bisphosphate carboxylase/oxygenase (Rubisco) gene expression in leaves of Arabidopsis thaliana exposed to elevated CO2. Long-term growth of Arabidopsis at high CO2 (1000 microL L-1) resulted in a 2-fold increase in nonstructural carbohydrates, a large decrease in the expression of Rubisco protein and in the transcript of rbcL, the gene encoding the large subunit of Rubisco (approximately 35-40%), and an even greater decline in mRNA of rbcS, the gene encoding the small subunit (approximately 60%). This differential response of protein and mRNAs suggests that transcriptional/posttranscriptional processes and protein turnover may determine the final amount of leaf Rubisco protein at high CO2. Analysis of mRNA levels of individual rbcS genes indicated that reduction in total rbcS transcripts was caused by decreased expression of all four rbcS genes. Short-term transfer of Arabidopsis plants grown at ambient CO2 to high CO2 resulted in a decrease in total rbcS mRNA by d 6, whereas Rubisco content and rbcL mRNA decreased by d 9. Transfer to high CO2 reduced the maximum expression level of the primary rbcS genes (1A and, particularly, 3B) by limiting their normal pattern of accumulation through the night period. The decreased nighttime levels of rbcS mRNA were associated with a nocturnal increase in leaf hexoses. We suggest that prolonged nighttime hexose metabolism resulting from exposure to elevated CO2 affects rbcS transcript accumulation and, ultimately, the level of Rubisco protein.", "author" : [ { "dropping-particle" : "", "family" : "Cheng", "given" : "S H", "non-dropping-particle" : "", "parse-names" : false, "suffix" : "" }, { "dropping-particle" : "", "family" : "Moore", "given" : "B", "non-dropping-particle" : "", "parse-names" : false, "suffix" : "" }, { "dropping-particle" : "", "family" : "Seemann", "given" : "J R", "non-dropping-particle" : "", "parse-names" : false, "suffix" : "" } ], "container-title" : "Plant physiology", "id" : "ITEM-1", "issue" : "2", "issued" : { "date-parts" : [ [ "1998" ] ] }, "page" : "715-723", "title" : "Effects of short- and long-term elevated CO2 on the expression of ribulose-1,5-bisphosphate carboxylase/oxygenase genes and carbohydrate accumulation in leaves of Arabidopsis thaliana (L.) Heynh.", "type" : "article-journal", "volume" : "116" }, "uris" : [ "http://www.mendeley.com/documents/?uuid=70b40e09-0227-4bdf-bc40-b5b15632a78a", "http://www.mendeley.com/documents/?uuid=47dbba67-4171-48f0-9307-d1df74da372e" ] } ], "mendeley" : { "formattedCitation" : "(Cheng &lt;i&gt;et al.&lt;/i&gt;, 1998)", "plainTextFormattedCitation" : "(Cheng et al., 1998)", "previouslyFormattedCitation" : "(Cheng &lt;i&gt;et al.&lt;/i&gt;, 1998)"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(Cheng </w:t>
      </w:r>
      <w:r w:rsidRPr="002C5907">
        <w:rPr>
          <w:rFonts w:ascii="Cambria" w:hAnsi="Cambria"/>
          <w:i/>
          <w:noProof/>
        </w:rPr>
        <w:t>et al.</w:t>
      </w:r>
      <w:r w:rsidRPr="002C5907">
        <w:rPr>
          <w:rFonts w:ascii="Cambria" w:hAnsi="Cambria"/>
          <w:noProof/>
        </w:rPr>
        <w:t>, 1998)</w:t>
      </w:r>
      <w:r w:rsidRPr="00531789">
        <w:rPr>
          <w:rFonts w:ascii="Cambria" w:hAnsi="Cambria"/>
        </w:rPr>
        <w:fldChar w:fldCharType="end"/>
      </w:r>
      <w:r w:rsidRPr="00531789">
        <w:rPr>
          <w:rFonts w:ascii="Cambria" w:hAnsi="Cambria"/>
        </w:rPr>
        <w:t>.  Here, the elevated CO</w:t>
      </w:r>
      <w:r w:rsidRPr="00531789">
        <w:rPr>
          <w:rFonts w:ascii="Cambria" w:hAnsi="Cambria"/>
          <w:vertAlign w:val="subscript"/>
        </w:rPr>
        <w:t>2</w:t>
      </w:r>
      <w:r w:rsidRPr="00531789">
        <w:rPr>
          <w:rFonts w:ascii="Cambria" w:hAnsi="Cambria"/>
        </w:rPr>
        <w:t xml:space="preserve"> treatment is imposed for only two weeks so that equivalent data could be collected at all three time points, yet even on this relatively short time scale it appears that the sink is insufficient – supported by the metabolite data discussed later in this section – and that photosynthetic acclimation occurs at 4 and 10 weeks after germination under transient elevated CO</w:t>
      </w:r>
      <w:r w:rsidRPr="00531789">
        <w:rPr>
          <w:rFonts w:ascii="Cambria" w:hAnsi="Cambria"/>
          <w:vertAlign w:val="subscript"/>
        </w:rPr>
        <w:t>2</w:t>
      </w:r>
      <w:r w:rsidRPr="00531789">
        <w:rPr>
          <w:rFonts w:ascii="Cambria" w:hAnsi="Cambria"/>
        </w:rPr>
        <w:t>.</w:t>
      </w:r>
    </w:p>
    <w:p w14:paraId="1FD9E2D6" w14:textId="77777777" w:rsidR="00DF4522" w:rsidRPr="00531789" w:rsidRDefault="00DF4522" w:rsidP="00DF4522">
      <w:pPr>
        <w:spacing w:line="360" w:lineRule="auto"/>
        <w:jc w:val="both"/>
        <w:rPr>
          <w:rFonts w:ascii="Cambria" w:hAnsi="Cambria"/>
        </w:rPr>
      </w:pPr>
    </w:p>
    <w:p w14:paraId="04DFE404" w14:textId="77777777" w:rsidR="00DF4522" w:rsidRPr="00531789" w:rsidRDefault="00DF4522" w:rsidP="00DF4522">
      <w:pPr>
        <w:spacing w:line="360" w:lineRule="auto"/>
        <w:jc w:val="both"/>
        <w:rPr>
          <w:rFonts w:ascii="Cambria" w:hAnsi="Cambria"/>
          <w:b/>
        </w:rPr>
      </w:pPr>
      <w:r w:rsidRPr="00531789">
        <w:rPr>
          <w:rFonts w:ascii="Cambria" w:hAnsi="Cambria"/>
          <w:b/>
        </w:rPr>
        <w:t>Elevated CO</w:t>
      </w:r>
      <w:r w:rsidRPr="00531789">
        <w:rPr>
          <w:rFonts w:ascii="Cambria" w:hAnsi="Cambria"/>
          <w:b/>
          <w:vertAlign w:val="subscript"/>
        </w:rPr>
        <w:t>2</w:t>
      </w:r>
      <w:r w:rsidRPr="00531789">
        <w:rPr>
          <w:rFonts w:ascii="Cambria" w:hAnsi="Cambria"/>
          <w:b/>
        </w:rPr>
        <w:t xml:space="preserve"> transient affects biomass allocation but not growth rate</w:t>
      </w:r>
    </w:p>
    <w:p w14:paraId="1C3B30BE" w14:textId="77777777" w:rsidR="00DF4522" w:rsidRPr="00531789" w:rsidRDefault="00DF4522" w:rsidP="00DF4522">
      <w:pPr>
        <w:spacing w:line="360" w:lineRule="auto"/>
        <w:jc w:val="both"/>
        <w:rPr>
          <w:rFonts w:ascii="Cambria" w:hAnsi="Cambria"/>
        </w:rPr>
      </w:pPr>
    </w:p>
    <w:p w14:paraId="25C9A0D9" w14:textId="77777777" w:rsidR="00DF4522" w:rsidRPr="00531789" w:rsidRDefault="00DF4522" w:rsidP="00DF4522">
      <w:pPr>
        <w:spacing w:line="360" w:lineRule="auto"/>
        <w:jc w:val="both"/>
        <w:rPr>
          <w:rFonts w:ascii="Cambria" w:hAnsi="Cambria"/>
        </w:rPr>
      </w:pPr>
      <w:r w:rsidRPr="00531789">
        <w:rPr>
          <w:rFonts w:ascii="Cambria" w:hAnsi="Cambria"/>
        </w:rPr>
        <w:t>RGR decreases over time in elevated CO</w:t>
      </w:r>
      <w:r w:rsidRPr="00531789">
        <w:rPr>
          <w:rFonts w:ascii="Cambria" w:hAnsi="Cambria"/>
          <w:vertAlign w:val="subscript"/>
        </w:rPr>
        <w:t>2</w:t>
      </w:r>
      <w:r w:rsidRPr="00531789">
        <w:rPr>
          <w:rFonts w:ascii="Cambria" w:hAnsi="Cambria"/>
        </w:rPr>
        <w:t xml:space="preserve"> and control plants, revealing developmental effects on growth rate, yet does not differ significantly between treatment and control (Fig. 2), particularly at the first harvest where photosynthesis also does not differ (Fig. 1).  This lack of the expected growth response to the high CO</w:t>
      </w:r>
      <w:r w:rsidRPr="00531789">
        <w:rPr>
          <w:rFonts w:ascii="Cambria" w:hAnsi="Cambria"/>
          <w:vertAlign w:val="subscript"/>
        </w:rPr>
        <w:t>2</w:t>
      </w:r>
      <w:r w:rsidRPr="00531789">
        <w:rPr>
          <w:rFonts w:ascii="Cambria" w:hAnsi="Cambria"/>
        </w:rPr>
        <w:t xml:space="preserve"> transient could be because the treatment was imposed for an insufficient length of time to observe long-term effects on photosynthesis and growth, since the effect of elevated CO</w:t>
      </w:r>
      <w:r w:rsidRPr="00531789">
        <w:rPr>
          <w:rFonts w:ascii="Cambria" w:hAnsi="Cambria"/>
          <w:vertAlign w:val="subscript"/>
        </w:rPr>
        <w:t>2</w:t>
      </w:r>
      <w:r w:rsidRPr="00531789">
        <w:rPr>
          <w:rFonts w:ascii="Cambria" w:hAnsi="Cambria"/>
        </w:rPr>
        <w:t xml:space="preserve"> on plant growth is well-documented </w:t>
      </w:r>
      <w:r w:rsidRPr="00531789">
        <w:rPr>
          <w:rFonts w:ascii="Cambria" w:hAnsi="Cambria"/>
        </w:rPr>
        <w:fldChar w:fldCharType="begin" w:fldLock="1"/>
      </w:r>
      <w:r>
        <w:rPr>
          <w:rFonts w:ascii="Cambria" w:hAnsi="Cambria"/>
        </w:rPr>
        <w:instrText>ADDIN CSL_CITATION { "citationItems" : [ { "id" : "ITEM-1", "itemData" : { "DOI" : "10.1093/jxb/erp096", "ISSN" : "1460-2431", "PMID" : "19401412", "abstract" : "Plant responses to the projected future levels of CO(2) were first characterized in short-term experiments lasting days to weeks. However, longer term acclimation responses to elevated CO(2) were subsequently discovered to be very important in determining plant and ecosystem function. Free-Air CO(2) Enrichment (FACE) experiments are the culmination of efforts to assess the impact of elevated CO(2) on plants over multiple seasons and, in the case of crops, over their entire lifetime. FACE has been used to expose vegetation to elevated concentrations of atmospheric CO(2) under completely open-air conditions for nearly two decades. This review describes some of the lessons learned from the long-term investment in these experiments. First, elevated CO(2) stimulates photosynthetic carbon gain and net primary production over the long term despite down-regulation of Rubisco activity. Second, elevated CO(2) improves nitrogen use efficiency and, third, decreases water use at both the leaf and canopy scale. Fourth, elevated CO(2) stimulates dark respiration via a transcriptional reprogramming of metabolism. Fifth, elevated CO(2) does not directly stimulate C(4) photosynthesis, but can indirectly stimulate carbon gain in times and places of drought. Finally, the stimulation of yield by elevated CO(2) in crop species is much smaller than expected. While many of these lessons have been most clearly demonstrated in crop systems, all of the lessons have important implications for natural systems.", "author" : [ { "dropping-particle" : "", "family" : "Leakey", "given" : "Andrew D B", "non-dropping-particle" : "", "parse-names" : false, "suffix" : "" }, { "dropping-particle" : "", "family" : "Ainsworth", "given" : "Elizabeth A", "non-dropping-particle" : "", "parse-names" : false, "suffix" : "" }, { "dropping-particle" : "", "family" : "Bernacchi", "given" : "Carl J", "non-dropping-particle" : "", "parse-names" : false, "suffix" : "" }, { "dropping-particle" : "", "family" : "Rogers", "given" : "Alistair", "non-dropping-particle" : "", "parse-names" : false, "suffix" : "" }, { "dropping-particle" : "", "family" : "Long", "given" : "Stephen P", "non-dropping-particle" : "", "parse-names" : false, "suffix" : "" }, { "dropping-particle" : "", "family" : "Ort", "given" : "Donald R", "non-dropping-particle" : "", "parse-names" : false, "suffix" : "" } ], "container-title" : "Journal of Experimental Botany", "id" : "ITEM-1", "issue" : "10", "issued" : { "date-parts" : [ [ "2009", "1" ] ] }, "page" : "2859-76", "title" : "Elevated CO2 effects on plant carbon, nitrogen, and water relations: six important lessons from FACE.", "type" : "article-journal", "volume" : "60" }, "uris" : [ "http://www.mendeley.com/documents/?uuid=dc3f8de3-43ba-4bf8-9cab-0496484e7348" ] } ], "mendeley" : { "formattedCitation" : "(Leakey &lt;i&gt;et al.&lt;/i&gt;, 2009)", "plainTextFormattedCitation" : "(Leakey et al., 2009)", "previouslyFormattedCitation" : "(Leakey &lt;i&gt;et al.&lt;/i&gt;, 2009)"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(Leakey </w:t>
      </w:r>
      <w:r w:rsidRPr="002C5907">
        <w:rPr>
          <w:rFonts w:ascii="Cambria" w:hAnsi="Cambria"/>
          <w:i/>
          <w:noProof/>
        </w:rPr>
        <w:t>et al.</w:t>
      </w:r>
      <w:r w:rsidRPr="002C5907">
        <w:rPr>
          <w:rFonts w:ascii="Cambria" w:hAnsi="Cambria"/>
          <w:noProof/>
        </w:rPr>
        <w:t>, 2009)</w:t>
      </w:r>
      <w:r w:rsidRPr="00531789">
        <w:rPr>
          <w:rFonts w:ascii="Cambria" w:hAnsi="Cambria"/>
        </w:rPr>
        <w:fldChar w:fldCharType="end"/>
      </w:r>
      <w:r w:rsidRPr="00531789">
        <w:rPr>
          <w:rFonts w:ascii="Cambria" w:hAnsi="Cambria"/>
        </w:rPr>
        <w:t>.  Elevated CO</w:t>
      </w:r>
      <w:r w:rsidRPr="00531789">
        <w:rPr>
          <w:rFonts w:ascii="Cambria" w:hAnsi="Cambria"/>
          <w:vertAlign w:val="subscript"/>
        </w:rPr>
        <w:t>2</w:t>
      </w:r>
      <w:r w:rsidRPr="00531789">
        <w:rPr>
          <w:rFonts w:ascii="Cambria" w:hAnsi="Cambria"/>
        </w:rPr>
        <w:t xml:space="preserve"> plants have a slightly higher rate of growth than control plants at harvest 2, which matches the results for photosynthesis (Fig. 1).  Although not statistically significant, it is worth noting this developmental trend.  This tentatively supports the hypothesis that the source capacity becomes more limiting later in development, since the elevated CO</w:t>
      </w:r>
      <w:r w:rsidRPr="00531789">
        <w:rPr>
          <w:rFonts w:ascii="Cambria" w:hAnsi="Cambria"/>
          <w:vertAlign w:val="subscript"/>
        </w:rPr>
        <w:t>2</w:t>
      </w:r>
      <w:r w:rsidRPr="00531789">
        <w:rPr>
          <w:rFonts w:ascii="Cambria" w:hAnsi="Cambria"/>
        </w:rPr>
        <w:t xml:space="preserve"> plants at harvest 2 appear better able to take up the additional CO</w:t>
      </w:r>
      <w:r w:rsidRPr="00531789">
        <w:rPr>
          <w:rFonts w:ascii="Cambria" w:hAnsi="Cambria"/>
          <w:vertAlign w:val="subscript"/>
        </w:rPr>
        <w:t>2</w:t>
      </w:r>
      <w:r w:rsidRPr="00531789">
        <w:rPr>
          <w:rFonts w:ascii="Cambria" w:hAnsi="Cambria"/>
        </w:rPr>
        <w:t xml:space="preserve"> in photosynthesis and utilise the acquired carbon for growth.  This indicates a decrease in sink limitation between harvests 1 and 2.  Earlier in development, at harvest 1, if plants are more sink limited due their small size and lack of sufficient storage organs, they will be less able to utilise any additional carbon fixed under elevated CO</w:t>
      </w:r>
      <w:r w:rsidRPr="00531789">
        <w:rPr>
          <w:rFonts w:ascii="Cambria" w:hAnsi="Cambria"/>
          <w:vertAlign w:val="subscript"/>
        </w:rPr>
        <w:t>2</w:t>
      </w:r>
      <w:r w:rsidRPr="00531789">
        <w:rPr>
          <w:rFonts w:ascii="Cambria" w:hAnsi="Cambria"/>
        </w:rPr>
        <w:t xml:space="preserve"> conditions. The increase in source capacity due to elevated CO</w:t>
      </w:r>
      <w:r w:rsidRPr="00531789">
        <w:rPr>
          <w:rFonts w:ascii="Cambria" w:hAnsi="Cambria"/>
          <w:vertAlign w:val="subscript"/>
        </w:rPr>
        <w:t>2</w:t>
      </w:r>
      <w:r w:rsidRPr="00531789">
        <w:rPr>
          <w:rFonts w:ascii="Cambria" w:hAnsi="Cambria"/>
        </w:rPr>
        <w:t xml:space="preserve"> thus leads to a much smaller relative increase in RGR at harvest 1 compared to harvest 2. </w:t>
      </w:r>
    </w:p>
    <w:p w14:paraId="432C64AC" w14:textId="77777777" w:rsidR="00DF4522" w:rsidRPr="00531789" w:rsidRDefault="00DF4522" w:rsidP="00DF4522">
      <w:pPr>
        <w:spacing w:line="360" w:lineRule="auto"/>
        <w:jc w:val="both"/>
        <w:rPr>
          <w:rFonts w:ascii="Cambria" w:hAnsi="Cambria"/>
        </w:rPr>
      </w:pPr>
    </w:p>
    <w:p w14:paraId="191EEB09" w14:textId="77777777" w:rsidR="00DF4522" w:rsidRPr="00531789" w:rsidRDefault="00DF4522" w:rsidP="00DF4522">
      <w:pPr>
        <w:spacing w:line="360" w:lineRule="auto"/>
        <w:jc w:val="both"/>
        <w:rPr>
          <w:rFonts w:ascii="Cambria" w:hAnsi="Cambria"/>
        </w:rPr>
      </w:pPr>
      <w:r w:rsidRPr="00531789">
        <w:rPr>
          <w:rFonts w:ascii="Cambria" w:hAnsi="Cambria"/>
        </w:rPr>
        <w:t xml:space="preserve">The increased leaf mass per unit area (LMA) and decreased </w:t>
      </w:r>
      <w:proofErr w:type="spellStart"/>
      <w:r w:rsidRPr="00531789">
        <w:rPr>
          <w:rFonts w:ascii="Cambria" w:hAnsi="Cambria"/>
        </w:rPr>
        <w:t>root:shoot</w:t>
      </w:r>
      <w:proofErr w:type="spellEnd"/>
      <w:r w:rsidRPr="00531789">
        <w:rPr>
          <w:rFonts w:ascii="Cambria" w:hAnsi="Cambria"/>
        </w:rPr>
        <w:t xml:space="preserve"> ratio in plants exposed to elevated CO</w:t>
      </w:r>
      <w:r w:rsidRPr="00531789">
        <w:rPr>
          <w:rFonts w:ascii="Cambria" w:hAnsi="Cambria"/>
          <w:vertAlign w:val="subscript"/>
        </w:rPr>
        <w:t>2</w:t>
      </w:r>
      <w:r w:rsidRPr="00531789">
        <w:rPr>
          <w:rFonts w:ascii="Cambria" w:hAnsi="Cambria"/>
        </w:rPr>
        <w:t xml:space="preserve"> (Table 1) indicate greater allocation of biomass to shoot tissues in these plants.  This is contrary to expectations, since plants generally invest in acquiring the resource that is limiting – which in the case of elevated CO</w:t>
      </w:r>
      <w:r w:rsidRPr="00531789">
        <w:rPr>
          <w:rFonts w:ascii="Cambria" w:hAnsi="Cambria"/>
          <w:vertAlign w:val="subscript"/>
        </w:rPr>
        <w:t>2</w:t>
      </w:r>
      <w:r w:rsidRPr="00531789">
        <w:rPr>
          <w:rFonts w:ascii="Cambria" w:hAnsi="Cambria"/>
        </w:rPr>
        <w:t xml:space="preserve"> is usually nitrogen, requiring greater allocation to roots.  However the significant build up of leaf carbohydrates </w:t>
      </w:r>
      <w:r>
        <w:rPr>
          <w:rFonts w:ascii="Cambria" w:hAnsi="Cambria"/>
        </w:rPr>
        <w:t>can explain</w:t>
      </w:r>
      <w:r w:rsidRPr="00531789">
        <w:rPr>
          <w:rFonts w:ascii="Cambria" w:hAnsi="Cambria"/>
        </w:rPr>
        <w:t xml:space="preserve"> the greater LMA and lower </w:t>
      </w:r>
      <w:proofErr w:type="spellStart"/>
      <w:r w:rsidRPr="00531789">
        <w:rPr>
          <w:rFonts w:ascii="Cambria" w:hAnsi="Cambria"/>
        </w:rPr>
        <w:t>root:shoot</w:t>
      </w:r>
      <w:proofErr w:type="spellEnd"/>
      <w:r w:rsidRPr="00531789">
        <w:rPr>
          <w:rFonts w:ascii="Cambria" w:hAnsi="Cambria"/>
        </w:rPr>
        <w:t xml:space="preserve"> ratio under elevated CO</w:t>
      </w:r>
      <w:r w:rsidRPr="00531789">
        <w:rPr>
          <w:rFonts w:ascii="Cambria" w:hAnsi="Cambria"/>
          <w:vertAlign w:val="subscript"/>
        </w:rPr>
        <w:t>2</w:t>
      </w:r>
      <w:r>
        <w:rPr>
          <w:rFonts w:ascii="Cambria" w:hAnsi="Cambria"/>
        </w:rPr>
        <w:t>: the average increase in TNC is 0.09g g</w:t>
      </w:r>
      <w:r w:rsidRPr="0081257D">
        <w:rPr>
          <w:rFonts w:ascii="Cambria" w:hAnsi="Cambria"/>
          <w:vertAlign w:val="superscript"/>
        </w:rPr>
        <w:t>-1</w:t>
      </w:r>
      <w:r>
        <w:rPr>
          <w:rFonts w:ascii="Cambria" w:hAnsi="Cambria"/>
        </w:rPr>
        <w:t xml:space="preserve"> CCDW under elevated CO</w:t>
      </w:r>
      <w:r w:rsidRPr="0081257D">
        <w:rPr>
          <w:rFonts w:ascii="Cambria" w:hAnsi="Cambria"/>
          <w:vertAlign w:val="subscript"/>
        </w:rPr>
        <w:t>2</w:t>
      </w:r>
      <w:r>
        <w:rPr>
          <w:rFonts w:ascii="Cambria" w:hAnsi="Cambria"/>
        </w:rPr>
        <w:t>, an increase of 9%, and the average increase in LMA is 9.7% under elevated CO</w:t>
      </w:r>
      <w:r w:rsidRPr="0081257D">
        <w:rPr>
          <w:rFonts w:ascii="Cambria" w:hAnsi="Cambria"/>
          <w:vertAlign w:val="subscript"/>
        </w:rPr>
        <w:t>2</w:t>
      </w:r>
      <w:r>
        <w:rPr>
          <w:rFonts w:ascii="Cambria" w:hAnsi="Cambria"/>
        </w:rPr>
        <w:t>.</w:t>
      </w:r>
    </w:p>
    <w:p w14:paraId="522B75DC" w14:textId="77777777" w:rsidR="00DF4522" w:rsidRPr="00531789" w:rsidRDefault="00DF4522" w:rsidP="00DF4522">
      <w:pPr>
        <w:spacing w:line="360" w:lineRule="auto"/>
        <w:jc w:val="both"/>
        <w:rPr>
          <w:rFonts w:ascii="Cambria" w:hAnsi="Cambria"/>
        </w:rPr>
      </w:pPr>
    </w:p>
    <w:p w14:paraId="68555E99" w14:textId="77777777" w:rsidR="00DF4522" w:rsidRPr="00531789" w:rsidRDefault="00DF4522" w:rsidP="00DF4522">
      <w:pPr>
        <w:spacing w:line="360" w:lineRule="auto"/>
        <w:jc w:val="both"/>
        <w:rPr>
          <w:rFonts w:ascii="Cambria" w:hAnsi="Cambria"/>
        </w:rPr>
      </w:pPr>
      <w:r w:rsidRPr="00531789">
        <w:rPr>
          <w:rFonts w:ascii="Cambria" w:hAnsi="Cambria"/>
          <w:b/>
        </w:rPr>
        <w:t>Leaf carbohydrates accumulate under elevated CO</w:t>
      </w:r>
      <w:r w:rsidRPr="00531789">
        <w:rPr>
          <w:rFonts w:ascii="Cambria" w:hAnsi="Cambria"/>
          <w:b/>
          <w:vertAlign w:val="subscript"/>
        </w:rPr>
        <w:t>2</w:t>
      </w:r>
      <w:r w:rsidRPr="00531789">
        <w:rPr>
          <w:rFonts w:ascii="Cambria" w:hAnsi="Cambria"/>
          <w:b/>
        </w:rPr>
        <w:t xml:space="preserve"> transient</w:t>
      </w:r>
      <w:r w:rsidRPr="00531789">
        <w:rPr>
          <w:rFonts w:ascii="Cambria" w:hAnsi="Cambria"/>
        </w:rPr>
        <w:t xml:space="preserve"> </w:t>
      </w:r>
    </w:p>
    <w:p w14:paraId="2E1B0014" w14:textId="77777777" w:rsidR="00DF4522" w:rsidRPr="00531789" w:rsidRDefault="00DF4522" w:rsidP="00DF4522">
      <w:pPr>
        <w:spacing w:line="360" w:lineRule="auto"/>
        <w:jc w:val="both"/>
        <w:rPr>
          <w:rFonts w:ascii="Cambria" w:hAnsi="Cambria"/>
        </w:rPr>
      </w:pPr>
    </w:p>
    <w:p w14:paraId="5CDED9B4" w14:textId="07146247" w:rsidR="00DF4522" w:rsidRPr="00531789" w:rsidRDefault="00DF4522" w:rsidP="00DF4522">
      <w:pPr>
        <w:spacing w:line="360" w:lineRule="auto"/>
        <w:jc w:val="both"/>
        <w:rPr>
          <w:rFonts w:ascii="Cambria" w:hAnsi="Cambria"/>
        </w:rPr>
      </w:pPr>
      <w:r w:rsidRPr="00531789">
        <w:rPr>
          <w:rFonts w:ascii="Cambria" w:hAnsi="Cambria"/>
        </w:rPr>
        <w:t>In accordance with hypotheses, the elevated CO</w:t>
      </w:r>
      <w:r w:rsidRPr="00531789">
        <w:rPr>
          <w:rFonts w:ascii="Cambria" w:hAnsi="Cambria"/>
          <w:vertAlign w:val="subscript"/>
        </w:rPr>
        <w:t>2</w:t>
      </w:r>
      <w:r w:rsidRPr="00531789">
        <w:rPr>
          <w:rFonts w:ascii="Cambria" w:hAnsi="Cambria"/>
        </w:rPr>
        <w:t xml:space="preserve"> treatment does result in an increase in leaf TNC (Fig. 3).  This suggests sink limitation of growth under elevated CO</w:t>
      </w:r>
      <w:r w:rsidRPr="00531789">
        <w:rPr>
          <w:rFonts w:ascii="Cambria" w:hAnsi="Cambria"/>
          <w:vertAlign w:val="subscript"/>
        </w:rPr>
        <w:t>2</w:t>
      </w:r>
      <w:r w:rsidRPr="00531789">
        <w:rPr>
          <w:rFonts w:ascii="Cambria" w:hAnsi="Cambria"/>
        </w:rPr>
        <w:t xml:space="preserve">, since plants are unable to utilise the additional carbon and instead store it in their leaves </w:t>
      </w:r>
      <w:r w:rsidRPr="00531789">
        <w:rPr>
          <w:rFonts w:ascii="Cambria" w:hAnsi="Cambria"/>
        </w:rPr>
        <w:fldChar w:fldCharType="begin" w:fldLock="1"/>
      </w:r>
      <w:r w:rsidR="00906E41">
        <w:rPr>
          <w:rFonts w:ascii="Cambria" w:hAnsi="Cambria"/>
        </w:rPr>
        <w:instrText>ADDIN CSL_CITATION { "citationItems" : [ { "id" : "ITEM-1", "itemData" : { "author" : [ { "dropping-particle" : "", "family" : "Rogers", "given" : "A", "non-dropping-particle" : "", "parse-names" : false, "suffix" : "" }, { "dropping-particle" : "", "family" : "Ainsworth", "given" : "Elizabeth A", "non-dropping-particle" : "", "parse-names" : false, "suffix" : "" } ], "chapter-number" : "16", "container-title" : "Managed ecosystems and CO2 case studies processes and perspectives", "editor" : [ { "dropping-particle" : "", "family" : "Nosberger", "given" : "J", "non-dropping-particle" : "", "parse-names" : false, "suffix" : "" }, { "dropping-particle" : "", "family" : "Long", "given" : "SP", "non-dropping-particle" : "", "parse-names" : false, "suffix" : "" }, { "dropping-particle" : "", "family" : "Blum", "given" : "H", "non-dropping-particle" : "", "parse-names" : false, "suffix" : "" }, { "dropping-particle" : "", "family" : "Norby", "given" : "RJ", "non-dropping-particle" : "", "parse-names" : false, "suffix" : "" }, { "dropping-particle" : "", "family" : "Hendrey", "given" : "GR", "non-dropping-particle" : "", "parse-names" : false, "suffix" : "" }, { "dropping-particle" : "", "family" : "Stitt", "given" : "M", "non-dropping-particle" : "", "parse-names" : false, "suffix" : "" } ], "id" : "ITEM-1", "issued" : { "date-parts" : [ [ "2006" ] ] }, "page" : "293-308", "publisher" : "Springer-Verlag", "publisher-place" : "Heidelberg, Berlin", "title" : "The response of foliar carbohydrates to elevated [CO2]", "type" : "chapter" }, "uris" : [ "http://www.mendeley.com/documents/?uuid=ad611b43-52b4-4728-8d67-4ff9617c644b" ] } ], "mendeley" : { "formattedCitation" : "(Rogers and Ainsworth, 2006)", "plainTextFormattedCitation" : "(Rogers and Ainsworth, 2006)", "previouslyFormattedCitation" : "(Rogers and Ainsworth, 2006)"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(Rogers and Ainsworth, 2006)</w:t>
      </w:r>
      <w:r w:rsidRPr="00531789">
        <w:rPr>
          <w:rFonts w:ascii="Cambria" w:hAnsi="Cambria"/>
        </w:rPr>
        <w:fldChar w:fldCharType="end"/>
      </w:r>
      <w:r w:rsidRPr="00531789">
        <w:rPr>
          <w:rFonts w:ascii="Cambria" w:hAnsi="Cambria"/>
        </w:rPr>
        <w:t>.  This CO</w:t>
      </w:r>
      <w:r w:rsidRPr="00531789">
        <w:rPr>
          <w:rFonts w:ascii="Cambria" w:hAnsi="Cambria"/>
          <w:vertAlign w:val="subscript"/>
        </w:rPr>
        <w:t>2</w:t>
      </w:r>
      <w:r w:rsidRPr="00531789">
        <w:rPr>
          <w:rFonts w:ascii="Cambria" w:hAnsi="Cambria"/>
        </w:rPr>
        <w:t>-mediated increase diminishes over time, suggesting a weakening of sink relative to source limitation through development, although analysis did not reveal a significant interaction between treatment and harvest time.</w:t>
      </w:r>
    </w:p>
    <w:p w14:paraId="6C52B172" w14:textId="77777777" w:rsidR="00DF4522" w:rsidRPr="00531789" w:rsidRDefault="00DF4522" w:rsidP="00DF4522">
      <w:pPr>
        <w:spacing w:line="360" w:lineRule="auto"/>
        <w:jc w:val="center"/>
        <w:rPr>
          <w:rFonts w:ascii="Cambria" w:hAnsi="Cambria"/>
        </w:rPr>
      </w:pPr>
    </w:p>
    <w:p w14:paraId="3B6E4133" w14:textId="51D09100" w:rsidR="00DF4522" w:rsidRPr="00531789" w:rsidRDefault="00DF4522" w:rsidP="00DF4522">
      <w:pPr>
        <w:spacing w:line="360" w:lineRule="auto"/>
        <w:jc w:val="both"/>
        <w:rPr>
          <w:rFonts w:ascii="Cambria" w:hAnsi="Cambria"/>
        </w:rPr>
      </w:pPr>
      <w:r w:rsidRPr="00531789">
        <w:rPr>
          <w:rFonts w:ascii="Cambria" w:hAnsi="Cambria"/>
        </w:rPr>
        <w:t xml:space="preserve">The composition of leaf TNC is also informative: an increase in starch and </w:t>
      </w:r>
      <w:proofErr w:type="spellStart"/>
      <w:r w:rsidRPr="00531789">
        <w:rPr>
          <w:rFonts w:ascii="Cambria" w:hAnsi="Cambria"/>
        </w:rPr>
        <w:t>fructan</w:t>
      </w:r>
      <w:proofErr w:type="spellEnd"/>
      <w:r w:rsidRPr="00531789">
        <w:rPr>
          <w:rFonts w:ascii="Cambria" w:hAnsi="Cambria"/>
        </w:rPr>
        <w:t>, which is observed for the elevated CO</w:t>
      </w:r>
      <w:r w:rsidRPr="00531789">
        <w:rPr>
          <w:rFonts w:ascii="Cambria" w:hAnsi="Cambria"/>
          <w:vertAlign w:val="subscript"/>
        </w:rPr>
        <w:t>2</w:t>
      </w:r>
      <w:r w:rsidRPr="00531789">
        <w:rPr>
          <w:rFonts w:ascii="Cambria" w:hAnsi="Cambria"/>
        </w:rPr>
        <w:t xml:space="preserve"> plants (Fig. 4), is indicative of sink limitation </w:t>
      </w:r>
      <w:r w:rsidRPr="00531789">
        <w:rPr>
          <w:rFonts w:ascii="Cambria" w:hAnsi="Cambria"/>
        </w:rPr>
        <w:fldChar w:fldCharType="begin" w:fldLock="1"/>
      </w:r>
      <w:r w:rsidR="00906E41">
        <w:rPr>
          <w:rFonts w:ascii="Cambria" w:hAnsi="Cambria"/>
        </w:rPr>
        <w:instrText>ADDIN CSL_CITATION { "citationItems" : [ { "id" : "ITEM-1", "itemData" : { "author" : [ { "dropping-particle" : "", "family" : "Rogers", "given" : "A", "non-dropping-particle" : "", "parse-names" : false, "suffix" : "" }, { "dropping-particle" : "", "family" : "Ainsworth", "given" : "Elizabeth A", "non-dropping-particle" : "", "parse-names" : false, "suffix" : "" } ], "chapter-number" : "16", "container-title" : "Managed ecosystems and CO2 case studies processes and perspectives", "editor" : [ { "dropping-particle" : "", "family" : "Nosberger", "given" : "J", "non-dropping-particle" : "", "parse-names" : false, "suffix" : "" }, { "dropping-particle" : "", "family" : "Long", "given" : "SP", "non-dropping-particle" : "", "parse-names" : false, "suffix" : "" }, { "dropping-particle" : "", "family" : "Blum", "given" : "H", "non-dropping-particle" : "", "parse-names" : false, "suffix" : "" }, { "dropping-particle" : "", "family" : "Norby", "given" : "RJ", "non-dropping-particle" : "", "parse-names" : false, "suffix" : "" }, { "dropping-particle" : "", "family" : "Hendrey", "given" : "GR", "non-dropping-particle" : "", "parse-names" : false, "suffix" : "" }, { "dropping-particle" : "", "family" : "Stitt", "given" : "M", "non-dropping-particle" : "", "parse-names" : false, "suffix" : "" } ], "id" : "ITEM-1", "issued" : { "date-parts" : [ [ "2006" ] ] }, "page" : "293-308", "publisher" : "Springer-Verlag", "publisher-place" : "Heidelberg, Berlin", "title" : "The response of foliar carbohydrates to elevated [CO2]", "type" : "chapter" }, "uris" : [ "http://www.mendeley.com/documents/?uuid=ad611b43-52b4-4728-8d67-4ff9617c644b" ] } ], "mendeley" : { "formattedCitation" : "(Rogers and Ainsworth, 2006)", "plainTextFormattedCitation" : "(Rogers and Ainsworth, 2006)", "previouslyFormattedCitation" : "(Rogers and Ainsworth, 2006)"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(Rogers and Ainsworth, 2006)</w:t>
      </w:r>
      <w:r w:rsidRPr="00531789">
        <w:rPr>
          <w:rFonts w:ascii="Cambria" w:hAnsi="Cambria"/>
        </w:rPr>
        <w:fldChar w:fldCharType="end"/>
      </w:r>
      <w:r w:rsidRPr="00531789">
        <w:rPr>
          <w:rFonts w:ascii="Cambria" w:hAnsi="Cambria"/>
        </w:rPr>
        <w:t xml:space="preserve">, and </w:t>
      </w:r>
      <w:proofErr w:type="spellStart"/>
      <w:r w:rsidRPr="00531789">
        <w:rPr>
          <w:rFonts w:ascii="Cambria" w:hAnsi="Cambria"/>
        </w:rPr>
        <w:t>fructan</w:t>
      </w:r>
      <w:proofErr w:type="spellEnd"/>
      <w:r w:rsidRPr="00531789">
        <w:rPr>
          <w:rFonts w:ascii="Cambria" w:hAnsi="Cambria"/>
        </w:rPr>
        <w:t xml:space="preserve"> is a key repository for excess photosynthate in barley </w:t>
      </w:r>
      <w:r w:rsidRPr="00531789">
        <w:rPr>
          <w:rFonts w:ascii="Cambria" w:hAnsi="Cambria"/>
        </w:rPr>
        <w:fldChar w:fldCharType="begin" w:fldLock="1"/>
      </w:r>
      <w:r w:rsidRPr="00531789">
        <w:rPr>
          <w:rFonts w:ascii="Cambria" w:hAnsi="Cambria"/>
        </w:rPr>
        <w:instrText>ADDIN CSL_CITATION { "citationItems" : [ { "id" : "ITEM-1", "itemData" : { "author" : [ { "dropping-particle" : "", "family" : "Schnyder", "given" : "Hans", "non-dropping-particle" : "", "parse-names" : false, "suffix" : "" } ], "container-title" : "New Phytologist", "id" : "ITEM-1", "issued" : { "date-parts" : [ [ "1993" ] ] }, "page" : "233-245", "title" : "The role of carbohydrate storage and redistribution in the source-sink relations of wheat and barley during grain filling - a review", "type" : "article-journal", "volume" : "123" }, "uris" : [ "http://www.mendeley.com/documents/?uuid=a96ba76f-e7bb-4eae-8406-df68dc700307" ] } ], "mendeley" : { "formattedCitation" : "(Schnyder, 1993)", "plainTextFormattedCitation" : "(Schnyder, 1993)", "previouslyFormattedCitation" : "(Schnyder, 1993)"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(Schnyder, 1993)</w:t>
      </w:r>
      <w:r w:rsidRPr="00531789">
        <w:rPr>
          <w:rFonts w:ascii="Cambria" w:hAnsi="Cambria"/>
        </w:rPr>
        <w:fldChar w:fldCharType="end"/>
      </w:r>
      <w:r w:rsidRPr="00531789">
        <w:rPr>
          <w:rFonts w:ascii="Cambria" w:hAnsi="Cambria"/>
        </w:rPr>
        <w:t xml:space="preserve">.  An increase in the end-of-day </w:t>
      </w:r>
      <w:proofErr w:type="spellStart"/>
      <w:r w:rsidRPr="00531789">
        <w:rPr>
          <w:rFonts w:ascii="Cambria" w:hAnsi="Cambria"/>
        </w:rPr>
        <w:t>hexose:sucrose</w:t>
      </w:r>
      <w:proofErr w:type="spellEnd"/>
      <w:r w:rsidRPr="00531789">
        <w:rPr>
          <w:rFonts w:ascii="Cambria" w:hAnsi="Cambria"/>
        </w:rPr>
        <w:t xml:space="preserve"> ratio (Fig. 5) is a further indication of sink limitation, since this suggests a high futile cycle rate of excess leaf sugars, which cycle between hexoses and sucrose </w:t>
      </w:r>
      <w:r w:rsidRPr="00531789">
        <w:rPr>
          <w:rFonts w:ascii="Cambria" w:hAnsi="Cambria"/>
        </w:rPr>
        <w:fldChar w:fldCharType="begin" w:fldLock="1"/>
      </w:r>
      <w:r w:rsidR="00906E41">
        <w:rPr>
          <w:rFonts w:ascii="Cambria" w:hAnsi="Cambria"/>
        </w:rPr>
        <w:instrText>ADDIN CSL_CITATION { "citationItems" : [ { "id" : "ITEM-1", "itemData" : { "author" : [ { "dropping-particle" : "", "family" : "Rogers", "given" : "A", "non-dropping-particle" : "", "parse-names" : false, "suffix" : "" }, { "dropping-particle" : "", "family" : "Ainsworth", "given" : "Elizabeth A", "non-dropping-particle" : "", "parse-names" : false, "suffix" : "" } ], "chapter-number" : "16", "container-title" : "Managed ecosystems and CO2 case studies processes and perspectives", "editor" : [ { "dropping-particle" : "", "family" : "Nosberger", "given" : "J", "non-dropping-particle" : "", "parse-names" : false, "suffix" : "" }, { "dropping-particle" : "", "family" : "Long", "given" : "SP", "non-dropping-particle" : "", "parse-names" : false, "suffix" : "" }, { "dropping-particle" : "", "family" : "Blum", "given" : "H", "non-dropping-particle" : "", "parse-names" : false, "suffix" : "" }, { "dropping-particle" : "", "family" : "Norby", "given" : "RJ", "non-dropping-particle" : "", "parse-names" : false, "suffix" : "" }, { "dropping-particle" : "", "family" : "Hendrey", "given" : "GR", "non-dropping-particle" : "", "parse-names" : false, "suffix" : "" }, { "dropping-particle" : "", "family" : "Stitt", "given" : "M", "non-dropping-particle" : "", "parse-names" : false, "suffix" : "" } ], "id" : "ITEM-1", "issued" : { "date-parts" : [ [ "2006" ] ] }, "page" : "293-308", "publisher" : "Springer-Verlag", "publisher-place" : "Heidelberg, Berlin", "title" : "The response of foliar carbohydrates to elevated [CO2]", "type" : "chapter" }, "uris" : [ "http://www.mendeley.com/documents/?uuid=ad611b43-52b4-4728-8d67-4ff9617c644b" ] }, { "id" : "ITEM-2", "itemData" : { "DOI" : "10.1046/j.1365-3040.1999.00432.x", "ISBN" : "1365-3040", "ISSN" : "0140-7791", "PMID" : "4067", "abstract" : "There have been many recent exciting advances in our understanding of the cellular processes that underlie photosynthetic acclimation to rising atmospheric CO2 concentration. Of particular interest have been the molecular processes that modulate photosynthetic gene expression in response to elevated CO2 and the biochemical processes that link changes in atmospheric CO2 concentration to the production of a metabolic signal. Central to this acclimation response is a reduction in ribulose-1,5-bisphosphate carboxylase/oxygenase (Rubisco) protein content. Studies indicate that this reduction results from species-dependent variation in the differential use and temporal control of molecular processes. We present a model for the control of Rubisco protein accumulation that emphasizes the role of subunit message translation as well as the abundance of subunit messages as components of the acclimation response. Many studies indicate that photosynthetic acclimation to elevated CO2 results from adjustments in leaf carbohydrate signalling. The repression of photosynthetic gene expression is considered to occur primarily by hexokinase functioning as a hexose flux sensor that ultimately affects transcription. Leaf hexoses may be produced as potential sources of signals primarily by sucrose cycling and secondarily by starch hydrolysis. An increased rate of sucrose cycling is suggested to occur at elevated CO2 by enhanced provision of sucrose to leaf acid invertases. Additionally, sink limitations that accentuate photosynthetic acclimation may result from a relative decrease in the export of leaf sucrose and subsequent increase in cellular sucrose levels and sucrose cycling.", "author" : [ { "dropping-particle" : "", "family" : "Moore", "given" : "B D", "non-dropping-particle" : "", "parse-names" : false, "suffix" : "" }, { "dropping-particle" : "", "family" : "Cheng", "given" : "S H", "non-dropping-particle" : "", "parse-names" : false, "suffix" : "" }, { "dropping-particle" : "", "family" : "Sims", "given" : "D", "non-dropping-particle" : "", "parse-names" : false, "suffix" : "" }, { "dropping-particle" : "", "family" : "Seemann", "given" : "J R", "non-dropping-particle" : "", "parse-names" : false, "suffix" : "" } ], "container-title" : "Plant Cell and Environment", "id" : "ITEM-2", "issue" : "6", "issued" : { "date-parts" : [ [ "1999" ] ] }, "page" : "567-582", "title" : "The biochemical and molecular basis for photosynthetic acclimation to elevated atmospheric CO2", "type" : "article-journal", "volume" : "22" }, "uris" : [ "http://www.mendeley.com/documents/?uuid=cf0a466f-c3b0-4974-b4cb-4e35fb4a41ba" ] } ], "mendeley" : { "formattedCitation" : "(Moore &lt;i&gt;et al.&lt;/i&gt;, 1999; Rogers and Ainsworth, 2006)", "plainTextFormattedCitation" : "(Moore et al., 1999; Rogers and Ainsworth, 2006)", "previouslyFormattedCitation" : "(Moore &lt;i&gt;et al.&lt;/i&gt;, 1999; Rogers and Ainsworth, 2006)"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(Moore </w:t>
      </w:r>
      <w:r w:rsidRPr="002C5907">
        <w:rPr>
          <w:rFonts w:ascii="Cambria" w:hAnsi="Cambria"/>
          <w:i/>
          <w:noProof/>
        </w:rPr>
        <w:t>et al.</w:t>
      </w:r>
      <w:r w:rsidRPr="002C5907">
        <w:rPr>
          <w:rFonts w:ascii="Cambria" w:hAnsi="Cambria"/>
          <w:noProof/>
        </w:rPr>
        <w:t>, 1999; Rogers and Ainsworth, 2006)</w:t>
      </w:r>
      <w:r w:rsidRPr="00531789">
        <w:rPr>
          <w:rFonts w:ascii="Cambria" w:hAnsi="Cambria"/>
        </w:rPr>
        <w:fldChar w:fldCharType="end"/>
      </w:r>
      <w:r w:rsidRPr="00531789">
        <w:rPr>
          <w:rFonts w:ascii="Cambria" w:hAnsi="Cambria"/>
        </w:rPr>
        <w:t xml:space="preserve">.  This cycle is mediated by </w:t>
      </w:r>
      <w:proofErr w:type="spellStart"/>
      <w:r w:rsidRPr="00531789">
        <w:rPr>
          <w:rFonts w:ascii="Cambria" w:hAnsi="Cambria"/>
        </w:rPr>
        <w:t>invertase</w:t>
      </w:r>
      <w:proofErr w:type="spellEnd"/>
      <w:r w:rsidRPr="00531789">
        <w:rPr>
          <w:rFonts w:ascii="Cambria" w:hAnsi="Cambria"/>
        </w:rPr>
        <w:t xml:space="preserve"> activity, which hydrolyses sucrose into hexoses and thus increases the </w:t>
      </w:r>
      <w:proofErr w:type="spellStart"/>
      <w:r w:rsidRPr="00531789">
        <w:rPr>
          <w:rFonts w:ascii="Cambria" w:hAnsi="Cambria"/>
        </w:rPr>
        <w:t>hexose:sucrose</w:t>
      </w:r>
      <w:proofErr w:type="spellEnd"/>
      <w:r w:rsidRPr="00531789">
        <w:rPr>
          <w:rFonts w:ascii="Cambria" w:hAnsi="Cambria"/>
        </w:rPr>
        <w:t xml:space="preserve"> ratio, leading to feedback inhibition of photosynthesis </w:t>
      </w:r>
      <w:r w:rsidRPr="00531789">
        <w:rPr>
          <w:rFonts w:ascii="Cambria" w:hAnsi="Cambria"/>
        </w:rPr>
        <w:fldChar w:fldCharType="begin" w:fldLock="1"/>
      </w:r>
      <w:r w:rsidRPr="00531789">
        <w:rPr>
          <w:rFonts w:ascii="Cambria" w:hAnsi="Cambria"/>
        </w:rPr>
        <w:instrText>ADDIN CSL_CITATION { "citationItems" : [ { "id" : "ITEM-1", "itemData" : { "author" : [ { "dropping-particle" : "", "family" : "Goldschmidt", "given" : "EE", "non-dropping-particle" : "", "parse-names" : false, "suffix" : "" }, { "dropping-particle" : "", "family" : "Huber", "given" : "SC", "non-dropping-particle" : "", "parse-names" : false, "suffix" : "" } ], "container-title" : "Plant Physiology", "id" : "ITEM-1", "issue" : "1443-1448", "issued" : { "date-parts" : [ [ "1992" ] ] }, "title" : "Regulation of photosynthesis by end-product accumulation in leaves of plants storing starch, sucrose, and hexose sugars", "type" : "article-journal", "volume" : "99" }, "uris" : [ "http://www.mendeley.com/documents/?uuid=062db6a0-39bb-4516-9834-2011522d9dd2" ] }, { "id" : "ITEM-2", "itemData" : { "author" : [ { "dropping-particle" : "", "family" : "Jang", "given" : "Jyan-Chyun", "non-dropping-particle" : "", "parse-names" : false, "suffix" : "" }, { "dropping-particle" : "", "family" : "Sheen", "given" : "Jen", "non-dropping-particle" : "", "parse-names" : false, "suffix" : "" } ], "container-title" : "The Plant Cell", "id" : "ITEM-2", "issued" : { "date-parts" : [ [ "1994" ] ] }, "page" : "1665-1679", "title" : "Sugar sensing in higher plants", "type" : "article-journal", "volume" : "6" }, "uris" : [ "http://www.mendeley.com/documents/?uuid=0ce2d08e-736a-4488-8d1e-ee1b7d1fbe8a" ] } ], "mendeley" : { "formattedCitation" : "(Goldschmidt and Huber, 1992; Jang and Sheen, 1994)", "plainTextFormattedCitation" : "(Goldschmidt and Huber, 1992; Jang and Sheen, 1994)", "previouslyFormattedCitation" : "(Goldschmidt and Huber, 1992; Jang and Sheen, 1994)"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(Goldschmidt and Huber, 1992; Jang and Sheen, 1994)</w:t>
      </w:r>
      <w:r w:rsidRPr="00531789">
        <w:rPr>
          <w:rFonts w:ascii="Cambria" w:hAnsi="Cambria"/>
        </w:rPr>
        <w:fldChar w:fldCharType="end"/>
      </w:r>
      <w:r w:rsidRPr="00531789">
        <w:rPr>
          <w:rFonts w:ascii="Cambria" w:hAnsi="Cambria"/>
        </w:rPr>
        <w:t xml:space="preserve">.  High hexose levels decrease </w:t>
      </w:r>
      <w:proofErr w:type="spellStart"/>
      <w:r w:rsidRPr="00531789">
        <w:rPr>
          <w:rFonts w:ascii="Cambria" w:hAnsi="Cambria"/>
        </w:rPr>
        <w:t>Rubisco</w:t>
      </w:r>
      <w:proofErr w:type="spellEnd"/>
      <w:r w:rsidRPr="00531789">
        <w:rPr>
          <w:rFonts w:ascii="Cambria" w:hAnsi="Cambria"/>
        </w:rPr>
        <w:t xml:space="preserve"> expression and photosynthesis </w:t>
      </w:r>
      <w:r w:rsidRPr="00531789">
        <w:rPr>
          <w:rFonts w:ascii="Cambria" w:hAnsi="Cambria"/>
        </w:rPr>
        <w:fldChar w:fldCharType="begin" w:fldLock="1"/>
      </w:r>
      <w:r>
        <w:rPr>
          <w:rFonts w:ascii="Cambria" w:hAnsi="Cambria"/>
        </w:rPr>
        <w:instrText>ADDIN CSL_CITATION { "citationItems" : [ { "id" : "ITEM-1", "itemData" : { "DOI" : "10.1046/j.1365-3040.1999.00432.x", "ISBN" : "1365-3040", "ISSN" : "0140-7791", "PMID" : "4067", "abstract" : "There have been many recent exciting advances in our understanding of the cellular processes that underlie photosynthetic acclimation to rising atmospheric CO2 concentration. Of particular interest have been the molecular processes that modulate photosynthetic gene expression in response to elevated CO2 and the biochemical processes that link changes in atmospheric CO2 concentration to the production of a metabolic signal. Central to this acclimation response is a reduction in ribulose-1,5-bisphosphate carboxylase/oxygenase (Rubisco) protein content. Studies indicate that this reduction results from species-dependent variation in the differential use and temporal control of molecular processes. We present a model for the control of Rubisco protein accumulation that emphasizes the role of subunit message translation as well as the abundance of subunit messages as components of the acclimation response. Many studies indicate that photosynthetic acclimation to elevated CO2 results from adjustments in leaf carbohydrate signalling. The repression of photosynthetic gene expression is considered to occur primarily by hexokinase functioning as a hexose flux sensor that ultimately affects transcription. Leaf hexoses may be produced as potential sources of signals primarily by sucrose cycling and secondarily by starch hydrolysis. An increased rate of sucrose cycling is suggested to occur at elevated CO2 by enhanced provision of sucrose to leaf acid invertases. Additionally, sink limitations that accentuate photosynthetic acclimation may result from a relative decrease in the export of leaf sucrose and subsequent increase in cellular sucrose levels and sucrose cycling.", "author" : [ { "dropping-particle" : "", "family" : "Moore", "given" : "B D", "non-dropping-particle" : "", "parse-names" : false, "suffix" : "" }, { "dropping-particle" : "", "family" : "Cheng", "given" : "S H", "non-dropping-particle" : "", "parse-names" : false, "suffix" : "" }, { "dropping-particle" : "", "family" : "Sims", "given" : "D", "non-dropping-particle" : "", "parse-names" : false, "suffix" : "" }, { "dropping-particle" : "", "family" : "Seemann", "given" : "J R", "non-dropping-particle" : "", "parse-names" : false, "suffix" : "" } ], "container-title" : "Plant Cell and Environment", "id" : "ITEM-1", "issue" : "6", "issued" : { "date-parts" : [ [ "1999" ] ] }, "page" : "567-582", "title" : "The biochemical and molecular basis for photosynthetic acclimation to elevated atmospheric CO2", "type" : "article-journal", "volume" : "22" }, "uris" : [ "http://www.mendeley.com/documents/?uuid=cf0a466f-c3b0-4974-b4cb-4e35fb4a41ba" ] }, { "id" : "ITEM-2", "itemData" : { "DOI" : "10.1146/annurev.arplant.55.031903.141610", "ISSN" : "1543-5008", "PMID" : "15377233", "abstract" : "Atmospheric CO(2) concentration ([CO(2)]) is now higher than it was at any time in the past 26 million years and is expected to nearly double during this century. Terrestrial plants with the C(3) photosynthetic pathway respond in the short term to increased [CO(2)] via increased net photosynthesis and decreased transpiration. In the longer term this increase is often offset by downregulation of photosynthetic capacity. But much of what is currently known about plant responses to elevated [CO(2)] comes from enclosure studies, where the responses of plants may be modified by size constraints and the limited life-cycle stages that are examined. Free-Air CO(2) Enrichment (FACE) was developed as a means to grow plants in the field at controlled elevation of CO(2) under fully open-air field conditions. The findings of FACE experiments are quantitatively summarized via meta-analytic statistics and compared to findings from chamber studies. Although trends agree with parallel summaries of enclosure studies, important quantitative differences emerge that have important implications both for predicting the future terrestrial biosphere and understanding how crops may need to be adapted to the changed and changing atmosphere.", "author" : [ { "dropping-particle" : "", "family" : "Long", "given" : "Stephen P", "non-dropping-particle" : "", "parse-names" : false, "suffix" : "" }, { "dropping-particle" : "", "family" : "Ainsworth", "given" : "Elizabeth A", "non-dropping-particle" : "", "parse-names" : false, "suffix" : "" }, { "dropping-particle" : "", "family" : "Rogers", "given" : "Alistair", "non-dropping-particle" : "", "parse-names" : false, "suffix" : "" }, { "dropping-particle" : "", "family" : "Ort", "given" : "Donald R", "non-dropping-particle" : "", "parse-names" : false, "suffix" : "" } ], "container-title" : "Annual Review of Plant Biology", "id" : "ITEM-2", "issued" : { "date-parts" : [ [ "2004", "1" ] ] }, "page" : "591-628", "title" : "Rising atmospheric carbon dioxide: plants FACE the future.", "type" : "article-journal", "volume" : "55" }, "uris" : [ "http://www.mendeley.com/documents/?uuid=26cf908c-0122-4e7c-b24f-8546f0c8ff30" ] } ], "mendeley" : { "formattedCitation" : "(Moore &lt;i&gt;et al.&lt;/i&gt;, 1999; Long &lt;i&gt;et al.&lt;/i&gt;, 2004)", "plainTextFormattedCitation" : "(Moore et al., 1999; Long et al., 2004)", "previouslyFormattedCitation" : "(Moore &lt;i&gt;et al.&lt;/i&gt;, 1999; Long &lt;i&gt;et al.&lt;/i&gt;, 2004)"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(Moore </w:t>
      </w:r>
      <w:r w:rsidRPr="002C5907">
        <w:rPr>
          <w:rFonts w:ascii="Cambria" w:hAnsi="Cambria"/>
          <w:i/>
          <w:noProof/>
        </w:rPr>
        <w:t>et al.</w:t>
      </w:r>
      <w:r w:rsidRPr="002C5907">
        <w:rPr>
          <w:rFonts w:ascii="Cambria" w:hAnsi="Cambria"/>
          <w:noProof/>
        </w:rPr>
        <w:t xml:space="preserve">, 1999; Long </w:t>
      </w:r>
      <w:r w:rsidRPr="002C5907">
        <w:rPr>
          <w:rFonts w:ascii="Cambria" w:hAnsi="Cambria"/>
          <w:i/>
          <w:noProof/>
        </w:rPr>
        <w:t>et al.</w:t>
      </w:r>
      <w:r w:rsidRPr="002C5907">
        <w:rPr>
          <w:rFonts w:ascii="Cambria" w:hAnsi="Cambria"/>
          <w:noProof/>
        </w:rPr>
        <w:t>, 2004)</w:t>
      </w:r>
      <w:r w:rsidRPr="00531789">
        <w:rPr>
          <w:rFonts w:ascii="Cambria" w:hAnsi="Cambria"/>
        </w:rPr>
        <w:fldChar w:fldCharType="end"/>
      </w:r>
      <w:r w:rsidRPr="00531789">
        <w:rPr>
          <w:rFonts w:ascii="Cambria" w:hAnsi="Cambria"/>
        </w:rPr>
        <w:t xml:space="preserve"> and hexokinases play important roles in the sugar-mediated repression of photosynthesis </w:t>
      </w:r>
      <w:r w:rsidRPr="00531789">
        <w:rPr>
          <w:rFonts w:ascii="Cambria" w:hAnsi="Cambria"/>
        </w:rPr>
        <w:fldChar w:fldCharType="begin" w:fldLock="1"/>
      </w:r>
      <w:r>
        <w:rPr>
          <w:rFonts w:ascii="Cambria" w:hAnsi="Cambria"/>
        </w:rPr>
        <w:instrText>ADDIN CSL_CITATION { "citationItems" : [ { "id" : "ITEM-1", "itemData" : { "DOI" : "10.1111/tpj.12258", "ISBN" : "9723966964", "ISSN" : "09607412", "author" : [ { "dropping-particle" : "", "family" : "Kelly", "given" : "Gilor", "non-dropping-particle" : "", "parse-names" : false, "suffix" : "" }, { "dropping-particle" : "", "family" : "Moshelion", "given" : "Menachem", "non-dropping-particle" : "", "parse-names" : false, "suffix" : "" }, { "dropping-particle" : "", "family" : "David-Schwartz", "given" : "Rakefet", "non-dropping-particle" : "", "parse-names" : false, "suffix" : "" }, { "dropping-particle" : "", "family" : "Halperin", "given" : "Ofer", "non-dropping-particle" : "", "parse-names" : false, "suffix" : "" }, { "dropping-particle" : "", "family" : "Wallach", "given" : "Rony", "non-dropping-particle" : "", "parse-names" : false, "suffix" : "" }, { "dropping-particle" : "", "family" : "Attia", "given" : "Ziv", "non-dropping-particle" : "", "parse-names" : false, "suffix" : "" }, { "dropping-particle" : "", "family" : "Belausov", "given" : "Eduard", "non-dropping-particle" : "", "parse-names" : false, "suffix" : "" }, { "dropping-particle" : "", "family" : "Granot", "given" : "David", "non-dropping-particle" : "", "parse-names" : false, "suffix" : "" } ], "container-title" : "The Plant Journal", "id" : "ITEM-1", "issued" : { "date-parts" : [ [ "2013", "6" ] ] }, "page" : "977-88", "title" : "Hexokinase mediates stomatal closure", "type" : "article-journal", "volume" : "75" }, "uris" : [ "http://www.mendeley.com/documents/?uuid=cd4ff08d-4ada-49f5-9ac3-23338adb4f74" ] }, { "id" : "ITEM-2", "itemData" : { "DOI" : "10.3389/fpls.2013.00044", "ISSN" : "1664-462X", "PMID" : "23487525", "abstract" : "Hexose sugars, such as glucose and fructose produced in plants, are ubiquitous in most organisms and are the origin of most of the organic matter found in nature. To be utilized, hexose sugars must first be phosphorylated. The central role of hexose-phosphorylating enzymes has attracted the attention of many researchers, leading to novel discoveries. Only two families of enzymes capable of phosphorylating glucose and fructose have been identified in plants; hexokinases (HXKs), and fructokinases (FRKs). Intensive investigations of these two families in numerous plant species have yielded a wealth of knowledge regarding the genes number, enzymatic characterization, intracellular localization, and developmental and physiological roles of several HXKs and FRKs. The emerging picture indicates that HXK and FRK enzymes found at specific intracellular locations play distinct roles in plant metabolism and development. Individual HXKs were shown for the first time to be dual-function enzymes - sensing sugar levels independent of their catalytic activity and controlling gene expression and major developmental pathways, as well as hormonal interactions. FRK, on the other hand, seems to play a central metabolic role in vascular tissues, controlling the amounts of sugars allocated for vascular development. While a clearer picture of the roles of these two types of enzymes is emerging, many questions remain unsolved, such as the specific tissues and types of cells in which these enzymes function, the roles of individual HXK and FRK genes, and how these enzymes interact with hormones in the regulation of developmental processes. It is anticipated that ongoing efforts will broaden our knowledge of these important plant enzymes and their potential uses in the modification of plant traits.", "author" : [ { "dropping-particle" : "", "family" : "Granot", "given" : "David", "non-dropping-particle" : "", "parse-names" : false, "suffix" : "" }, { "dropping-particle" : "", "family" : "David-Schwartz", "given" : "Rakefet", "non-dropping-particle" : "", "parse-names" : false, "suffix" : "" }, { "dropping-particle" : "", "family" : "Kelly", "given" : "Gilor", "non-dropping-particle" : "", "parse-names" : false, "suffix" : "" } ], "container-title" : "Frontiers in Plant Science", "id" : "ITEM-2", "issue" : "March", "issued" : { "date-parts" : [ [ "2013", "1" ] ] }, "page" : "44", "title" : "Hexose kinases and their role in sugar-sensing and plant development.", "type" : "article-journal", "volume" : "4" }, "uris" : [ "http://www.mendeley.com/documents/?uuid=9ac1f854-e4b4-4663-9357-9adcad63e9ab" ] }, { "id" : "ITEM-3", "itemData" : { "author" : [ { "dropping-particle" : "", "family" : "Jang", "given" : "Jyan-Chyun", "non-dropping-particle" : "", "parse-names" : false, "suffix" : "" }, { "dropping-particle" : "", "family" : "Sheen", "given" : "Jen", "non-dropping-particle" : "", "parse-names" : false, "suffix" : "" } ], "container-title" : "The Plant Cell", "id" : "ITEM-3", "issued" : { "date-parts" : [ [ "1994" ] ] }, "page" : "1665-1679", "title" : "Sugar sensing in higher plants", "type" : "article-journal", "volume" : "6" }, "uris" : [ "http://www.mendeley.com/documents/?uuid=0ce2d08e-736a-4488-8d1e-ee1b7d1fbe8a" ] } ], "mendeley" : { "formattedCitation" : "(Jang and Sheen, 1994; Granot &lt;i&gt;et al.&lt;/i&gt;, 2013; Kelly &lt;i&gt;et al.&lt;/i&gt;, 2013)", "plainTextFormattedCitation" : "(Jang and Sheen, 1994; Granot et al., 2013; Kelly et al., 2013)", "previouslyFormattedCitation" : "(Jang and Sheen, 1994; Granot &lt;i&gt;et al.&lt;/i&gt;, 2013; Kelly &lt;i&gt;et al.&lt;/i&gt;, 2013)"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(Jang and Sheen, 1994; Granot </w:t>
      </w:r>
      <w:r w:rsidRPr="002C5907">
        <w:rPr>
          <w:rFonts w:ascii="Cambria" w:hAnsi="Cambria"/>
          <w:i/>
          <w:noProof/>
        </w:rPr>
        <w:t>et al.</w:t>
      </w:r>
      <w:r w:rsidRPr="002C5907">
        <w:rPr>
          <w:rFonts w:ascii="Cambria" w:hAnsi="Cambria"/>
          <w:noProof/>
        </w:rPr>
        <w:t xml:space="preserve">, 2013; Kelly </w:t>
      </w:r>
      <w:r w:rsidRPr="002C5907">
        <w:rPr>
          <w:rFonts w:ascii="Cambria" w:hAnsi="Cambria"/>
          <w:i/>
          <w:noProof/>
        </w:rPr>
        <w:t>et al.</w:t>
      </w:r>
      <w:r w:rsidRPr="002C5907">
        <w:rPr>
          <w:rFonts w:ascii="Cambria" w:hAnsi="Cambria"/>
          <w:noProof/>
        </w:rPr>
        <w:t>, 2013)</w:t>
      </w:r>
      <w:r w:rsidRPr="00531789">
        <w:rPr>
          <w:rFonts w:ascii="Cambria" w:hAnsi="Cambria"/>
        </w:rPr>
        <w:fldChar w:fldCharType="end"/>
      </w:r>
      <w:r w:rsidRPr="00531789">
        <w:rPr>
          <w:rFonts w:ascii="Cambria" w:hAnsi="Cambria"/>
        </w:rPr>
        <w:t xml:space="preserve">.  As would be expected, the </w:t>
      </w:r>
      <w:proofErr w:type="spellStart"/>
      <w:r w:rsidRPr="00531789">
        <w:rPr>
          <w:rFonts w:ascii="Cambria" w:hAnsi="Cambria"/>
        </w:rPr>
        <w:t>hexose:sucrose</w:t>
      </w:r>
      <w:proofErr w:type="spellEnd"/>
      <w:r w:rsidRPr="00531789">
        <w:rPr>
          <w:rFonts w:ascii="Cambria" w:hAnsi="Cambria"/>
        </w:rPr>
        <w:t xml:space="preserve"> ratio is higher in elevated CO</w:t>
      </w:r>
      <w:r w:rsidRPr="00531789">
        <w:rPr>
          <w:rFonts w:ascii="Cambria" w:hAnsi="Cambria"/>
          <w:vertAlign w:val="subscript"/>
        </w:rPr>
        <w:t>2</w:t>
      </w:r>
      <w:r w:rsidRPr="00531789">
        <w:rPr>
          <w:rFonts w:ascii="Cambria" w:hAnsi="Cambria"/>
        </w:rPr>
        <w:t xml:space="preserve"> plants than control plants yet, contrary to expectations, it increases over time, suggesting an increase in sink limitation.  This apparently contradicts the decrease in sink limitation suggested by the responses of RGR and non-structural carbohydrates over time discussed above. </w:t>
      </w:r>
    </w:p>
    <w:p w14:paraId="0FC812D4" w14:textId="77777777" w:rsidR="00DF4522" w:rsidRPr="00531789" w:rsidRDefault="00DF4522" w:rsidP="00DF4522">
      <w:pPr>
        <w:spacing w:line="360" w:lineRule="auto"/>
        <w:jc w:val="both"/>
        <w:rPr>
          <w:rFonts w:ascii="Cambria" w:hAnsi="Cambria"/>
        </w:rPr>
      </w:pPr>
    </w:p>
    <w:p w14:paraId="09870591" w14:textId="77777777" w:rsidR="00DF4522" w:rsidRPr="00531789" w:rsidRDefault="00DF4522" w:rsidP="00DF4522">
      <w:pPr>
        <w:spacing w:line="360" w:lineRule="auto"/>
        <w:jc w:val="both"/>
        <w:rPr>
          <w:rFonts w:ascii="Cambria" w:hAnsi="Cambria"/>
          <w:b/>
        </w:rPr>
      </w:pPr>
      <w:r w:rsidRPr="00531789">
        <w:rPr>
          <w:rFonts w:ascii="Cambria" w:hAnsi="Cambria"/>
          <w:b/>
        </w:rPr>
        <w:t>Partial defoliation does not increase photosynthesis in remaining leaves</w:t>
      </w:r>
    </w:p>
    <w:p w14:paraId="1BED4825" w14:textId="77777777" w:rsidR="00DF4522" w:rsidRPr="00531789" w:rsidRDefault="00DF4522" w:rsidP="00DF4522">
      <w:pPr>
        <w:spacing w:line="360" w:lineRule="auto"/>
        <w:jc w:val="both"/>
        <w:rPr>
          <w:rFonts w:ascii="Cambria" w:hAnsi="Cambria"/>
          <w:b/>
        </w:rPr>
      </w:pPr>
    </w:p>
    <w:p w14:paraId="78F57D51" w14:textId="4D80D622" w:rsidR="00DF4522" w:rsidRPr="00531789" w:rsidRDefault="00DF4522" w:rsidP="00DF4522">
      <w:pPr>
        <w:spacing w:line="360" w:lineRule="auto"/>
        <w:jc w:val="both"/>
        <w:rPr>
          <w:rFonts w:ascii="Cambria" w:hAnsi="Cambria"/>
        </w:rPr>
      </w:pPr>
      <w:r w:rsidRPr="00531789">
        <w:rPr>
          <w:rFonts w:ascii="Cambria" w:hAnsi="Cambria"/>
        </w:rPr>
        <w:t>Contrary to expectations, steady state photosynthetic rate and photosynthetic capacity measured using A/</w:t>
      </w:r>
      <w:proofErr w:type="spellStart"/>
      <w:r w:rsidRPr="00531789">
        <w:rPr>
          <w:rFonts w:ascii="Cambria" w:hAnsi="Cambria"/>
        </w:rPr>
        <w:t>C</w:t>
      </w:r>
      <w:r w:rsidRPr="00531789">
        <w:rPr>
          <w:rFonts w:ascii="Cambria" w:hAnsi="Cambria"/>
          <w:vertAlign w:val="subscript"/>
        </w:rPr>
        <w:t>i</w:t>
      </w:r>
      <w:proofErr w:type="spellEnd"/>
      <w:r w:rsidRPr="00531789">
        <w:rPr>
          <w:rFonts w:ascii="Cambria" w:hAnsi="Cambria"/>
        </w:rPr>
        <w:t xml:space="preserve"> curves are not higher in defoliated plants than in control plants (Fig. 7).  This suggests that defoliation does not lead to an </w:t>
      </w:r>
      <w:proofErr w:type="spellStart"/>
      <w:r w:rsidRPr="00531789">
        <w:rPr>
          <w:rFonts w:ascii="Cambria" w:hAnsi="Cambria"/>
        </w:rPr>
        <w:t>upregulation</w:t>
      </w:r>
      <w:proofErr w:type="spellEnd"/>
      <w:r w:rsidRPr="00531789">
        <w:rPr>
          <w:rFonts w:ascii="Cambria" w:hAnsi="Cambria"/>
        </w:rPr>
        <w:t xml:space="preserve"> of photosynthetic capacity in order to alleviate source limitation.  Rather, photosynthetic capacity is unaffected by this treatment.  Notably, barley is well-adapted to grazing and new leaves grew in the place of those which had been removed – and the new leaves were not measured.  It is also possible that the treatment was imposed for insufficient time for </w:t>
      </w:r>
      <w:proofErr w:type="spellStart"/>
      <w:r w:rsidRPr="00531789">
        <w:rPr>
          <w:rFonts w:ascii="Cambria" w:hAnsi="Cambria"/>
        </w:rPr>
        <w:t>upregulation</w:t>
      </w:r>
      <w:proofErr w:type="spellEnd"/>
      <w:r w:rsidRPr="00531789">
        <w:rPr>
          <w:rFonts w:ascii="Cambria" w:hAnsi="Cambria"/>
        </w:rPr>
        <w:t xml:space="preserve"> of photosynthesis to occur </w:t>
      </w:r>
      <w:r w:rsidRPr="00531789">
        <w:rPr>
          <w:rFonts w:ascii="Cambria" w:hAnsi="Cambria"/>
        </w:rPr>
        <w:fldChar w:fldCharType="begin" w:fldLock="1"/>
      </w:r>
      <w:r w:rsidR="00FB53C0">
        <w:rPr>
          <w:rFonts w:ascii="Cambria" w:hAnsi="Cambria"/>
        </w:rPr>
        <w:instrText>ADDIN CSL_CITATION { "citationItems" : [ { "id" : "ITEM-1", "itemData" : { "abstract" : "The response of CO2-assimilation rate to the intercellular partial pressure of CO 2 (p(CO2)) is used to analyse the effects of various growth treatments on the photosynthetic charac- teristics of P. vulgaris. Partial defoliation caused an increase in CO2-assimilation rate at all intercel- lular p(CO2). A change in the light regime for growth from high to low light levels caused a de- crease of CO2-assimilation rate at all intercellular p(CO2). Growth in a CO2-enriched atmosphere re- sulted in lowered assimilation rates compared with controls at comparable intercellular p(CO2). Short-term water stress initially caused only a de- cline in the CO2-assimilation rate at high intercel- lular p(CO2) , but not at low intercellular p(CO2). Except under severe water stress, changes in the initial slope of the response of CO2-assimilation rate to intercellular p(CO2) were in parallel to those of the in-vitro activity of ribulose-l,5-bis- phosphate (RuBP) carboxylase. From the results, we infer that partial defoliation, changes in the light regime for growth, and growth in a CO 2- enriched atmosphere cause parallel changes in RuBP-carboxylase (EC 4.1.1.39) activity and the \"capacity for RuBP regeneration\", whereas short- term water stress initially causes only a decline in the RuBP-regeneration capacity.", "author" : [ { "dropping-particle" : "", "family" : "Caemmerer", "given" : "S", "non-dropping-particle" : "von", "parse-names" : false, "suffix" : "" }, { "dropping-particle" : "", "family" : "Farquhar", "given" : "G D", "non-dropping-particle" : "", "parse-names" : false, "suffix" : "" } ], "container-title" : "Planta", "id" : "ITEM-1", "issued" : { "date-parts" : [ [ "1984" ] ] }, "page" : "320-329", "title" : "Effects of partial defoliation, changes of irradiance during growth, short-term water stress and growth at enhanced p(CO2) on the photosynthetic capacity of leaves of Phaseolus vulgaris L.", "type" : "article-journal", "volume" : "160" }, "uris" : [ "http://www.mendeley.com/documents/?uuid=977f1aec-7e33-4bd4-aa58-97cfe55b97b2" ] } ], "mendeley" : { "formattedCitation" : "(von Caemmerer and Farquhar, 1984)", "manualFormatting" : "(for example, the defoliation treatment used by von Caemmerer and Farquhar, 1984 was imposed for 18 days)", "plainTextFormattedCitation" : "(von Caemmerer and Farquhar, 1984)", "previouslyFormattedCitation" : "(von Caemmerer and Farquhar, 1984)"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 xml:space="preserve">(for example, the defoliation treatment used by </w:t>
      </w:r>
      <w:r>
        <w:rPr>
          <w:rFonts w:ascii="Cambria" w:hAnsi="Cambria"/>
          <w:noProof/>
        </w:rPr>
        <w:t xml:space="preserve">von </w:t>
      </w:r>
      <w:r w:rsidRPr="00531789">
        <w:rPr>
          <w:rFonts w:ascii="Cambria" w:hAnsi="Cambria"/>
          <w:noProof/>
        </w:rPr>
        <w:t>Caemmerer and Farquhar, 1984 was imposed for 18 days)</w:t>
      </w:r>
      <w:r w:rsidRPr="00531789">
        <w:rPr>
          <w:rFonts w:ascii="Cambria" w:hAnsi="Cambria"/>
        </w:rPr>
        <w:fldChar w:fldCharType="end"/>
      </w:r>
      <w:r w:rsidRPr="00531789">
        <w:rPr>
          <w:rFonts w:ascii="Cambria" w:hAnsi="Cambria"/>
        </w:rPr>
        <w:t>, although the elevated CO</w:t>
      </w:r>
      <w:r w:rsidRPr="00531789">
        <w:rPr>
          <w:rFonts w:ascii="Cambria" w:hAnsi="Cambria"/>
          <w:vertAlign w:val="subscript"/>
        </w:rPr>
        <w:t>2</w:t>
      </w:r>
      <w:r w:rsidRPr="00531789">
        <w:rPr>
          <w:rFonts w:ascii="Cambria" w:hAnsi="Cambria"/>
        </w:rPr>
        <w:t xml:space="preserve"> data of Cheng et al </w:t>
      </w:r>
      <w:r w:rsidRPr="00531789">
        <w:rPr>
          <w:rFonts w:ascii="Cambria" w:hAnsi="Cambria"/>
        </w:rPr>
        <w:fldChar w:fldCharType="begin" w:fldLock="1"/>
      </w:r>
      <w:r>
        <w:rPr>
          <w:rFonts w:ascii="Cambria" w:hAnsi="Cambria"/>
        </w:rPr>
        <w:instrText>ADDIN CSL_CITATION { "citationItems" : [ { "id" : "ITEM-1", "itemData" : { "DOI" : "10.1104/pp.116.2.715", "ISBN" : "0032-0889 (Print)", "ISSN" : "0032-0889", "PMID" : "9489018", "abstract" : "To investigate the proposed molecular characteristics of sugar-mediated repression of photosynthetic genes during plant acclimation to elevated CO2, we examined the relationship between the accumulation and metabolism of nonstructural carbohydrates and changes in ribulose-1,5-bisphosphate carboxylase/oxygenase (Rubisco) gene expression in leaves of Arabidopsis thaliana exposed to elevated CO2. Long-term growth of Arabidopsis at high CO2 (1000 microL L-1) resulted in a 2-fold increase in nonstructural carbohydrates, a large decrease in the expression of Rubisco protein and in the transcript of rbcL, the gene encoding the large subunit of Rubisco (approximately 35-40%), and an even greater decline in mRNA of rbcS, the gene encoding the small subunit (approximately 60%). This differential response of protein and mRNAs suggests that transcriptional/posttranscriptional processes and protein turnover may determine the final amount of leaf Rubisco protein at high CO2. Analysis of mRNA levels of individual rbcS genes indicated that reduction in total rbcS transcripts was caused by decreased expression of all four rbcS genes. Short-term transfer of Arabidopsis plants grown at ambient CO2 to high CO2 resulted in a decrease in total rbcS mRNA by d 6, whereas Rubisco content and rbcL mRNA decreased by d 9. Transfer to high CO2 reduced the maximum expression level of the primary rbcS genes (1A and, particularly, 3B) by limiting their normal pattern of accumulation through the night period. The decreased nighttime levels of rbcS mRNA were associated with a nocturnal increase in leaf hexoses. We suggest that prolonged nighttime hexose metabolism resulting from exposure to elevated CO2 affects rbcS transcript accumulation and, ultimately, the level of Rubisco protein.", "author" : [ { "dropping-particle" : "", "family" : "Cheng", "given" : "S H", "non-dropping-particle" : "", "parse-names" : false, "suffix" : "" }, { "dropping-particle" : "", "family" : "Moore", "given" : "B", "non-dropping-particle" : "", "parse-names" : false, "suffix" : "" }, { "dropping-particle" : "", "family" : "Seemann", "given" : "J R", "non-dropping-particle" : "", "parse-names" : false, "suffix" : "" } ], "container-title" : "Plant physiology", "id" : "ITEM-1", "issue" : "2", "issued" : { "date-parts" : [ [ "1998" ] ] }, "page" : "715-723", "title" : "Effects of short- and long-term elevated CO2 on the expression of ribulose-1,5-bisphosphate carboxylase/oxygenase genes and carbohydrate accumulation in leaves of Arabidopsis thaliana (L.) Heynh.", "type" : "article-journal", "volume" : "116" }, "uris" : [ "http://www.mendeley.com/documents/?uuid=47dbba67-4171-48f0-9307-d1df74da372e", "http://www.mendeley.com/documents/?uuid=70b40e09-0227-4bdf-bc40-b5b15632a78a" ] } ], "mendeley" : { "formattedCitation" : "(Cheng &lt;i&gt;et al.&lt;/i&gt;, 1998)", "manualFormatting" : "(1998)", "plainTextFormattedCitation" : "(Cheng et al., 1998)", "previouslyFormattedCitation" : "(Cheng &lt;i&gt;et al.&lt;/i&gt;, 1998)"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(1998)</w:t>
      </w:r>
      <w:r w:rsidRPr="00531789">
        <w:rPr>
          <w:rFonts w:ascii="Cambria" w:hAnsi="Cambria"/>
        </w:rPr>
        <w:fldChar w:fldCharType="end"/>
      </w:r>
      <w:r w:rsidRPr="00531789">
        <w:rPr>
          <w:rFonts w:ascii="Cambria" w:hAnsi="Cambria"/>
        </w:rPr>
        <w:t xml:space="preserve"> suggest that changes in </w:t>
      </w:r>
      <w:proofErr w:type="spellStart"/>
      <w:r w:rsidRPr="00531789">
        <w:rPr>
          <w:rFonts w:ascii="Cambria" w:hAnsi="Cambria"/>
        </w:rPr>
        <w:t>Rubisco</w:t>
      </w:r>
      <w:proofErr w:type="spellEnd"/>
      <w:r w:rsidRPr="00531789">
        <w:rPr>
          <w:rFonts w:ascii="Cambria" w:hAnsi="Cambria"/>
        </w:rPr>
        <w:t xml:space="preserve"> content may occur on relatively short timescales.  </w:t>
      </w:r>
    </w:p>
    <w:p w14:paraId="7CD5905F" w14:textId="77777777" w:rsidR="00DF4522" w:rsidRPr="00531789" w:rsidRDefault="00DF4522" w:rsidP="00DF4522">
      <w:pPr>
        <w:spacing w:line="360" w:lineRule="auto"/>
        <w:jc w:val="both"/>
        <w:rPr>
          <w:rFonts w:ascii="Cambria" w:hAnsi="Cambria"/>
        </w:rPr>
      </w:pPr>
    </w:p>
    <w:p w14:paraId="281087C5" w14:textId="77777777" w:rsidR="00DF4522" w:rsidRPr="00531789" w:rsidRDefault="00DF4522" w:rsidP="00DF4522">
      <w:pPr>
        <w:spacing w:line="360" w:lineRule="auto"/>
        <w:jc w:val="both"/>
        <w:rPr>
          <w:rFonts w:ascii="Cambria" w:hAnsi="Cambria"/>
          <w:b/>
        </w:rPr>
      </w:pPr>
      <w:r w:rsidRPr="00531789">
        <w:rPr>
          <w:rFonts w:ascii="Cambria" w:hAnsi="Cambria"/>
          <w:b/>
        </w:rPr>
        <w:t>Partial defoliation does not affect leaf carbohydrates</w:t>
      </w:r>
    </w:p>
    <w:p w14:paraId="1D3562C4" w14:textId="77777777" w:rsidR="00DF4522" w:rsidRPr="00531789" w:rsidRDefault="00DF4522" w:rsidP="00DF4522">
      <w:pPr>
        <w:spacing w:line="360" w:lineRule="auto"/>
        <w:jc w:val="both"/>
        <w:rPr>
          <w:rFonts w:ascii="Cambria" w:hAnsi="Cambria"/>
        </w:rPr>
      </w:pPr>
    </w:p>
    <w:p w14:paraId="241AB6A5" w14:textId="77777777" w:rsidR="00DF4522" w:rsidRPr="00531789" w:rsidRDefault="00DF4522" w:rsidP="00DF4522">
      <w:pPr>
        <w:spacing w:line="360" w:lineRule="auto"/>
        <w:jc w:val="both"/>
        <w:rPr>
          <w:rFonts w:ascii="Cambria" w:hAnsi="Cambria"/>
        </w:rPr>
      </w:pPr>
      <w:r w:rsidRPr="00531789">
        <w:rPr>
          <w:rFonts w:ascii="Cambria" w:hAnsi="Cambria"/>
        </w:rPr>
        <w:t>The TNC concentration of leaves is also unaffected by defoliation (Fig. 9), which also goes against expectations and further indicates that source limitation has not been effectively imposed by this treatment, since plants are able to maintain normal concentrations of leaf carbohydrates rather than needing to increase export to sink organs.  As with the CO</w:t>
      </w:r>
      <w:r w:rsidRPr="00531789">
        <w:rPr>
          <w:rFonts w:ascii="Cambria" w:hAnsi="Cambria"/>
          <w:vertAlign w:val="subscript"/>
        </w:rPr>
        <w:t>2</w:t>
      </w:r>
      <w:r w:rsidRPr="00531789">
        <w:rPr>
          <w:rFonts w:ascii="Cambria" w:hAnsi="Cambria"/>
        </w:rPr>
        <w:t xml:space="preserve"> treatment, the decrease in TNC observed over time in defoliated and control plants suggests a weakening of sink relative to source limitation during development: an increase in sink strength over time could lead to this pattern, with additional storage pools for carbohydrates developing over time and reducing carbohydrate build-up in the leaves.  However, as for the elevated CO</w:t>
      </w:r>
      <w:r w:rsidRPr="00531789">
        <w:rPr>
          <w:rFonts w:ascii="Cambria" w:hAnsi="Cambria"/>
          <w:vertAlign w:val="subscript"/>
        </w:rPr>
        <w:t>2</w:t>
      </w:r>
      <w:r w:rsidRPr="00531789">
        <w:rPr>
          <w:rFonts w:ascii="Cambria" w:hAnsi="Cambria"/>
        </w:rPr>
        <w:t xml:space="preserve"> plants, an increase in </w:t>
      </w:r>
      <w:proofErr w:type="spellStart"/>
      <w:r w:rsidRPr="00531789">
        <w:rPr>
          <w:rFonts w:ascii="Cambria" w:hAnsi="Cambria"/>
        </w:rPr>
        <w:t>hexose:sucrose</w:t>
      </w:r>
      <w:proofErr w:type="spellEnd"/>
      <w:r w:rsidRPr="00531789">
        <w:rPr>
          <w:rFonts w:ascii="Cambria" w:hAnsi="Cambria"/>
        </w:rPr>
        <w:t xml:space="preserve"> ratio is observed over time for the defoliated plants (Fig. 11).</w:t>
      </w:r>
    </w:p>
    <w:p w14:paraId="2FDDAFAF" w14:textId="77777777" w:rsidR="00DF4522" w:rsidRPr="00531789" w:rsidRDefault="00DF4522" w:rsidP="00DF4522">
      <w:pPr>
        <w:spacing w:line="360" w:lineRule="auto"/>
        <w:jc w:val="both"/>
        <w:rPr>
          <w:rFonts w:ascii="Cambria" w:hAnsi="Cambria"/>
        </w:rPr>
      </w:pPr>
    </w:p>
    <w:p w14:paraId="66A99AF2" w14:textId="77777777" w:rsidR="00DF4522" w:rsidRPr="00531789" w:rsidRDefault="00DF4522" w:rsidP="00DF4522">
      <w:pPr>
        <w:spacing w:line="360" w:lineRule="auto"/>
        <w:jc w:val="both"/>
        <w:rPr>
          <w:rFonts w:ascii="Cambria" w:hAnsi="Cambria"/>
          <w:b/>
        </w:rPr>
      </w:pPr>
      <w:r w:rsidRPr="00531789">
        <w:rPr>
          <w:rFonts w:ascii="Cambria" w:hAnsi="Cambria"/>
          <w:b/>
        </w:rPr>
        <w:t>Overall ontogenetic effects</w:t>
      </w:r>
    </w:p>
    <w:p w14:paraId="13AA35F8" w14:textId="77777777" w:rsidR="00DF4522" w:rsidRPr="00531789" w:rsidRDefault="00DF4522" w:rsidP="00DF4522">
      <w:pPr>
        <w:spacing w:line="360" w:lineRule="auto"/>
        <w:jc w:val="both"/>
        <w:rPr>
          <w:rFonts w:ascii="Cambria" w:hAnsi="Cambria"/>
        </w:rPr>
      </w:pPr>
    </w:p>
    <w:p w14:paraId="03E52ED5" w14:textId="77777777" w:rsidR="00DF4522" w:rsidRPr="00531789" w:rsidRDefault="00DF4522" w:rsidP="00DF4522">
      <w:pPr>
        <w:spacing w:line="360" w:lineRule="auto"/>
        <w:jc w:val="both"/>
        <w:rPr>
          <w:rFonts w:ascii="Cambria" w:hAnsi="Cambria"/>
        </w:rPr>
      </w:pPr>
      <w:r w:rsidRPr="00531789">
        <w:rPr>
          <w:rFonts w:ascii="Cambria" w:hAnsi="Cambria"/>
        </w:rPr>
        <w:t>Across both treatments and in control plants, steady state net photosynthesis, measured at ambient conditions for elevated CO</w:t>
      </w:r>
      <w:r w:rsidRPr="00531789">
        <w:rPr>
          <w:rFonts w:ascii="Cambria" w:hAnsi="Cambria"/>
          <w:vertAlign w:val="subscript"/>
        </w:rPr>
        <w:t>2</w:t>
      </w:r>
      <w:r w:rsidRPr="00531789">
        <w:rPr>
          <w:rFonts w:ascii="Cambria" w:hAnsi="Cambria"/>
        </w:rPr>
        <w:t xml:space="preserve"> plants and under saturating light for defoliated plants, decreases during development in all plants (Figs. 1, 8). Leaf protein concentration follows the same trend and is unaffected by either treatment (Figs. 6, 10).  LMA also decreases during development in plants exposed to both treatments and in controls (Tables 1 and 2), suggesting a developmental trend towards thinner leaves with less protein per unit area and consequently lower rates of photosynthesis, since photosynthetic proteins constitute a major part of leaf nitrogen </w:t>
      </w:r>
      <w:r w:rsidRPr="00531789">
        <w:rPr>
          <w:rFonts w:ascii="Cambria" w:hAnsi="Cambria"/>
        </w:rPr>
        <w:fldChar w:fldCharType="begin" w:fldLock="1"/>
      </w:r>
      <w:r w:rsidRPr="00531789">
        <w:rPr>
          <w:rFonts w:ascii="Cambria" w:hAnsi="Cambria"/>
        </w:rPr>
        <w:instrText>ADDIN CSL_CITATION { "citationItems" : [ { "id" : "ITEM-1", "itemData" : { "author" : [ { "dropping-particle" : "", "family" : "Evans", "given" : "John R.", "non-dropping-particle" : "", "parse-names" : false, "suffix" : "" } ], "container-title" : "Oecologia", "id" : "ITEM-1", "issued" : { "date-parts" : [ [ "1989" ] ] }, "page" : "9-19", "title" : "Photosynthesis and nitrogen relationships in leaves of C3 plants", "type" : "article-journal", "volume" : "78" }, "uris" : [ "http://www.mendeley.com/documents/?uuid=3b77a248-3216-4193-b123-5b9ab1a77f25" ] }, { "id" : "ITEM-2", "itemData" : { "author" : [ { "dropping-particle" : "", "family" : "Ellis", "given" : "R John", "non-dropping-particle" : "", "parse-names" : false, "suffix" : "" } ], "container-title" : "Trends in Biochemical Science", "id" : "ITEM-2", "issue" : "November", "issued" : { "date-parts" : [ [ "1979" ] ] }, "page" : "241-244", "title" : "The most abundant protein in the world", "type" : "article-journal", "volume" : "4" }, "uris" : [ "http://www.mendeley.com/documents/?uuid=d82e8061-93aa-498e-92da-a6422b59d71c" ] }, { "id" : "ITEM-3", "itemData" : { "DOI" : "10.1146/annurev.arplant.53.100301.135233", "ISSN" : "1543-5008", "PMID" : "12221984", "abstract" : "Ribulose-1,5-bisphosphate (RuBP) carboxylase/oxygenase (Rubisco) catalyzes the first step in net photosynthetic CO2 assimilation and photorespiratory carbon oxidation. The enzyme is notoriously inefficient as a catalyst for the carboxylation of RuBP and is subject to competitive inhibition by O2, inactivation by loss of carbamylation, and dead-end inhibition by RuBP. These inadequacies make Rubisco rate limiting for photosynthesis and an obvious target for increasing agricultural productivity. Resolution of X-ray crystal structures and detailed analysis of divergent, mutant, and hybrid enzymes have increased our insight into the structure/function relationships of Rubisco. The interactions and associations relatively far from the Rubisco active site, including regulatory interactions with Rubisco activase, may present new approaches and strategies for understanding and ultimately improving this complex enzyme.", "author" : [ { "dropping-particle" : "", "family" : "Spreitzer", "given" : "Robert J", "non-dropping-particle" : "", "parse-names" : false, "suffix" : "" }, { "dropping-particle" : "", "family" : "Salvucci", "given" : "Michael E", "non-dropping-particle" : "", "parse-names" : false, "suffix" : "" } ], "container-title" : "Annual Review of Plant Biology", "id" : "ITEM-3", "issued" : { "date-parts" : [ [ "2002", "1" ] ] }, "page" : "449-75", "title" : "Rubisco: structure, regulatory interactions, and possibilities for a better enzyme.", "type" : "article-journal", "volume" : "53" }, "uris" : [ "http://www.mendeley.com/documents/?uuid=2943c53c-d2c1-47fd-9132-fb2eaa98a08c" ] } ], "mendeley" : { "formattedCitation" : "(Ellis, 1979; Evans, 1989; Spreitzer and Salvucci, 2002)", "plainTextFormattedCitation" : "(Ellis, 1979; Evans, 1989; Spreitzer and Salvucci, 2002)", "previouslyFormattedCitation" : "(Ellis, 1979; Evans, 1989; Spreitzer and Salvucci, 2002)"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(Ellis, 1979; Evans, 1989; Spreitzer and Salvucci, 2002)</w:t>
      </w:r>
      <w:r w:rsidRPr="00531789">
        <w:rPr>
          <w:rFonts w:ascii="Cambria" w:hAnsi="Cambria"/>
        </w:rPr>
        <w:fldChar w:fldCharType="end"/>
      </w:r>
      <w:r w:rsidRPr="00531789">
        <w:rPr>
          <w:rFonts w:ascii="Cambria" w:hAnsi="Cambria"/>
        </w:rPr>
        <w:t>.  This makes an important contribution to the decline in TNC during development (Figs. 3, 9), showing lower source activity relative to sink activity, which could arise from larger plants with better developed sinks, alongside reduced rates of leaf photosynthesis.  The change in protein concentration may also be due to leaf expansion: as leaves get larger, vacuoles can take up a greater proportion of each cell, leading to a lower observed cytosolic protein concentration which may account for the decrease in protein concentration seen here.</w:t>
      </w:r>
    </w:p>
    <w:p w14:paraId="0A425CA7" w14:textId="77777777" w:rsidR="00DF4522" w:rsidRPr="00531789" w:rsidRDefault="00DF4522" w:rsidP="00DF4522">
      <w:pPr>
        <w:spacing w:line="360" w:lineRule="auto"/>
        <w:jc w:val="both"/>
        <w:rPr>
          <w:rFonts w:ascii="Cambria" w:hAnsi="Cambria"/>
        </w:rPr>
      </w:pPr>
    </w:p>
    <w:p w14:paraId="2EE919C8" w14:textId="77777777" w:rsidR="00DF4522" w:rsidRPr="00531789" w:rsidRDefault="00DF4522" w:rsidP="00DF4522">
      <w:pPr>
        <w:spacing w:line="360" w:lineRule="auto"/>
        <w:jc w:val="both"/>
        <w:rPr>
          <w:rFonts w:ascii="Cambria" w:hAnsi="Cambria"/>
          <w:b/>
        </w:rPr>
      </w:pPr>
      <w:r w:rsidRPr="00531789">
        <w:rPr>
          <w:rFonts w:ascii="Cambria" w:hAnsi="Cambria"/>
          <w:b/>
        </w:rPr>
        <w:t>Limitations</w:t>
      </w:r>
    </w:p>
    <w:p w14:paraId="3F8EE074" w14:textId="77777777" w:rsidR="00DF4522" w:rsidRPr="00531789" w:rsidRDefault="00DF4522" w:rsidP="00DF4522">
      <w:pPr>
        <w:spacing w:line="360" w:lineRule="auto"/>
        <w:jc w:val="both"/>
        <w:rPr>
          <w:rFonts w:ascii="Cambria" w:hAnsi="Cambria"/>
        </w:rPr>
      </w:pPr>
    </w:p>
    <w:p w14:paraId="674590F7" w14:textId="77777777" w:rsidR="00DF4522" w:rsidRPr="00531789" w:rsidRDefault="00DF4522" w:rsidP="00DF4522">
      <w:pPr>
        <w:spacing w:line="360" w:lineRule="auto"/>
        <w:jc w:val="both"/>
        <w:rPr>
          <w:rFonts w:ascii="Cambria" w:hAnsi="Cambria"/>
        </w:rPr>
      </w:pPr>
      <w:r w:rsidRPr="00531789">
        <w:rPr>
          <w:rFonts w:ascii="Cambria" w:hAnsi="Cambria"/>
        </w:rPr>
        <w:t xml:space="preserve">The defoliation treatment used here did not manipulate the </w:t>
      </w:r>
      <w:proofErr w:type="spellStart"/>
      <w:r w:rsidRPr="00531789">
        <w:rPr>
          <w:rFonts w:ascii="Cambria" w:hAnsi="Cambria"/>
        </w:rPr>
        <w:t>source:sink</w:t>
      </w:r>
      <w:proofErr w:type="spellEnd"/>
      <w:r w:rsidRPr="00531789">
        <w:rPr>
          <w:rFonts w:ascii="Cambria" w:hAnsi="Cambria"/>
        </w:rPr>
        <w:t xml:space="preserve"> ratio, and would need to be maintained (by removal of new leaves that grow during the treatment period) and/or extended (to give a longer time period for acclimation) in order to be effective.  However, the invasive nature of defoliation compared to elevated CO</w:t>
      </w:r>
      <w:r w:rsidRPr="00531789">
        <w:rPr>
          <w:rFonts w:ascii="Cambria" w:hAnsi="Cambria"/>
          <w:vertAlign w:val="subscript"/>
        </w:rPr>
        <w:t>2</w:t>
      </w:r>
      <w:r w:rsidRPr="00531789">
        <w:rPr>
          <w:rFonts w:ascii="Cambria" w:hAnsi="Cambria"/>
        </w:rPr>
        <w:t xml:space="preserve"> is likely to introduce confounding factors such as wounding responses and is therefore not an ideal manipulation for future work; instead the use of sub-ambient CO</w:t>
      </w:r>
      <w:r w:rsidRPr="00531789">
        <w:rPr>
          <w:rFonts w:ascii="Cambria" w:hAnsi="Cambria"/>
          <w:vertAlign w:val="subscript"/>
        </w:rPr>
        <w:t>2</w:t>
      </w:r>
      <w:r w:rsidRPr="00531789">
        <w:rPr>
          <w:rFonts w:ascii="Cambria" w:hAnsi="Cambria"/>
        </w:rPr>
        <w:t xml:space="preserve"> could provide a non-invasive method for reducing the </w:t>
      </w:r>
      <w:proofErr w:type="spellStart"/>
      <w:r w:rsidRPr="00531789">
        <w:rPr>
          <w:rFonts w:ascii="Cambria" w:hAnsi="Cambria"/>
        </w:rPr>
        <w:t>source:sink</w:t>
      </w:r>
      <w:proofErr w:type="spellEnd"/>
      <w:r w:rsidRPr="00531789">
        <w:rPr>
          <w:rFonts w:ascii="Cambria" w:hAnsi="Cambria"/>
        </w:rPr>
        <w:t xml:space="preserve"> ratio.  Similarly, the timescale of elevated CO</w:t>
      </w:r>
      <w:r w:rsidRPr="00531789">
        <w:rPr>
          <w:rFonts w:ascii="Cambria" w:hAnsi="Cambria"/>
          <w:vertAlign w:val="subscript"/>
        </w:rPr>
        <w:t>2</w:t>
      </w:r>
      <w:r w:rsidRPr="00531789">
        <w:rPr>
          <w:rFonts w:ascii="Cambria" w:hAnsi="Cambria"/>
        </w:rPr>
        <w:t xml:space="preserve"> treatment could be improved – either extended to understand the longer-term effects when plants are grown permanently in elevated CO</w:t>
      </w:r>
      <w:r w:rsidRPr="00531789">
        <w:rPr>
          <w:rFonts w:ascii="Cambria" w:hAnsi="Cambria"/>
          <w:vertAlign w:val="subscript"/>
        </w:rPr>
        <w:t>2</w:t>
      </w:r>
      <w:r w:rsidRPr="00531789">
        <w:rPr>
          <w:rFonts w:ascii="Cambria" w:hAnsi="Cambria"/>
        </w:rPr>
        <w:t>, and/or the measurement schedule altered to capture plant responses hours after transfer to elevated CO</w:t>
      </w:r>
      <w:r w:rsidRPr="00531789">
        <w:rPr>
          <w:rFonts w:ascii="Cambria" w:hAnsi="Cambria"/>
          <w:vertAlign w:val="subscript"/>
        </w:rPr>
        <w:t>2</w:t>
      </w:r>
      <w:r w:rsidRPr="00531789">
        <w:rPr>
          <w:rFonts w:ascii="Cambria" w:hAnsi="Cambria"/>
        </w:rPr>
        <w:t xml:space="preserve"> in addition to the responses measured after several days of CO</w:t>
      </w:r>
      <w:r w:rsidRPr="00531789">
        <w:rPr>
          <w:rFonts w:ascii="Cambria" w:hAnsi="Cambria"/>
          <w:vertAlign w:val="subscript"/>
        </w:rPr>
        <w:t>2</w:t>
      </w:r>
      <w:r w:rsidRPr="00531789">
        <w:rPr>
          <w:rFonts w:ascii="Cambria" w:hAnsi="Cambria"/>
        </w:rPr>
        <w:t xml:space="preserve"> treatment. </w:t>
      </w:r>
    </w:p>
    <w:p w14:paraId="72D730DD" w14:textId="77777777" w:rsidR="00DF4522" w:rsidRPr="00531789" w:rsidRDefault="00DF4522" w:rsidP="00DF4522">
      <w:pPr>
        <w:spacing w:line="360" w:lineRule="auto"/>
        <w:jc w:val="both"/>
        <w:rPr>
          <w:rFonts w:ascii="Cambria" w:hAnsi="Cambria"/>
        </w:rPr>
      </w:pPr>
    </w:p>
    <w:p w14:paraId="447A8605" w14:textId="77777777" w:rsidR="00DF4522" w:rsidRPr="00531789" w:rsidRDefault="00DF4522" w:rsidP="00DF4522">
      <w:pPr>
        <w:spacing w:line="360" w:lineRule="auto"/>
        <w:jc w:val="both"/>
        <w:rPr>
          <w:rFonts w:ascii="Cambria" w:hAnsi="Cambria"/>
          <w:b/>
        </w:rPr>
      </w:pPr>
      <w:r w:rsidRPr="00531789">
        <w:rPr>
          <w:rFonts w:ascii="Cambria" w:hAnsi="Cambria"/>
          <w:b/>
        </w:rPr>
        <w:t>Conclusions and future directions</w:t>
      </w:r>
    </w:p>
    <w:p w14:paraId="2B7451D9" w14:textId="77777777" w:rsidR="00DF4522" w:rsidRPr="00531789" w:rsidRDefault="00DF4522" w:rsidP="00DF4522">
      <w:pPr>
        <w:spacing w:line="360" w:lineRule="auto"/>
        <w:jc w:val="both"/>
        <w:rPr>
          <w:rFonts w:ascii="Cambria" w:hAnsi="Cambria"/>
          <w:b/>
        </w:rPr>
      </w:pPr>
    </w:p>
    <w:p w14:paraId="2874B81E" w14:textId="77777777" w:rsidR="00DF4522" w:rsidRPr="00531789" w:rsidRDefault="00DF4522" w:rsidP="00DF4522">
      <w:pPr>
        <w:spacing w:line="360" w:lineRule="auto"/>
        <w:jc w:val="both"/>
        <w:rPr>
          <w:rFonts w:ascii="Cambria" w:hAnsi="Cambria"/>
        </w:rPr>
      </w:pPr>
      <w:r w:rsidRPr="00531789">
        <w:rPr>
          <w:rFonts w:ascii="Cambria" w:hAnsi="Cambria"/>
        </w:rPr>
        <w:t>Annual barley appears to transition from being more sink limited to more source limited during vegetative development.  At 4 weeks after germination, a</w:t>
      </w:r>
      <w:r>
        <w:rPr>
          <w:rFonts w:ascii="Cambria" w:hAnsi="Cambria"/>
        </w:rPr>
        <w:t xml:space="preserve"> short-term </w:t>
      </w:r>
      <w:r w:rsidRPr="00531789">
        <w:rPr>
          <w:rFonts w:ascii="Cambria" w:hAnsi="Cambria"/>
        </w:rPr>
        <w:t>elevated CO</w:t>
      </w:r>
      <w:r w:rsidRPr="00531789">
        <w:rPr>
          <w:rFonts w:ascii="Cambria" w:hAnsi="Cambria"/>
          <w:vertAlign w:val="subscript"/>
        </w:rPr>
        <w:t>2</w:t>
      </w:r>
      <w:r w:rsidRPr="00531789">
        <w:rPr>
          <w:rFonts w:ascii="Cambria" w:hAnsi="Cambria"/>
        </w:rPr>
        <w:t xml:space="preserve"> tr</w:t>
      </w:r>
      <w:r>
        <w:rPr>
          <w:rFonts w:ascii="Cambria" w:hAnsi="Cambria"/>
        </w:rPr>
        <w:t>eatment</w:t>
      </w:r>
      <w:r w:rsidRPr="00531789">
        <w:rPr>
          <w:rFonts w:ascii="Cambria" w:hAnsi="Cambria"/>
        </w:rPr>
        <w:t xml:space="preserve"> reveals that plants are sink limited: TNC concentration increases, leading to photosynthetic acclimation and a lack of growth response.  At 6 weeks after germination, plants are better able to use the increased TNC, meaning that an elevation of photosynthesis can occur and additional carbon can be invested in faster growth under elevated CO</w:t>
      </w:r>
      <w:r w:rsidRPr="00531789">
        <w:rPr>
          <w:rFonts w:ascii="Cambria" w:hAnsi="Cambria"/>
          <w:vertAlign w:val="subscript"/>
        </w:rPr>
        <w:t>2</w:t>
      </w:r>
      <w:r w:rsidRPr="00531789">
        <w:rPr>
          <w:rFonts w:ascii="Cambria" w:hAnsi="Cambria"/>
        </w:rPr>
        <w:t xml:space="preserve">.  The decrease in TNC seen in all plants in the study over time further suggests a decline in sink limitation towards greater source limitation.   </w:t>
      </w:r>
    </w:p>
    <w:p w14:paraId="20C818EA" w14:textId="77777777" w:rsidR="00DF4522" w:rsidRPr="00531789" w:rsidRDefault="00DF4522" w:rsidP="00DF4522">
      <w:pPr>
        <w:spacing w:line="360" w:lineRule="auto"/>
        <w:jc w:val="both"/>
        <w:rPr>
          <w:rFonts w:ascii="Cambria" w:hAnsi="Cambria"/>
        </w:rPr>
      </w:pPr>
    </w:p>
    <w:p w14:paraId="37707D75" w14:textId="77777777" w:rsidR="00DF4522" w:rsidRPr="00531789" w:rsidRDefault="00DF4522" w:rsidP="00DF4522">
      <w:pPr>
        <w:spacing w:line="360" w:lineRule="auto"/>
        <w:jc w:val="both"/>
        <w:rPr>
          <w:rFonts w:ascii="Cambria" w:hAnsi="Cambria"/>
        </w:rPr>
      </w:pPr>
      <w:r w:rsidRPr="00531789">
        <w:rPr>
          <w:rFonts w:ascii="Cambria" w:hAnsi="Cambria"/>
        </w:rPr>
        <w:t>The results from this study were greatly informative in designing the experiments outlined in the rest of this thesis.  The successful use of elevated CO</w:t>
      </w:r>
      <w:r w:rsidRPr="00531789">
        <w:rPr>
          <w:rFonts w:ascii="Cambria" w:hAnsi="Cambria"/>
        </w:rPr>
        <w:softHyphen/>
      </w:r>
      <w:r w:rsidRPr="00531789">
        <w:rPr>
          <w:rFonts w:ascii="Cambria" w:hAnsi="Cambria"/>
          <w:vertAlign w:val="subscript"/>
        </w:rPr>
        <w:t>2</w:t>
      </w:r>
      <w:r w:rsidRPr="00531789">
        <w:rPr>
          <w:rFonts w:ascii="Cambria" w:hAnsi="Cambria"/>
        </w:rPr>
        <w:t xml:space="preserve"> in imposing sink limitation, seen in the increase in non-structural carbohydrates, meant that this manipulation could be used with confidence for future work to impose carbon sink limitation.  However, the lack of growth and photosynthetic responses under elevated CO</w:t>
      </w:r>
      <w:r w:rsidRPr="00531789">
        <w:rPr>
          <w:rFonts w:ascii="Cambria" w:hAnsi="Cambria"/>
          <w:vertAlign w:val="subscript"/>
        </w:rPr>
        <w:t>2</w:t>
      </w:r>
      <w:r w:rsidRPr="00531789">
        <w:rPr>
          <w:rFonts w:ascii="Cambria" w:hAnsi="Cambria"/>
        </w:rPr>
        <w:t xml:space="preserve"> highlighted a need to impose </w:t>
      </w:r>
      <w:proofErr w:type="spellStart"/>
      <w:r w:rsidRPr="00531789">
        <w:rPr>
          <w:rFonts w:ascii="Cambria" w:hAnsi="Cambria"/>
        </w:rPr>
        <w:t>source:sink</w:t>
      </w:r>
      <w:proofErr w:type="spellEnd"/>
      <w:r w:rsidRPr="00531789">
        <w:rPr>
          <w:rFonts w:ascii="Cambria" w:hAnsi="Cambria"/>
        </w:rPr>
        <w:t xml:space="preserve"> manipulations for longer, and manipulations were applied for the entire duration of the experiment in subsequent work.  The lack of any response to defoliation treatment, coupled with the regrowth of leaves during this treatment, pointed to the need for more elegant, non-invasive manipulations to be used in future studies: firstly the use of sub-ambient CO</w:t>
      </w:r>
      <w:r w:rsidRPr="00531789">
        <w:rPr>
          <w:rFonts w:ascii="Cambria" w:hAnsi="Cambria"/>
          <w:vertAlign w:val="subscript"/>
        </w:rPr>
        <w:t>2</w:t>
      </w:r>
      <w:r w:rsidRPr="00531789">
        <w:rPr>
          <w:rFonts w:ascii="Cambria" w:hAnsi="Cambria"/>
        </w:rPr>
        <w:t xml:space="preserve"> and elevated CO</w:t>
      </w:r>
      <w:r w:rsidRPr="00531789">
        <w:rPr>
          <w:rFonts w:ascii="Cambria" w:hAnsi="Cambria"/>
          <w:vertAlign w:val="subscript"/>
        </w:rPr>
        <w:t>2</w:t>
      </w:r>
      <w:r w:rsidRPr="00531789">
        <w:rPr>
          <w:rFonts w:ascii="Cambria" w:hAnsi="Cambria"/>
        </w:rPr>
        <w:t xml:space="preserve">, and secondly the use of a nitrogen gradient.  </w:t>
      </w:r>
    </w:p>
    <w:p w14:paraId="7189D109" w14:textId="77777777" w:rsidR="00DF4522" w:rsidRPr="00531789" w:rsidRDefault="00DF4522" w:rsidP="00DF4522">
      <w:pPr>
        <w:spacing w:line="360" w:lineRule="auto"/>
        <w:jc w:val="both"/>
        <w:rPr>
          <w:rFonts w:ascii="Cambria" w:hAnsi="Cambria"/>
        </w:rPr>
      </w:pPr>
    </w:p>
    <w:p w14:paraId="4F2536D0" w14:textId="30D1F9DE" w:rsidR="00DF4522" w:rsidRPr="00531789" w:rsidRDefault="00DF4522" w:rsidP="00DF4522">
      <w:pPr>
        <w:spacing w:line="360" w:lineRule="auto"/>
        <w:jc w:val="both"/>
        <w:rPr>
          <w:rFonts w:ascii="Cambria" w:hAnsi="Cambria"/>
        </w:rPr>
      </w:pPr>
      <w:r w:rsidRPr="00531789">
        <w:rPr>
          <w:rFonts w:ascii="Cambria" w:hAnsi="Cambria"/>
        </w:rPr>
        <w:t xml:space="preserve">TNC and </w:t>
      </w:r>
      <w:proofErr w:type="spellStart"/>
      <w:r w:rsidRPr="00531789">
        <w:rPr>
          <w:rFonts w:ascii="Cambria" w:hAnsi="Cambria"/>
        </w:rPr>
        <w:t>fructan</w:t>
      </w:r>
      <w:proofErr w:type="spellEnd"/>
      <w:r w:rsidRPr="00531789">
        <w:rPr>
          <w:rFonts w:ascii="Cambria" w:hAnsi="Cambria"/>
        </w:rPr>
        <w:t xml:space="preserve"> concentrations provided good diagnostics for sink limitation in this study, and the relationship between sink limitation and foliar carbohydrates is well established.  However, the </w:t>
      </w:r>
      <w:proofErr w:type="spellStart"/>
      <w:r w:rsidRPr="00531789">
        <w:rPr>
          <w:rFonts w:ascii="Cambria" w:hAnsi="Cambria"/>
        </w:rPr>
        <w:t>hexose:sucrose</w:t>
      </w:r>
      <w:proofErr w:type="spellEnd"/>
      <w:r w:rsidRPr="00531789">
        <w:rPr>
          <w:rFonts w:ascii="Cambria" w:hAnsi="Cambria"/>
        </w:rPr>
        <w:t xml:space="preserve"> ratios reported here do not agree with the trend seen in other carbohydrate levels</w:t>
      </w:r>
      <w:r>
        <w:rPr>
          <w:rFonts w:ascii="Cambria" w:hAnsi="Cambria"/>
        </w:rPr>
        <w:t>.  For</w:t>
      </w:r>
      <w:r w:rsidRPr="00531789">
        <w:rPr>
          <w:rFonts w:ascii="Cambria" w:hAnsi="Cambria"/>
        </w:rPr>
        <w:t xml:space="preserve"> diagnosing sink limitation this m</w:t>
      </w:r>
      <w:r>
        <w:rPr>
          <w:rFonts w:ascii="Cambria" w:hAnsi="Cambria"/>
        </w:rPr>
        <w:t xml:space="preserve">easurement is both less robust, as </w:t>
      </w:r>
      <w:r w:rsidRPr="00531789">
        <w:rPr>
          <w:rFonts w:ascii="Cambria" w:hAnsi="Cambria"/>
        </w:rPr>
        <w:t xml:space="preserve">it is an indicator of </w:t>
      </w:r>
      <w:proofErr w:type="spellStart"/>
      <w:r w:rsidRPr="00531789">
        <w:rPr>
          <w:rFonts w:ascii="Cambria" w:hAnsi="Cambria"/>
        </w:rPr>
        <w:t>invertase</w:t>
      </w:r>
      <w:proofErr w:type="spellEnd"/>
      <w:r w:rsidRPr="00531789">
        <w:rPr>
          <w:rFonts w:ascii="Cambria" w:hAnsi="Cambria"/>
        </w:rPr>
        <w:t xml:space="preserve"> activity whi</w:t>
      </w:r>
      <w:r>
        <w:rPr>
          <w:rFonts w:ascii="Cambria" w:hAnsi="Cambria"/>
        </w:rPr>
        <w:t>ch is a more robust measurement</w:t>
      </w:r>
      <w:r w:rsidRPr="00531789">
        <w:rPr>
          <w:rFonts w:ascii="Cambria" w:hAnsi="Cambria"/>
        </w:rPr>
        <w:t xml:space="preserve"> </w:t>
      </w:r>
      <w:r>
        <w:rPr>
          <w:rFonts w:ascii="Cambria" w:hAnsi="Cambria"/>
        </w:rPr>
        <w:t>(</w:t>
      </w:r>
      <w:r w:rsidRPr="00531789">
        <w:rPr>
          <w:rFonts w:ascii="Cambria" w:hAnsi="Cambria"/>
        </w:rPr>
        <w:fldChar w:fldCharType="begin" w:fldLock="1"/>
      </w:r>
      <w:r>
        <w:rPr>
          <w:rFonts w:ascii="Cambria" w:hAnsi="Cambria"/>
        </w:rPr>
        <w:instrText>ADDIN CSL_CITATION { "citationItems" : [ { "id" : "ITEM-1", "itemData" : { "DOI" : "10.1046/j.1365-3040.1999.00432.x", "ISBN" : "1365-3040", "ISSN" : "0140-7791", "PMID" : "4067", "abstract" : "There have been many recent exciting advances in our understanding of the cellular processes that underlie photosynthetic acclimation to rising atmospheric CO2 concentration. Of particular interest have been the molecular processes that modulate photosynthetic gene expression in response to elevated CO2 and the biochemical processes that link changes in atmospheric CO2 concentration to the production of a metabolic signal. Central to this acclimation response is a reduction in ribulose-1,5-bisphosphate carboxylase/oxygenase (Rubisco) protein content. Studies indicate that this reduction results from species-dependent variation in the differential use and temporal control of molecular processes. We present a model for the control of Rubisco protein accumulation that emphasizes the role of subunit message translation as well as the abundance of subunit messages as components of the acclimation response. Many studies indicate that photosynthetic acclimation to elevated CO2 results from adjustments in leaf carbohydrate signalling. The repression of photosynthetic gene expression is considered to occur primarily by hexokinase functioning as a hexose flux sensor that ultimately affects transcription. Leaf hexoses may be produced as potential sources of signals primarily by sucrose cycling and secondarily by starch hydrolysis. An increased rate of sucrose cycling is suggested to occur at elevated CO2 by enhanced provision of sucrose to leaf acid invertases. Additionally, sink limitations that accentuate photosynthetic acclimation may result from a relative decrease in the export of leaf sucrose and subsequent increase in cellular sucrose levels and sucrose cycling.", "author" : [ { "dropping-particle" : "", "family" : "Moore", "given" : "B D", "non-dropping-particle" : "", "parse-names" : false, "suffix" : "" }, { "dropping-particle" : "", "family" : "Cheng", "given" : "S H", "non-dropping-particle" : "", "parse-names" : false, "suffix" : "" }, { "dropping-particle" : "", "family" : "Sims", "given" : "D", "non-dropping-particle" : "", "parse-names" : false, "suffix" : "" }, { "dropping-particle" : "", "family" : "Seemann", "given" : "J R", "non-dropping-particle" : "", "parse-names" : false, "suffix" : "" } ], "container-title" : "Plant Cell and Environment", "id" : "ITEM-1", "issue" : "6", "issued" : { "date-parts" : [ [ "1999" ] ] }, "page" : "567-582", "title" : "The biochemical and molecular basis for photosynthetic acclimation to elevated atmospheric CO2", "type" : "article-journal", "volume" : "22" }, "uris" : [ "http://www.mendeley.com/documents/?uuid=cf0a466f-c3b0-4974-b4cb-4e35fb4a41ba" ] } ], "mendeley" : { "formattedCitation" : "(Moore &lt;i&gt;et al.&lt;/i&gt;, 1999)", "manualFormatting" : "Moore et al., 1999)", "plainTextFormattedCitation" : "(Moore et al., 1999)", "previouslyFormattedCitation" : "(Moore &lt;i&gt;et al.&lt;/i&gt;, 1999)"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 xml:space="preserve">Moore </w:t>
      </w:r>
      <w:r w:rsidRPr="00531789">
        <w:rPr>
          <w:rFonts w:ascii="Cambria" w:hAnsi="Cambria"/>
          <w:i/>
          <w:noProof/>
        </w:rPr>
        <w:t>et al.</w:t>
      </w:r>
      <w:r w:rsidRPr="00531789">
        <w:rPr>
          <w:rFonts w:ascii="Cambria" w:hAnsi="Cambria"/>
          <w:noProof/>
        </w:rPr>
        <w:t>, 1999)</w:t>
      </w:r>
      <w:r w:rsidRPr="00531789">
        <w:rPr>
          <w:rFonts w:ascii="Cambria" w:hAnsi="Cambria"/>
        </w:rPr>
        <w:fldChar w:fldCharType="end"/>
      </w:r>
      <w:r>
        <w:rPr>
          <w:rFonts w:ascii="Cambria" w:hAnsi="Cambria"/>
        </w:rPr>
        <w:t xml:space="preserve">, and less well-established: </w:t>
      </w:r>
      <w:r w:rsidRPr="00531789">
        <w:rPr>
          <w:rFonts w:ascii="Cambria" w:hAnsi="Cambria"/>
        </w:rPr>
        <w:t xml:space="preserve">most studies focus on TNC, and much of the early work on hexose signalling was carried out in protoplasts making it </w:t>
      </w:r>
      <w:r>
        <w:rPr>
          <w:rFonts w:ascii="Cambria" w:hAnsi="Cambria"/>
        </w:rPr>
        <w:t xml:space="preserve">perhaps </w:t>
      </w:r>
      <w:r w:rsidRPr="00531789">
        <w:rPr>
          <w:rFonts w:ascii="Cambria" w:hAnsi="Cambria"/>
        </w:rPr>
        <w:t>less physiologically relevant</w:t>
      </w:r>
      <w:r>
        <w:rPr>
          <w:rFonts w:ascii="Cambria" w:hAnsi="Cambria"/>
        </w:rPr>
        <w:t xml:space="preserve"> for whole plant studies</w:t>
      </w:r>
      <w:r w:rsidRPr="00531789">
        <w:rPr>
          <w:rFonts w:ascii="Cambria" w:hAnsi="Cambria"/>
        </w:rPr>
        <w:t xml:space="preserve"> </w:t>
      </w:r>
      <w:r w:rsidR="00862A3D">
        <w:rPr>
          <w:rFonts w:ascii="Cambria" w:hAnsi="Cambria"/>
        </w:rPr>
        <w:t>(</w:t>
      </w:r>
      <w:r w:rsidRPr="00531789">
        <w:rPr>
          <w:rFonts w:ascii="Cambria" w:hAnsi="Cambria"/>
        </w:rPr>
        <w:t xml:space="preserve">e.g. </w:t>
      </w:r>
      <w:r w:rsidRPr="00531789">
        <w:rPr>
          <w:rFonts w:ascii="Cambria" w:hAnsi="Cambria"/>
        </w:rPr>
        <w:fldChar w:fldCharType="begin" w:fldLock="1"/>
      </w:r>
      <w:r w:rsidR="00906E41">
        <w:rPr>
          <w:rFonts w:ascii="Cambria" w:hAnsi="Cambria"/>
        </w:rPr>
        <w:instrText>ADDIN CSL_CITATION { "citationItems" : [ { "id" : "ITEM-1", "itemData" : { "author" : [ { "dropping-particle" : "", "family" : "Jang", "given" : "Jyan-Chyun", "non-dropping-particle" : "", "parse-names" : false, "suffix" : "" }, { "dropping-particle" : "", "family" : "Sheen", "given" : "Jen", "non-dropping-particle" : "", "parse-names" : false, "suffix" : "" } ], "container-title" : "The Plant Cell", "id" : "ITEM-1", "issued" : { "date-parts" : [ [ "1994" ] ] }, "page" : "1665-1679", "title" : "Sugar sensing in higher plants", "type" : "article-journal", "volume" : "6" }, "uris" : [ "http://www.mendeley.com/documents/?uuid=0ce2d08e-736a-4488-8d1e-ee1b7d1fbe8a" ] } ], "mendeley" : { "formattedCitation" : "(Jang and Sheen, 1994)", "manualFormatting" : "Jang and Sheen, 1994)", "plainTextFormattedCitation" : "(Jang and Sheen, 1994)", "previouslyFormattedCitation" : "(Jang and Sheen, 1994)"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Jang and Sheen</w:t>
      </w:r>
      <w:r w:rsidR="00862A3D">
        <w:rPr>
          <w:rFonts w:ascii="Cambria" w:hAnsi="Cambria"/>
          <w:noProof/>
        </w:rPr>
        <w:t xml:space="preserve">, </w:t>
      </w:r>
      <w:r w:rsidRPr="00531789">
        <w:rPr>
          <w:rFonts w:ascii="Cambria" w:hAnsi="Cambria"/>
          <w:noProof/>
        </w:rPr>
        <w:t>1994)</w:t>
      </w:r>
      <w:r w:rsidRPr="00531789">
        <w:rPr>
          <w:rFonts w:ascii="Cambria" w:hAnsi="Cambria"/>
        </w:rPr>
        <w:fldChar w:fldCharType="end"/>
      </w:r>
      <w:r w:rsidRPr="00531789">
        <w:rPr>
          <w:rFonts w:ascii="Cambria" w:hAnsi="Cambria"/>
        </w:rPr>
        <w:t>.  Thus for subsequent work</w:t>
      </w:r>
      <w:r>
        <w:rPr>
          <w:rFonts w:ascii="Cambria" w:hAnsi="Cambria"/>
        </w:rPr>
        <w:t>,</w:t>
      </w:r>
      <w:r w:rsidRPr="00531789">
        <w:rPr>
          <w:rFonts w:ascii="Cambria" w:hAnsi="Cambria"/>
        </w:rPr>
        <w:t xml:space="preserve"> measurement of </w:t>
      </w:r>
      <w:proofErr w:type="spellStart"/>
      <w:r w:rsidRPr="00531789">
        <w:rPr>
          <w:rFonts w:ascii="Cambria" w:hAnsi="Cambria"/>
        </w:rPr>
        <w:t>hexose:sucrose</w:t>
      </w:r>
      <w:proofErr w:type="spellEnd"/>
      <w:r w:rsidRPr="00531789">
        <w:rPr>
          <w:rFonts w:ascii="Cambria" w:hAnsi="Cambria"/>
        </w:rPr>
        <w:t xml:space="preserve"> ratios was not used as a diagnostic for sink limitation.  The am</w:t>
      </w:r>
      <w:r>
        <w:rPr>
          <w:rFonts w:ascii="Cambria" w:hAnsi="Cambria"/>
        </w:rPr>
        <w:t xml:space="preserve">ino </w:t>
      </w:r>
      <w:proofErr w:type="spellStart"/>
      <w:r>
        <w:rPr>
          <w:rFonts w:ascii="Cambria" w:hAnsi="Cambria"/>
        </w:rPr>
        <w:t>acid:sucrose</w:t>
      </w:r>
      <w:proofErr w:type="spellEnd"/>
      <w:r>
        <w:rPr>
          <w:rFonts w:ascii="Cambria" w:hAnsi="Cambria"/>
        </w:rPr>
        <w:t xml:space="preserve"> ratio is a better</w:t>
      </w:r>
      <w:r w:rsidRPr="00531789">
        <w:rPr>
          <w:rFonts w:ascii="Cambria" w:hAnsi="Cambria"/>
        </w:rPr>
        <w:t xml:space="preserve"> indicator of carbon source limitation </w:t>
      </w:r>
      <w:r w:rsidRPr="00531789">
        <w:rPr>
          <w:rFonts w:ascii="Cambria" w:hAnsi="Cambria"/>
        </w:rPr>
        <w:fldChar w:fldCharType="begin" w:fldLock="1"/>
      </w:r>
      <w:r>
        <w:rPr>
          <w:rFonts w:ascii="Cambria" w:hAnsi="Cambria"/>
        </w:rPr>
        <w:instrText>ADDIN CSL_CITATION { "citationItems" : [ { "id" : "ITEM-1", "itemData" : { "DOI" : "10.1046/j.1365-3040.1997.d01-17.x", "ISSN" : "0140-7791", "author" : [ { "dropping-particle" : "", "family" : "Paul", "given" : "M. J.", "non-dropping-particle" : "", "parse-names" : false, "suffix" : "" }, { "dropping-particle" : "", "family" : "Driscoll", "given" : "S. P.", "non-dropping-particle" : "", "parse-names" : false, "suffix" : "" } ], "container-title" : "Plant, Cell &amp; Environment", "id" : "ITEM-1", "issue" : "1", "issued" : { "date-parts" : [ [ "1997", "1" ] ] }, "page" : "110-116", "title" : "Sugar repression of photosynthesis: the role of carbohydrates in signalling nitrogen deficiency through source:sink imbalance", "type" : "article-journal", "volume" : "20" }, "uris" : [ "http://www.mendeley.com/documents/?uuid=3d653e08-ab32-4dc7-9d29-fef13b1e5636" ] }, { "id" : "ITEM-2", "itemData" : { "DOI" : "10.1046/j.1365-3040.2000.00583.x", "ISSN" : "01407791", "PMID" : "4284", "abstract" : "ABSTRACT Lolium perenne, a main component species in managed grassland, is well adapted to defoliation, fertilization, and regrowth cycles; and hence, to changes in the assimilatory carbon source-sink ratio. In the Swiss Free Air CO2 Enrichment experiment the source-sink ratio is (i) increased by elevated partial pressure of CO2 (pCO2), (ii) decreased by enhanced carbon use under high N fertilization, and (iii) gradually increased during regrowth after defoliation. Since sucrose synthesis plays a central role in leaf carbohydrate metabolism in this fructan-accumulating species, we investigated how sucrose-phosphate synthase (SPS) responds to the differing assimilatory carbon fluxes and source-sink ratios in the field. Assimilatory carbon flux, as estimated by leaf gas exchange, strongly depended on pCO2. Surprisingly, the SPS content per leaf area did not increase with pCO2, but increased with N fertilization. During later regrowth, when a dense canopy had formed, the SPS content decreased; in particular, SPS was decreased at high N under elevated pCO2. Further, the higher assimilatory carbon flux through SPS at elevated pCO2 was accompanied by a higher activation state of SPS. The SPS content correlated very strongly with the ratio of free sucrose to free amino acid in leaves, which represents the carbon source-sink ratio. Hence, SPS content in L. perenne appears to be regulated by the current, strongly nitrogen-dependent, source-sink relation.", "author" : [ { "dropping-particle" : "", "family" : "Isopp", "given" : "H.", "non-dropping-particle" : "", "parse-names" : false, "suffix" : "" }, { "dropping-particle" : "", "family" : "Frehner", "given" : "M.", "non-dropping-particle" : "", "parse-names" : false, "suffix" : "" }, { "dropping-particle" : "", "family" : "Long", "given" : "S. P.", "non-dropping-particle" : "", "parse-names" : false, "suffix" : "" }, { "dropping-particle" : "", "family" : "N\u00f6sberger", "given" : "J.", "non-dropping-particle" : "", "parse-names" : false, "suffix" : "" } ], "container-title" : "Plant, Cell and Environment", "id" : "ITEM-2", "issued" : { "date-parts" : [ [ "2000" ] ] }, "page" : "597-607", "title" : "Sucrose-phosphate synthase responds differently to source-sink relations and to photosynthetic rates: Lolium perenne L. growing at elevated p(CO2) in the field", "type" : "article-journal", "volume" : "23" }, "uris" : [ "http://www.mendeley.com/documents/?uuid=c2cb93b7-f751-46ba-b6ad-a77f9f36afdf" ] }, { "id" : "ITEM-3", "itemData" : { "DOI" : "10.1046/j.1365-3040.1999.00386.x", "ISSN" : "0140-7791", "author" : [ { "dropping-particle" : "", "family" : "Stitt", "given" : "M.", "non-dropping-particle" : "", "parse-names" : false, "suffix" : "" }, { "dropping-particle" : "", "family" : "Krapp", "given" : "A.", "non-dropping-particle" : "", "parse-names" : false, "suffix" : "" } ], "container-title" : "Plant, Cell &amp; Environment", "id" : "ITEM-3", "issue" : "6", "issued" : { "date-parts" : [ [ "1999", "6" ] ] }, "page" : "583-621", "title" : "The interaction between elevated carbon dioxide and nitrogen nutrition: the physiological and molecular background", "type" : "article-journal", "volume" : "22" }, "uris" : [ "http://www.mendeley.com/documents/?uuid=12d0f917-f3d6-43c6-92fa-0d13f38659a0" ] } ], "mendeley" : { "formattedCitation" : "(Paul and Driscoll, 1997; Stitt and Krapp, 1999; Isopp &lt;i&gt;et al.&lt;/i&gt;, 2000)", "plainTextFormattedCitation" : "(Paul and Driscoll, 1997; Stitt and Krapp, 1999; Isopp et al., 2000)", "previouslyFormattedCitation" : "(Paul and Driscoll, 1997; Stitt and Krapp, 1999; Isopp &lt;i&gt;et al.&lt;/i&gt;, 2000)"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(Paul and Driscoll, 1997; Stitt and Krapp, 1999; Isopp </w:t>
      </w:r>
      <w:r w:rsidRPr="002C5907">
        <w:rPr>
          <w:rFonts w:ascii="Cambria" w:hAnsi="Cambria"/>
          <w:i/>
          <w:noProof/>
        </w:rPr>
        <w:t>et al.</w:t>
      </w:r>
      <w:r w:rsidRPr="002C5907">
        <w:rPr>
          <w:rFonts w:ascii="Cambria" w:hAnsi="Cambria"/>
          <w:noProof/>
        </w:rPr>
        <w:t>, 2000)</w:t>
      </w:r>
      <w:r w:rsidRPr="00531789">
        <w:rPr>
          <w:rFonts w:ascii="Cambria" w:hAnsi="Cambria"/>
        </w:rPr>
        <w:fldChar w:fldCharType="end"/>
      </w:r>
      <w:r>
        <w:rPr>
          <w:rFonts w:ascii="Cambria" w:hAnsi="Cambria"/>
        </w:rPr>
        <w:t xml:space="preserve"> and links carbon and nitrogen metabolism</w:t>
      </w:r>
      <w:r w:rsidRPr="00531789">
        <w:rPr>
          <w:rFonts w:ascii="Cambria" w:hAnsi="Cambria"/>
        </w:rPr>
        <w:t>, and this was utilised in subsequent experiments</w:t>
      </w:r>
      <w:r>
        <w:rPr>
          <w:rFonts w:ascii="Cambria" w:hAnsi="Cambria"/>
        </w:rPr>
        <w:t>, in which</w:t>
      </w:r>
      <w:r w:rsidRPr="00531789">
        <w:rPr>
          <w:rFonts w:ascii="Cambria" w:hAnsi="Cambria"/>
        </w:rPr>
        <w:t xml:space="preserve"> amino acid data were available.</w:t>
      </w:r>
    </w:p>
    <w:p w14:paraId="61B49CCE" w14:textId="77777777" w:rsidR="00DF4522" w:rsidRPr="00531789" w:rsidRDefault="00DF4522" w:rsidP="00DF4522">
      <w:pPr>
        <w:spacing w:line="360" w:lineRule="auto"/>
        <w:jc w:val="both"/>
        <w:rPr>
          <w:rFonts w:ascii="Cambria" w:hAnsi="Cambria"/>
        </w:rPr>
      </w:pPr>
    </w:p>
    <w:p w14:paraId="68F08378" w14:textId="67355AA5" w:rsidR="00DF4522" w:rsidRPr="00531789" w:rsidRDefault="00DF4522" w:rsidP="00DF4522">
      <w:pPr>
        <w:spacing w:line="360" w:lineRule="auto"/>
        <w:jc w:val="both"/>
        <w:rPr>
          <w:rFonts w:ascii="Cambria" w:hAnsi="Cambria"/>
        </w:rPr>
      </w:pPr>
      <w:r w:rsidRPr="00531789">
        <w:rPr>
          <w:rFonts w:ascii="Cambria" w:hAnsi="Cambria"/>
        </w:rPr>
        <w:t>To build on the findings of this work, in addition to the methodological improvements noted above, subsequent experiments were expanded to include another species (a congeneric w</w:t>
      </w:r>
      <w:r>
        <w:rPr>
          <w:rFonts w:ascii="Cambria" w:hAnsi="Cambria"/>
        </w:rPr>
        <w:t xml:space="preserve">ild perennial barley) and whole </w:t>
      </w:r>
      <w:r w:rsidRPr="00531789">
        <w:rPr>
          <w:rFonts w:ascii="Cambria" w:hAnsi="Cambria"/>
        </w:rPr>
        <w:t>plant metabolite analysis (by harvesting leaf sheaths and roots, in addition to leaves).  In order to deepen understanding of carbohydrate accumulation, in one experim</w:t>
      </w:r>
      <w:r w:rsidR="00E91DBB">
        <w:rPr>
          <w:rFonts w:ascii="Cambria" w:hAnsi="Cambria"/>
        </w:rPr>
        <w:t>ent plants were harvested</w:t>
      </w:r>
      <w:r w:rsidRPr="00531789">
        <w:rPr>
          <w:rFonts w:ascii="Cambria" w:hAnsi="Cambria"/>
        </w:rPr>
        <w:t xml:space="preserve"> pre-dawn in addition to pre-dusk in order to assess diurnal patterns and to obtain the start-of-day baseline carbohydrate levels.  Measurement of free nitrate and free amino acids, in addition to protein, enabled a more complete profile of nitrogen metabolite</w:t>
      </w:r>
      <w:r>
        <w:rPr>
          <w:rFonts w:ascii="Cambria" w:hAnsi="Cambria"/>
        </w:rPr>
        <w:t xml:space="preserve"> pool</w:t>
      </w:r>
      <w:r w:rsidRPr="00531789">
        <w:rPr>
          <w:rFonts w:ascii="Cambria" w:hAnsi="Cambria"/>
        </w:rPr>
        <w:t>s</w:t>
      </w:r>
      <w:r>
        <w:rPr>
          <w:rFonts w:ascii="Cambria" w:hAnsi="Cambria"/>
        </w:rPr>
        <w:t xml:space="preserve"> in different organs </w:t>
      </w:r>
      <w:r w:rsidRPr="00531789">
        <w:rPr>
          <w:rFonts w:ascii="Cambria" w:hAnsi="Cambria"/>
        </w:rPr>
        <w:t xml:space="preserve">to be obtained in subsequent experiments.  A different cultivar of annual barley was used in subsequent experiments so that seed pre-treated with fungicide could be used, in order to guard against </w:t>
      </w:r>
      <w:proofErr w:type="spellStart"/>
      <w:r w:rsidRPr="00531789">
        <w:rPr>
          <w:rFonts w:ascii="Cambria" w:hAnsi="Cambria"/>
          <w:i/>
        </w:rPr>
        <w:t>Ramularia</w:t>
      </w:r>
      <w:proofErr w:type="spellEnd"/>
      <w:r w:rsidRPr="00531789">
        <w:rPr>
          <w:rFonts w:ascii="Cambria" w:hAnsi="Cambria"/>
          <w:i/>
        </w:rPr>
        <w:t xml:space="preserve"> </w:t>
      </w:r>
      <w:r w:rsidRPr="00531789">
        <w:rPr>
          <w:rFonts w:ascii="Cambria" w:hAnsi="Cambria"/>
        </w:rPr>
        <w:t>infection, but an elite UK annual spring malting barley was chosen again in order to facilitate comparison of results.</w:t>
      </w:r>
    </w:p>
    <w:p w14:paraId="6DF07D5D" w14:textId="77777777" w:rsidR="00DF4522" w:rsidRPr="00531789" w:rsidRDefault="00DF4522" w:rsidP="00DF4522">
      <w:pPr>
        <w:spacing w:line="360" w:lineRule="auto"/>
        <w:jc w:val="both"/>
        <w:rPr>
          <w:rFonts w:ascii="Cambria" w:hAnsi="Cambria"/>
        </w:rPr>
      </w:pPr>
    </w:p>
    <w:p w14:paraId="3E0652C5" w14:textId="77777777" w:rsidR="00DF4522" w:rsidRPr="00531789" w:rsidRDefault="00DF4522" w:rsidP="00DF4522">
      <w:pPr>
        <w:spacing w:line="360" w:lineRule="auto"/>
        <w:jc w:val="both"/>
        <w:rPr>
          <w:rFonts w:ascii="Cambria" w:hAnsi="Cambria"/>
        </w:rPr>
      </w:pPr>
    </w:p>
    <w:p w14:paraId="13A21E52" w14:textId="77777777" w:rsidR="00DF4522" w:rsidRDefault="00DF4522" w:rsidP="00DF4522">
      <w:pPr>
        <w:pStyle w:val="Heading2"/>
        <w:rPr>
          <w:rFonts w:ascii="Cambria" w:hAnsi="Cambria"/>
          <w:color w:val="auto"/>
        </w:rPr>
      </w:pPr>
      <w:bookmarkStart w:id="83" w:name="_Toc322267592"/>
      <w:bookmarkStart w:id="84" w:name="_Toc322267714"/>
      <w:bookmarkStart w:id="85" w:name="_Toc322267878"/>
    </w:p>
    <w:p w14:paraId="4D71DF98" w14:textId="77777777" w:rsidR="00DF4522" w:rsidRPr="0097032E" w:rsidRDefault="00DF4522" w:rsidP="00DF4522"/>
    <w:p w14:paraId="249B9FB7" w14:textId="418E4D68" w:rsidR="00DF4522" w:rsidRPr="00531789" w:rsidRDefault="00DF4522" w:rsidP="00DF4522">
      <w:pPr>
        <w:pStyle w:val="Heading1"/>
        <w:jc w:val="center"/>
        <w:rPr>
          <w:rFonts w:ascii="Cambria" w:hAnsi="Cambria"/>
          <w:color w:val="auto"/>
        </w:rPr>
      </w:pPr>
      <w:bookmarkStart w:id="86" w:name="_Toc322267593"/>
      <w:bookmarkStart w:id="87" w:name="_Toc322267715"/>
      <w:bookmarkStart w:id="88" w:name="_Toc322267879"/>
      <w:bookmarkStart w:id="89" w:name="_Toc331253020"/>
      <w:bookmarkEnd w:id="83"/>
      <w:bookmarkEnd w:id="84"/>
      <w:bookmarkEnd w:id="85"/>
      <w:r w:rsidRPr="00531789">
        <w:rPr>
          <w:rFonts w:ascii="Cambria" w:hAnsi="Cambria"/>
          <w:color w:val="auto"/>
        </w:rPr>
        <w:t>Chapter 4:</w:t>
      </w:r>
      <w:r w:rsidR="000055CC">
        <w:rPr>
          <w:rFonts w:ascii="Cambria" w:hAnsi="Cambria"/>
          <w:color w:val="auto"/>
        </w:rPr>
        <w:t xml:space="preserve"> Carbon s</w:t>
      </w:r>
      <w:r w:rsidRPr="00531789">
        <w:rPr>
          <w:rFonts w:ascii="Cambria" w:hAnsi="Cambria"/>
          <w:color w:val="auto"/>
        </w:rPr>
        <w:t xml:space="preserve">ource-sink limitations differ between </w:t>
      </w:r>
      <w:r>
        <w:rPr>
          <w:rFonts w:ascii="Cambria" w:hAnsi="Cambria"/>
          <w:color w:val="auto"/>
        </w:rPr>
        <w:t xml:space="preserve">two </w:t>
      </w:r>
      <w:r w:rsidRPr="00531789">
        <w:rPr>
          <w:rFonts w:ascii="Cambria" w:hAnsi="Cambria"/>
          <w:color w:val="auto"/>
        </w:rPr>
        <w:t>species with contrasting growth strategies</w:t>
      </w:r>
      <w:bookmarkEnd w:id="86"/>
      <w:bookmarkEnd w:id="87"/>
      <w:bookmarkEnd w:id="88"/>
      <w:bookmarkEnd w:id="89"/>
    </w:p>
    <w:p w14:paraId="014AECA0" w14:textId="77777777" w:rsidR="00DF4522" w:rsidRDefault="00DF4522" w:rsidP="00DF4522">
      <w:pPr>
        <w:spacing w:line="360" w:lineRule="auto"/>
        <w:rPr>
          <w:rFonts w:ascii="Cambria" w:hAnsi="Cambria" w:cs="Courier New"/>
          <w:b/>
        </w:rPr>
      </w:pPr>
    </w:p>
    <w:p w14:paraId="326471FE" w14:textId="5D67CD81" w:rsidR="00DF4522" w:rsidRPr="007B4CCF" w:rsidRDefault="006C2303" w:rsidP="00DF4522">
      <w:pPr>
        <w:spacing w:line="360" w:lineRule="auto"/>
        <w:rPr>
          <w:rFonts w:ascii="Cambria" w:hAnsi="Cambria" w:cs="Arial"/>
        </w:rPr>
      </w:pPr>
      <w:r>
        <w:rPr>
          <w:rFonts w:ascii="Cambria" w:hAnsi="Cambria" w:cs="Arial"/>
        </w:rPr>
        <w:t>A modified version of t</w:t>
      </w:r>
      <w:r w:rsidR="00DF4522">
        <w:rPr>
          <w:rFonts w:ascii="Cambria" w:hAnsi="Cambria" w:cs="Arial"/>
        </w:rPr>
        <w:t>his chapter is in p</w:t>
      </w:r>
      <w:r w:rsidR="000055CC">
        <w:rPr>
          <w:rFonts w:ascii="Cambria" w:hAnsi="Cambria" w:cs="Arial"/>
        </w:rPr>
        <w:t>ress and is cited as ‘Burnett</w:t>
      </w:r>
      <w:r w:rsidR="00DF4522">
        <w:rPr>
          <w:rFonts w:ascii="Cambria" w:hAnsi="Cambria" w:cs="Arial"/>
        </w:rPr>
        <w:t xml:space="preserve"> </w:t>
      </w:r>
      <w:r w:rsidR="00DF4522" w:rsidRPr="007B4CCF">
        <w:rPr>
          <w:rFonts w:ascii="Cambria" w:hAnsi="Cambria" w:cs="Arial"/>
          <w:i/>
        </w:rPr>
        <w:t>et al</w:t>
      </w:r>
      <w:r w:rsidR="00DF4522">
        <w:rPr>
          <w:rFonts w:ascii="Cambria" w:hAnsi="Cambria" w:cs="Arial"/>
        </w:rPr>
        <w:t>., 2016’</w:t>
      </w:r>
      <w:r w:rsidR="00DF4522">
        <w:rPr>
          <w:rFonts w:ascii="Cambria" w:hAnsi="Cambria" w:cs="Arial"/>
          <w:i/>
        </w:rPr>
        <w:t xml:space="preserve"> </w:t>
      </w:r>
      <w:r w:rsidR="00DF4522">
        <w:rPr>
          <w:rFonts w:ascii="Cambria" w:hAnsi="Cambria" w:cs="Arial"/>
        </w:rPr>
        <w:t>in this thesis.</w:t>
      </w:r>
    </w:p>
    <w:p w14:paraId="5275FC22" w14:textId="77777777" w:rsidR="00DF4522" w:rsidRPr="00531789" w:rsidRDefault="00DF4522" w:rsidP="00DF4522">
      <w:pPr>
        <w:spacing w:line="360" w:lineRule="auto"/>
        <w:rPr>
          <w:rFonts w:ascii="Cambria" w:hAnsi="Cambria" w:cs="Courier New"/>
          <w:b/>
        </w:rPr>
      </w:pPr>
    </w:p>
    <w:p w14:paraId="1356880C" w14:textId="77777777" w:rsidR="00DF4522" w:rsidRPr="00531789" w:rsidRDefault="00DF4522" w:rsidP="00DF4522">
      <w:pPr>
        <w:pStyle w:val="Heading2"/>
        <w:rPr>
          <w:rFonts w:ascii="Cambria" w:hAnsi="Cambria"/>
          <w:color w:val="auto"/>
        </w:rPr>
      </w:pPr>
      <w:bookmarkStart w:id="90" w:name="_Toc322267594"/>
      <w:bookmarkStart w:id="91" w:name="_Toc322267716"/>
      <w:bookmarkStart w:id="92" w:name="_Toc322267880"/>
      <w:bookmarkStart w:id="93" w:name="_Toc331253021"/>
      <w:r w:rsidRPr="00531789">
        <w:rPr>
          <w:rFonts w:ascii="Cambria" w:hAnsi="Cambria"/>
          <w:color w:val="auto"/>
        </w:rPr>
        <w:t>ABSTRACT</w:t>
      </w:r>
      <w:bookmarkEnd w:id="90"/>
      <w:bookmarkEnd w:id="91"/>
      <w:bookmarkEnd w:id="92"/>
      <w:bookmarkEnd w:id="93"/>
      <w:r w:rsidRPr="00531789">
        <w:rPr>
          <w:rFonts w:ascii="Cambria" w:hAnsi="Cambria"/>
          <w:color w:val="auto"/>
        </w:rPr>
        <w:tab/>
      </w:r>
      <w:r w:rsidRPr="00531789">
        <w:rPr>
          <w:rFonts w:ascii="Cambria" w:hAnsi="Cambria"/>
          <w:color w:val="auto"/>
        </w:rPr>
        <w:tab/>
      </w:r>
    </w:p>
    <w:p w14:paraId="79ADEE80" w14:textId="77777777" w:rsidR="00DF4522" w:rsidRPr="00531789" w:rsidRDefault="00DF4522" w:rsidP="00DF4522">
      <w:pPr>
        <w:spacing w:line="360" w:lineRule="auto"/>
        <w:rPr>
          <w:rFonts w:ascii="Cambria" w:hAnsi="Cambria" w:cs="Courier New"/>
        </w:rPr>
      </w:pPr>
    </w:p>
    <w:p w14:paraId="20A3A2E8"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 xml:space="preserve">Understanding the limitation of plant growth rate by carbon source and sink strengths is a critical knowledge gap that hinders efforts to maximise yield in future </w:t>
      </w:r>
      <w:proofErr w:type="spellStart"/>
      <w:r w:rsidRPr="00531789">
        <w:rPr>
          <w:rFonts w:ascii="Cambria" w:hAnsi="Cambria" w:cs="Courier New"/>
        </w:rPr>
        <w:t>germplasm</w:t>
      </w:r>
      <w:proofErr w:type="spellEnd"/>
      <w:r w:rsidRPr="00531789">
        <w:rPr>
          <w:rFonts w:ascii="Cambria" w:hAnsi="Cambria" w:cs="Courier New"/>
        </w:rPr>
        <w:t>. We sought</w:t>
      </w:r>
      <w:r>
        <w:rPr>
          <w:rFonts w:ascii="Cambria" w:hAnsi="Cambria" w:cs="Courier New"/>
        </w:rPr>
        <w:t xml:space="preserve"> to explain how differences in </w:t>
      </w:r>
      <w:r w:rsidRPr="00531789">
        <w:rPr>
          <w:rFonts w:ascii="Cambria" w:hAnsi="Cambria" w:cs="Courier New"/>
        </w:rPr>
        <w:t xml:space="preserve">growth rate </w:t>
      </w:r>
      <w:r>
        <w:rPr>
          <w:rFonts w:ascii="Cambria" w:hAnsi="Cambria" w:cs="Courier New"/>
        </w:rPr>
        <w:t xml:space="preserve">between species </w:t>
      </w:r>
      <w:r w:rsidRPr="00531789">
        <w:rPr>
          <w:rFonts w:ascii="Cambria" w:hAnsi="Cambria" w:cs="Courier New"/>
        </w:rPr>
        <w:t>arise from source-sink limitations,</w:t>
      </w:r>
      <w:r w:rsidRPr="00531789" w:rsidDel="00157EC8">
        <w:rPr>
          <w:rFonts w:ascii="Cambria" w:hAnsi="Cambria" w:cs="Courier New"/>
        </w:rPr>
        <w:t xml:space="preserve"> </w:t>
      </w:r>
      <w:r w:rsidRPr="00531789">
        <w:rPr>
          <w:rFonts w:ascii="Cambria" w:hAnsi="Cambria" w:cs="Courier New"/>
        </w:rPr>
        <w:t>using a model system comparing a fast-growing domesticated annual barley (</w:t>
      </w:r>
      <w:proofErr w:type="spellStart"/>
      <w:r w:rsidRPr="00531789">
        <w:rPr>
          <w:rFonts w:ascii="Cambria" w:hAnsi="Cambria" w:cs="Courier New"/>
          <w:i/>
        </w:rPr>
        <w:t>Hordeum</w:t>
      </w:r>
      <w:proofErr w:type="spellEnd"/>
      <w:r w:rsidRPr="00531789">
        <w:rPr>
          <w:rFonts w:ascii="Cambria" w:hAnsi="Cambria" w:cs="Courier New"/>
          <w:i/>
        </w:rPr>
        <w:t xml:space="preserve"> </w:t>
      </w:r>
      <w:proofErr w:type="spellStart"/>
      <w:r w:rsidRPr="00531789">
        <w:rPr>
          <w:rFonts w:ascii="Cambria" w:hAnsi="Cambria" w:cs="Courier New"/>
          <w:i/>
        </w:rPr>
        <w:t>vulgare</w:t>
      </w:r>
      <w:proofErr w:type="spellEnd"/>
      <w:r w:rsidRPr="00531789">
        <w:rPr>
          <w:rFonts w:ascii="Cambria" w:hAnsi="Cambria" w:cs="Courier New"/>
        </w:rPr>
        <w:t xml:space="preserve"> cv. NFC Tipple) with a slow-growing wild perennial relative (</w:t>
      </w:r>
      <w:proofErr w:type="spellStart"/>
      <w:r w:rsidRPr="00531789">
        <w:rPr>
          <w:rFonts w:ascii="Cambria" w:hAnsi="Cambria" w:cs="Courier New"/>
          <w:i/>
        </w:rPr>
        <w:t>Hordeum</w:t>
      </w:r>
      <w:proofErr w:type="spellEnd"/>
      <w:r w:rsidRPr="00531789">
        <w:rPr>
          <w:rFonts w:ascii="Cambria" w:hAnsi="Cambria" w:cs="Courier New"/>
          <w:i/>
        </w:rPr>
        <w:t xml:space="preserve"> </w:t>
      </w:r>
      <w:proofErr w:type="spellStart"/>
      <w:r w:rsidRPr="00531789">
        <w:rPr>
          <w:rFonts w:ascii="Cambria" w:hAnsi="Cambria" w:cs="Courier New"/>
          <w:i/>
        </w:rPr>
        <w:t>bulbosum</w:t>
      </w:r>
      <w:proofErr w:type="spellEnd"/>
      <w:r w:rsidRPr="00531789">
        <w:rPr>
          <w:rFonts w:ascii="Cambria" w:hAnsi="Cambria" w:cs="Courier New"/>
        </w:rPr>
        <w:t>). Source strength was manipulated by growing these plants at</w:t>
      </w:r>
      <w:r w:rsidRPr="00531789" w:rsidDel="00A31724">
        <w:rPr>
          <w:rFonts w:ascii="Cambria" w:hAnsi="Cambria" w:cs="Courier New"/>
        </w:rPr>
        <w:t xml:space="preserve"> </w:t>
      </w:r>
      <w:r w:rsidRPr="00531789">
        <w:rPr>
          <w:rFonts w:ascii="Cambria" w:hAnsi="Cambria" w:cs="Courier New"/>
        </w:rPr>
        <w:t>sub-ambient and elevated CO</w:t>
      </w:r>
      <w:r w:rsidRPr="00531789">
        <w:rPr>
          <w:rFonts w:ascii="Cambria" w:hAnsi="Cambria" w:cs="Courier New"/>
          <w:vertAlign w:val="subscript"/>
        </w:rPr>
        <w:t>2</w:t>
      </w:r>
      <w:r w:rsidRPr="00531789">
        <w:rPr>
          <w:rFonts w:ascii="Cambria" w:hAnsi="Cambria" w:cs="Courier New"/>
        </w:rPr>
        <w:t xml:space="preserve"> concentrations ([CO</w:t>
      </w:r>
      <w:r w:rsidRPr="00531789">
        <w:rPr>
          <w:rFonts w:ascii="Cambria" w:hAnsi="Cambria" w:cs="Courier New"/>
          <w:vertAlign w:val="subscript"/>
        </w:rPr>
        <w:t>2</w:t>
      </w:r>
      <w:r w:rsidRPr="00531789">
        <w:rPr>
          <w:rFonts w:ascii="Cambria" w:hAnsi="Cambria" w:cs="Courier New"/>
        </w:rPr>
        <w:t>]), diagnosing the limitations on vegetative growth imposed by source and sink by measuring relative growth rate (RGR), developmental plasticity, photosynthesis and major pools of carbon and nitrogen metabolites. We found that growth was sink limited in the annual but source limited in the perennial. RGR and carbon acquisition were higher in the annual, but photosynthesis responded weakly to elevated [CO</w:t>
      </w:r>
      <w:r w:rsidRPr="00531789">
        <w:rPr>
          <w:rFonts w:ascii="Cambria" w:hAnsi="Cambria" w:cs="Courier New"/>
          <w:vertAlign w:val="subscript"/>
        </w:rPr>
        <w:t>2</w:t>
      </w:r>
      <w:r w:rsidRPr="00531789">
        <w:rPr>
          <w:rFonts w:ascii="Cambria" w:hAnsi="Cambria" w:cs="Courier New"/>
        </w:rPr>
        <w:t>] indicating that source strength was near maximal at current [CO</w:t>
      </w:r>
      <w:r w:rsidRPr="00531789">
        <w:rPr>
          <w:rFonts w:ascii="Cambria" w:hAnsi="Cambria" w:cs="Courier New"/>
          <w:vertAlign w:val="subscript"/>
        </w:rPr>
        <w:t>2</w:t>
      </w:r>
      <w:r w:rsidRPr="00531789">
        <w:rPr>
          <w:rFonts w:ascii="Cambria" w:hAnsi="Cambria" w:cs="Courier New"/>
        </w:rPr>
        <w:t>].  In contrast, photosynthetic rate and sink development responded strongly to elevated [CO</w:t>
      </w:r>
      <w:r w:rsidRPr="00531789">
        <w:rPr>
          <w:rFonts w:ascii="Cambria" w:hAnsi="Cambria" w:cs="Courier New"/>
          <w:vertAlign w:val="subscript"/>
        </w:rPr>
        <w:t>2</w:t>
      </w:r>
      <w:r w:rsidRPr="00531789">
        <w:rPr>
          <w:rFonts w:ascii="Cambria" w:hAnsi="Cambria" w:cs="Courier New"/>
        </w:rPr>
        <w:t xml:space="preserve">] in the perennial, indicating significant source limitation. Sink limitation was avoided in the perennial by a high degree of sink plasticity, manifested as a marked increase in tillering and </w:t>
      </w:r>
      <w:proofErr w:type="spellStart"/>
      <w:r w:rsidRPr="00531789">
        <w:rPr>
          <w:rFonts w:ascii="Cambria" w:hAnsi="Cambria" w:cs="Courier New"/>
        </w:rPr>
        <w:t>root:shoot</w:t>
      </w:r>
      <w:proofErr w:type="spellEnd"/>
      <w:r w:rsidRPr="00531789">
        <w:rPr>
          <w:rFonts w:ascii="Cambria" w:hAnsi="Cambria" w:cs="Courier New"/>
        </w:rPr>
        <w:t xml:space="preserve"> ratio at elevated [CO</w:t>
      </w:r>
      <w:r w:rsidRPr="00531789">
        <w:rPr>
          <w:rFonts w:ascii="Cambria" w:hAnsi="Cambria" w:cs="Courier New"/>
          <w:vertAlign w:val="subscript"/>
        </w:rPr>
        <w:t>2</w:t>
      </w:r>
      <w:r w:rsidRPr="00531789">
        <w:rPr>
          <w:rFonts w:ascii="Cambria" w:hAnsi="Cambria" w:cs="Courier New"/>
        </w:rPr>
        <w:t xml:space="preserve">].  The annual lacked this plasticity and accumulated more non-structural carbohydrates. In contrast, free amino acid concentration was higher in the perennial supporting the hypothesis of carbon source limitation.  This work suggests that alleviating sink limitation during vegetative development </w:t>
      </w:r>
      <w:r>
        <w:rPr>
          <w:rFonts w:ascii="Cambria" w:hAnsi="Cambria" w:cs="Courier New"/>
        </w:rPr>
        <w:t>could be important for maximising</w:t>
      </w:r>
      <w:r w:rsidRPr="00531789">
        <w:rPr>
          <w:rFonts w:ascii="Cambria" w:hAnsi="Cambria" w:cs="Courier New"/>
        </w:rPr>
        <w:t xml:space="preserve"> the growth potential of elite cereal crops under future elevated [CO</w:t>
      </w:r>
      <w:r w:rsidRPr="00531789">
        <w:rPr>
          <w:rFonts w:ascii="Cambria" w:hAnsi="Cambria" w:cs="Courier New"/>
          <w:vertAlign w:val="subscript"/>
        </w:rPr>
        <w:t>2</w:t>
      </w:r>
      <w:r w:rsidRPr="00531789">
        <w:rPr>
          <w:rFonts w:ascii="Cambria" w:hAnsi="Cambria" w:cs="Courier New"/>
        </w:rPr>
        <w:t>].</w:t>
      </w:r>
      <w:r w:rsidRPr="00531789">
        <w:rPr>
          <w:rFonts w:ascii="Cambria" w:hAnsi="Cambria" w:cs="Courier New"/>
          <w:b/>
        </w:rPr>
        <w:br w:type="page"/>
      </w:r>
    </w:p>
    <w:p w14:paraId="40AD623E" w14:textId="77777777" w:rsidR="00DF4522" w:rsidRPr="00531789" w:rsidRDefault="00DF4522" w:rsidP="00DF4522">
      <w:pPr>
        <w:pStyle w:val="Heading2"/>
        <w:rPr>
          <w:rFonts w:ascii="Cambria" w:hAnsi="Cambria"/>
          <w:color w:val="auto"/>
        </w:rPr>
      </w:pPr>
      <w:bookmarkStart w:id="94" w:name="_Toc322267595"/>
      <w:bookmarkStart w:id="95" w:name="_Toc322267717"/>
      <w:bookmarkStart w:id="96" w:name="_Toc322267881"/>
      <w:bookmarkStart w:id="97" w:name="_Toc331253022"/>
      <w:r w:rsidRPr="00531789">
        <w:rPr>
          <w:rFonts w:ascii="Cambria" w:hAnsi="Cambria"/>
          <w:color w:val="auto"/>
        </w:rPr>
        <w:t>INTRODUCTION</w:t>
      </w:r>
      <w:bookmarkEnd w:id="94"/>
      <w:bookmarkEnd w:id="95"/>
      <w:bookmarkEnd w:id="96"/>
      <w:bookmarkEnd w:id="97"/>
    </w:p>
    <w:p w14:paraId="569EB4B2" w14:textId="77777777" w:rsidR="00DF4522" w:rsidRPr="00531789" w:rsidRDefault="00DF4522" w:rsidP="00DF4522">
      <w:pPr>
        <w:spacing w:line="360" w:lineRule="auto"/>
        <w:rPr>
          <w:rFonts w:ascii="Cambria" w:hAnsi="Cambria" w:cs="Courier New"/>
        </w:rPr>
      </w:pPr>
    </w:p>
    <w:p w14:paraId="2186F824" w14:textId="43DEC5FC" w:rsidR="00DF4522" w:rsidRPr="00531789" w:rsidRDefault="00DF4522" w:rsidP="00DF4522">
      <w:pPr>
        <w:spacing w:line="360" w:lineRule="auto"/>
        <w:jc w:val="both"/>
        <w:rPr>
          <w:rFonts w:ascii="Cambria" w:hAnsi="Cambria" w:cs="Courier New"/>
        </w:rPr>
      </w:pPr>
      <w:r w:rsidRPr="00531789">
        <w:rPr>
          <w:rFonts w:ascii="Cambria" w:hAnsi="Cambria" w:cs="Courier New"/>
        </w:rPr>
        <w:t xml:space="preserve">Global population growth, economic development and climate change are exerting increasing pressure on our global food supply, raising demand that must be met, in part, by improving crop yields </w:t>
      </w:r>
      <w:r w:rsidRPr="00531789">
        <w:rPr>
          <w:rFonts w:ascii="Cambria" w:hAnsi="Cambria" w:cs="Courier New"/>
        </w:rPr>
        <w:fldChar w:fldCharType="begin" w:fldLock="1"/>
      </w:r>
      <w:r w:rsidR="004345BC">
        <w:rPr>
          <w:rFonts w:ascii="Cambria" w:hAnsi="Cambria" w:cs="Courier New"/>
        </w:rPr>
        <w:instrText>ADDIN CSL_CITATION { "citationItems" : [ { "id" : "ITEM-1", "itemData" : { "ISBN" : "9789251085424", "author" : [ { "dropping-particle" : "", "family" : "FAO", "given" : "", "non-dropping-particle" : "", "parse-names" : false, "suffix" : "" }, { "dropping-particle" : "", "family" : "IFAD", "given" : "", "non-dropping-particle" : "", "parse-names" : false, "suffix" : "" }, { "dropping-particle" : "", "family" : "WFP.", "given" : "", "non-dropping-particle" : "", "parse-names" : false, "suffix" : "" } ], "id" : "ITEM-1", "issued" : { "date-parts" : [ [ "2014" ] ] }, "publisher-place" : "Rome, FAO.", "title" : "The State of Food Insecurity in the World. Strengthening the enabling environment for food security and nutrition.", "type" : "report" }, "uris" : [ "http://www.mendeley.com/documents/?uuid=9aa14123-98ed-4352-b7d5-911e71b17c54" ] }, { "id" : "ITEM-2", "itemData" : { "DOI" : "10.1126/science.1220177", "ISSN" : "1095-9203", "PMID" : "22745421", "abstract" : "Another \"green revolution\" is needed for crop yields to meet demands for food. The international C(4) Rice Consortium is working toward introducing a higher-capacity photosynthetic mechanism--the C(4) pathway--into rice to increase yield. The goal is to identify the genes necessary to install C(4) photosynthesis in rice through different approaches, including genomic and transcriptional sequence comparisons and mutant screening.", "author" : [ { "dropping-particle" : "", "family" : "Caemmerer", "given" : "Susanne", "non-dropping-particle" : "von", "parse-names" : false, "suffix" : "" }, { "dropping-particle" : "", "family" : "Quick", "given" : "W Paul", "non-dropping-particle" : "", "parse-names" : false, "suffix" : "" }, { "dropping-particle" : "", "family" : "Furbank", "given" : "Robert T", "non-dropping-particle" : "", "parse-names" : false, "suffix" : "" } ], "container-title" : "Science", "id" : "ITEM-2", "issue" : "6089", "issued" : { "date-parts" : [ [ "2012", "6", "29" ] ] }, "page" : "1671-2", "title" : "The development of C4 rice: current progress and future challenges.", "type" : "article-journal", "volume" : "336" }, "uris" : [ "http://www.mendeley.com/documents/?uuid=731fc3cf-d38b-4c78-abf9-503120c7324d" ] }, { "id" : "ITEM-3", "itemData" : { "DOI" : "10.1073/pnas.1424031112", "ISSN" : "0027-8424", "author" : [ { "dropping-particle" : "", "family" : "Ort", "given" : "Donald R.", "non-dropping-particle" : "", "parse-names" : false, "suffix" : "" }, { "dropping-particle" : "", "family" : "Merchant", "given" : "Sabeeha S.", "non-dropping-particle" : "", "parse-names" : false, "suffix" : "" }, { "dropping-particle" : "", "family" : "Alric", "given" : "Jean", "non-dropping-particle" : "", "parse-names" : false, "suffix" : "" }, { "dropping-particle" : "", "family" : "Barkan", "given" : "Alice", "non-dropping-particle" : "", "parse-names" : false, "suffix" : "" }, { "dropping-particle" : "", "family" : "Blankenship", "given" : "Robert E.", "non-dropping-particle" : "", "parse-names" : false, "suffix" : "" }, { "dropping-particle" : "", "family" : "Bock", "given" : "Ralph", "non-dropping-particle" : "", "parse-names" : false, "suffix" : "" }, { "dropping-particle" : "", "family" : "Croce", "given" : "Roberta", "non-dropping-particle" : "", "parse-names" : false, "suffix" : "" }, { "dropping-particle" : "", "family" : "Hanson", "given" : "Maureen R.", "non-dropping-particle" : "", "parse-names" : false, "suffix" : "" }, { "dropping-particle" : "", "family" : "Hibberd", "given" : "Julian M.", "non-dropping-particle" : "", "parse-names" : false, "suffix" : "" }, { "dropping-particle" : "", "family" : "Long", "given" : "Stephen P.", "non-dropping-particle" : "", "parse-names" : false, "suffix" : "" }, { "dropping-particle" : "", "family" : "Moore", "given" : "Thomas A.", "non-dropping-particle" : "", "parse-names" : false, "suffix" : "" }, { "dropping-particle" : "", "family" : "Moroney", "given" : "James", "non-dropping-particle" : "", "parse-names" : false, "suffix" : "" }, { "dropping-particle" : "", "family" : "Niyogi", "given" : "Krishna K.", "non-dropping-particle" : "", "parse-names" : false, "suffix" : "" }, { "dropping-particle" : "", "family" : "Parry", "given" : "Martin A. J.", "non-dropping-particle" : "", "parse-names" : false, "suffix" : "" }, { "dropping-particle" : "", "family" : "Peralta-Yahya", "given" : "Pamela P.", "non-dropping-particle" : "", "parse-names" : false, "suffix" : "" }, { "dropping-particle" : "", "family" : "Prince", "given" : "Roger C.", "non-dropping-particle" : "", "parse-names" : false, "suffix" : "" }, { "dropping-particle" : "", "family" : "Redding", "given" : "Kevin E.", "non-dropping-particle" : "", "parse-names" : false, "suffix" : "" }, { "dropping-particle" : "", "family" : "Spalding", "given" : "Martin H.", "non-dropping-particle" : "", "parse-names" : false, "suffix" : "" }, { "dropping-particle" : "", "family" : "Wijk", "given" : "Klaas J.", "non-dropping-particle" : "van", "parse-names" : false, "suffix" : "" }, { "dropping-particle" : "", "family" : "Vermaas", "given" : "Wim F. J.", "non-dropping-particle" : "", "parse-names" : false, "suffix" : "" }, { "dropping-particle" : "", "family" : "Caemmerer", "given" : "Susanne", "non-dropping-particle" : "von", "parse-names" : false, "suffix" : "" }, { "dropping-particle" : "", "family" : "Weber", "given" : "Andreas P. M.", "non-dropping-particle" : "", "parse-names" : false, "suffix" : "" }, { "dropping-particle" : "", "family" : "Yeates", "given" : "Todd O.", "non-dropping-particle" : "", "parse-names" : false, "suffix" : "" }, { "dropping-particle" : "", "family" : "Yuan", "given" : "Joshua S.", "non-dropping-particle" : "", "parse-names" : false, "suffix" : "" }, { "dropping-particle" : "", "family" : "Zhu", "given" : "Xin Guang", "non-dropping-particle" : "", "parse-names" : false, "suffix" : "" } ], "container-title" : "Proceedings of the National Academy of Sciences", "id" : "ITEM-3", "issue" : "28", "issued" : { "date-parts" : [ [ "2015" ] ] }, "page" : "8529-8536", "title" : "Redesigning photosynthesis to sustainably meet global food and bioenergy demand", "type" : "article-journal", "volume" : "112" }, "uris" : [ "http://www.mendeley.com/documents/?uuid=0bc4e791-4287-41e7-a651-3b3b894d2151" ] }, { "id" : "ITEM-4", "itemData" : { "DOI" : "10.1104/pp.108.117101", "ISSN" : "0032-0889", "PMID" : "18443102", "author" : [ { "dropping-particle" : "", "family" : "Ainsworth", "given" : "Elizabeth A", "non-dropping-particle" : "", "parse-names" : false, "suffix" : "" }, { "dropping-particle" : "", "family" : "Rogers", "given" : "Alistair", "non-dropping-particle" : "", "parse-names" : false, "suffix" : "" }, { "dropping-particle" : "", "family" : "Leakey", "given" : "Andrew D B", "non-dropping-particle" : "", "parse-names" : false, "suffix" : "" } ], "container-title" : "Plant Physiology", "id" : "ITEM-4", "issue" : "1", "issued" : { "date-parts" : [ [ "2008", "5" ] ] }, "page" : "13-9", "title" : "Targets for crop biotechnology in a future high-CO2 and high-O3 world.", "type" : "article-journal", "volume" : "147" }, "uris" : [ "http://www.mendeley.com/documents/?uuid=3cab6b90-1ae9-41ab-ae0f-afad0b75988e" ] }, { "id" : "ITEM-5", "itemData" : { "DOI" : "10.1111/j.1365-3040.2012.02588.x", "ISSN" : "1365-3040", "PMID" : "22860982", "abstract" : "Wheat provides 20% of calories and protein consumed by humans. Recent genetic gains are &lt;1% per annum (p.a.), insufficient to meet future demand. The Wheat Yield Consortium brings expertise in photosynthesis, crop adaptation and genetics to a common breeding platform. Theory suggest radiation use efficiency (RUE) of wheat could be increased \u223c50%; strategies include modifying specificity, catalytic rate and regulation of Rubisco, up-regulating Calvin cycle enzymes, introducing chloroplast CO(2) concentrating mechanisms, optimizing light and N distribution of canopies while minimizing photoinhibition, and increasing spike photosynthesis. Maximum yield expression will also require dynamic optimization of source: sink so that dry matter partitioning to reproductive structures is not at the cost of the roots, stems and leaves needed to maintain physiological and structural integrity. Crop development should favour spike fertility to maximize harvest index so phenology must be tailored to different photoperiods, and sensitivity to unpredictable weather must be modulated to reduce conservative responses that reduce harvest index. Strategic crossing of complementary physiological traits will be augmented with wide crossing, while genome-wide selection and high throughput phenotyping and genotyping will increase efficiency of progeny screening. To ensure investment in breeding achieves agronomic impact, sustainable crop management must also be promoted through crop improvement networks.", "author" : [ { "dropping-particle" : "", "family" : "Reynolds", "given" : "Matthew", "non-dropping-particle" : "", "parse-names" : false, "suffix" : "" }, { "dropping-particle" : "", "family" : "Foulkes", "given" : "John", "non-dropping-particle" : "", "parse-names" : false, "suffix" : "" }, { "dropping-particle" : "", "family" : "Furbank", "given" : "Robert", "non-dropping-particle" : "", "parse-names" : false, "suffix" : "" }, { "dropping-particle" : "", "family" : "Griffiths", "given" : "Simon", "non-dropping-particle" : "", "parse-names" : false, "suffix" : "" }, { "dropping-particle" : "", "family" : "King", "given" : "Julie", "non-dropping-particle" : "", "parse-names" : false, "suffix" : "" }, { "dropping-particle" : "", "family" : "Murchie", "given" : "Erik", "non-dropping-particle" : "", "parse-names" : false, "suffix" : "" }, { "dropping-particle" : "", "family" : "Parry", "given" : "Martin", "non-dropping-particle" : "", "parse-names" : false, "suffix" : "" }, { "dropping-particle" : "", "family" : "Slafer", "given" : "Gustavo", "non-dropping-particle" : "", "parse-names" : false, "suffix" : "" } ], "container-title" : "Plant, Cell &amp; Environment", "id" : "ITEM-5", "issue" : "10", "issued" : { "date-parts" : [ [ "2012", "10" ] ] }, "page" : "1799-1823", "title" : "Achieving yield gains in wheat.", "type" : "article-journal", "volume" : "35" }, "uris" : [ "http://www.mendeley.com/documents/?uuid=6c6afd16-ef8e-4b75-a4e7-35772b7ff51f" ] }, { "id" : "ITEM-6", "itemData" : { "DOI" : "10.4337/9780857939388", "ISBN" : "9780857939388", "author" : [ { "dropping-particle" : "", "family" : "Godfray", "given" : "HCJ", "non-dropping-particle" : "", "parse-names" : false, "suffix" : "" }, { "dropping-particle" : "", "family" : "Beddington", "given" : "JR", "non-dropping-particle" : "", "parse-names" : false, "suffix" : "" }, { "dropping-particle" : "", "family" : "Crute", "given" : "IR", "non-dropping-particle" : "", "parse-names" : false, "suffix" : "" }, { "dropping-particle" : "", "family" : "Haddad", "given" : "L", "non-dropping-particle" : "", "parse-names" : false, "suffix" : "" }, { "dropping-particle" : "", "family" : "Lawrence", "given" : "D", "non-dropping-particle" : "", "parse-names" : false, "suffix" : "" }, { "dropping-particle" : "", "family" : "Muir", "given" : "JF", "non-dropping-particle" : "", "parse-names" : false, "suffix" : "" }, { "dropping-particle" : "", "family" : "Pretty", "given" : "J", "non-dropping-particle" : "", "parse-names" : false, "suffix" : "" }, { "dropping-particle" : "", "family" : "Robinson", "given" : "S", "non-dropping-particle" : "", "parse-names" : false, "suffix" : "" }, { "dropping-particle" : "", "family" : "Thomas", "given" : "SM", "non-dropping-particle" : "", "parse-names" : false, "suffix" : "" }, { "dropping-particle" : "", "family" : "Toulmin", "given" : "C", "non-dropping-particle" : "", "parse-names" : false, "suffix" : "" } ], "container-title" : "Science", "id" : "ITEM-6", "issued" : { "date-parts" : [ [ "2010" ] ] }, "page" : "812-818", "title" : "The Challenge of Food Security", "type" : "article-journal", "volume" : "327" }, "uris" : [ "http://www.mendeley.com/documents/?uuid=8c1064aa-2a93-48c0-8f76-cd86d5e1c3b4" ] }, { "id" : "ITEM-7", "itemData" : { "DOI" : "10.1038/nature10452", "ISBN" : "0028-0836", "ISSN" : "0028-0836", "PMID" : "21993620", "abstract" : "Increasing population and consumption are placing unprecedented demands on agriculture and natural resources. Today, approximately a billion people are chronically malnourished while our agricultural systems are concurrently degrading land, water, biodiversity and climate on a global scale. To meet the world's future food security and sustainability needs, food production must grow substantially while, at the same time, agriculture's environmental footprint must shrink dramatically. Here we analyse solutions to this dilemma, showing that tremendous progress could be made by halting agricultural expansion, closing 'yield gaps' on underperforming lands, increasing cropping efficiency, shifting diets and reducing waste. Together, these strategies could double food production while greatly reducing the environmental impacts of agriculture.", "author" : [ { "dropping-particle" : "", "family" : "Foley", "given" : "Jonathan A.", "non-dropping-particle" : "", "parse-names" : false, "suffix" : "" }, { "dropping-particle" : "", "family" : "Ramankutty", "given" : "Navin", "non-dropping-particle" : "", "parse-names" : false, "suffix" : "" }, { "dropping-particle" : "", "family" : "Brauman", "given" : "Kate A.", "non-dropping-particle" : "", "parse-names" : false, "suffix" : "" }, { "dropping-particle" : "", "family" : "Cassidy", "given" : "Emily S.", "non-dropping-particle" : "", "parse-names" : false, "suffix" : "" }, { "dropping-particle" : "", "family" : "Gerber", "given" : "James S.", "non-dropping-particle" : "", "parse-names" : false, "suffix" : "" }, { "dropping-particle" : "", "family" : "Johnston", "given" : "Matt", "non-dropping-particle" : "", "parse-names" : false, "suffix" : "" }, { "dropping-particle" : "", "family" : "Mueller", "given" : "Nathaniel D.", "non-dropping-particle" : "", "parse-names" : false, "suffix" : "" }, { "dropping-particle" : "", "family" : "O\u2019Connell", "given" : "Christine", "non-dropping-particle" : "", "parse-names" : false, "suffix" : "" }, { "dropping-particle" : "", "family" : "Ray", "given" : "Deepak K.", "non-dropping-particle" : "", "parse-names" : false, "suffix" : "" }, { "dropping-particle" : "", "family" : "West", "given" : "Paul C.", "non-dropping-particle" : "", "parse-names" : false, "suffix" : "" }, { "dropping-particle" : "", "family" : "Balzer", "given" : "Christian", "non-dropping-particle" : "", "parse-names" : false, "suffix" : "" }, { "dropping-particle" : "", "family" : "Bennett", "given" : "Elena M.", "non-dropping-particle" : "", "parse-names" : false, "suffix" : "" }, { "dropping-particle" : "", "family" : "Carpenter", "given" : "Stephen R.", "non-dropping-particle" : "", "parse-names" : false, "suffix" : "" }, { "dropping-particle" : "", "family" : "Hill", "given" : "Jason", "non-dropping-particle" : "", "parse-names" : false, "suffix" : "" }, { "dropping-particle" : "", "family" : "Monfreda", "given" : "Chad", "non-dropping-particle" : "", "parse-names" : false, "suffix" : "" }, { "dropping-particle" : "", "family" : "Polasky", "given" : "Stephen", "non-dropping-particle" : "", "parse-names" : false, "suffix" : "" }, { "dropping-particle" : "", "family" : "Rockstr\u00f6m", "given" : "Johan", "non-dropping-particle" : "", "parse-names" : false, "suffix" : "" }, { "dropping-particle" : "", "family" : "Sheehan", "given" : "John", "non-dropping-particle" : "", "parse-names" : false, "suffix" : "" }, { "dropping-particle" : "", "family" : "Siebert", "given" : "Stefan", "non-dropping-particle" : "", "parse-names" : false, "suffix" : "" }, { "dropping-particle" : "", "family" : "Tilman", "given" : "David", "non-dropping-particle" : "", "parse-names" : false, "suffix" : "" }, { "dropping-particle" : "", "family" : "Zaks", "given" : "David P. M.", "non-dropping-particle" : "", "parse-names" : false, "suffix" : "" } ], "container-title" : "Nature", "id" : "ITEM-7", "issue" : "7369", "issued" : { "date-parts" : [ [ "2011" ] ] }, "page" : "337-342", "title" : "Solutions for a cultivated planet", "type" : "article-journal", "volume" : "478" }, "uris" : [ "http://www.mendeley.com/documents/?uuid=5ccf6739-fe71-4cc6-b5ac-683158e37744" ] } ], "mendeley" : { "formattedCitation" : "(Ainsworth &lt;i&gt;et al.&lt;/i&gt;, 2008&lt;i&gt;b&lt;/i&gt;; Godfray &lt;i&gt;et al.&lt;/i&gt;, 2010; Foley &lt;i&gt;et al.&lt;/i&gt;, 2011; von Caemmerer &lt;i&gt;et al.&lt;/i&gt;, 2012; Reynolds &lt;i&gt;et al.&lt;/i&gt;, 2012; FAO &lt;i&gt;et al.&lt;/i&gt;, 2014; Ort &lt;i&gt;et al.&lt;/i&gt;, 2015)", "plainTextFormattedCitation" : "(Ainsworth et al., 2008b; Godfray et al., 2010; Foley et al., 2011; von Caemmerer et al., 2012; Reynolds et al., 2012; FAO et al., 2014; Ort et al., 2015)", "previouslyFormattedCitation" : "(Ainsworth &lt;i&gt;et al.&lt;/i&gt;, 2008&lt;i&gt;b&lt;/i&gt;; Godfray &lt;i&gt;et al.&lt;/i&gt;, 2010; Foley &lt;i&gt;et al.&lt;/i&gt;, 2011; von Caemmerer &lt;i&gt;et al.&lt;/i&gt;, 2012; Reynolds &lt;i&gt;et al.&lt;/i&gt;, 2012; FAO &lt;i&gt;et al.&lt;/i&gt;, 2014; Ort &lt;i&gt;et al.&lt;/i&gt;, 2015)" }, "properties" : { "noteIndex" : 0 }, "schema" : "https://github.com/citation-style-language/schema/raw/master/csl-citation.json" }</w:instrText>
      </w:r>
      <w:r w:rsidRPr="00531789">
        <w:rPr>
          <w:rFonts w:ascii="Cambria" w:hAnsi="Cambria" w:cs="Courier New"/>
        </w:rPr>
        <w:fldChar w:fldCharType="separate"/>
      </w:r>
      <w:r w:rsidR="004345BC" w:rsidRPr="004345BC">
        <w:rPr>
          <w:rFonts w:ascii="Cambria" w:hAnsi="Cambria" w:cs="Courier New"/>
          <w:noProof/>
        </w:rPr>
        <w:t xml:space="preserve">(Ainsworth </w:t>
      </w:r>
      <w:r w:rsidR="004345BC" w:rsidRPr="004345BC">
        <w:rPr>
          <w:rFonts w:ascii="Cambria" w:hAnsi="Cambria" w:cs="Courier New"/>
          <w:i/>
          <w:noProof/>
        </w:rPr>
        <w:t>et al.</w:t>
      </w:r>
      <w:r w:rsidR="004345BC" w:rsidRPr="004345BC">
        <w:rPr>
          <w:rFonts w:ascii="Cambria" w:hAnsi="Cambria" w:cs="Courier New"/>
          <w:noProof/>
        </w:rPr>
        <w:t>, 2008</w:t>
      </w:r>
      <w:r w:rsidR="004345BC" w:rsidRPr="004345BC">
        <w:rPr>
          <w:rFonts w:ascii="Cambria" w:hAnsi="Cambria" w:cs="Courier New"/>
          <w:i/>
          <w:noProof/>
        </w:rPr>
        <w:t>b</w:t>
      </w:r>
      <w:r w:rsidR="004345BC" w:rsidRPr="004345BC">
        <w:rPr>
          <w:rFonts w:ascii="Cambria" w:hAnsi="Cambria" w:cs="Courier New"/>
          <w:noProof/>
        </w:rPr>
        <w:t xml:space="preserve">; Godfray </w:t>
      </w:r>
      <w:r w:rsidR="004345BC" w:rsidRPr="004345BC">
        <w:rPr>
          <w:rFonts w:ascii="Cambria" w:hAnsi="Cambria" w:cs="Courier New"/>
          <w:i/>
          <w:noProof/>
        </w:rPr>
        <w:t>et al.</w:t>
      </w:r>
      <w:r w:rsidR="004345BC" w:rsidRPr="004345BC">
        <w:rPr>
          <w:rFonts w:ascii="Cambria" w:hAnsi="Cambria" w:cs="Courier New"/>
          <w:noProof/>
        </w:rPr>
        <w:t xml:space="preserve">, 2010; Foley </w:t>
      </w:r>
      <w:r w:rsidR="004345BC" w:rsidRPr="004345BC">
        <w:rPr>
          <w:rFonts w:ascii="Cambria" w:hAnsi="Cambria" w:cs="Courier New"/>
          <w:i/>
          <w:noProof/>
        </w:rPr>
        <w:t>et al.</w:t>
      </w:r>
      <w:r w:rsidR="004345BC" w:rsidRPr="004345BC">
        <w:rPr>
          <w:rFonts w:ascii="Cambria" w:hAnsi="Cambria" w:cs="Courier New"/>
          <w:noProof/>
        </w:rPr>
        <w:t xml:space="preserve">, 2011; von Caemmerer </w:t>
      </w:r>
      <w:r w:rsidR="004345BC" w:rsidRPr="004345BC">
        <w:rPr>
          <w:rFonts w:ascii="Cambria" w:hAnsi="Cambria" w:cs="Courier New"/>
          <w:i/>
          <w:noProof/>
        </w:rPr>
        <w:t>et al.</w:t>
      </w:r>
      <w:r w:rsidR="004345BC" w:rsidRPr="004345BC">
        <w:rPr>
          <w:rFonts w:ascii="Cambria" w:hAnsi="Cambria" w:cs="Courier New"/>
          <w:noProof/>
        </w:rPr>
        <w:t xml:space="preserve">, 2012; Reynolds </w:t>
      </w:r>
      <w:r w:rsidR="004345BC" w:rsidRPr="004345BC">
        <w:rPr>
          <w:rFonts w:ascii="Cambria" w:hAnsi="Cambria" w:cs="Courier New"/>
          <w:i/>
          <w:noProof/>
        </w:rPr>
        <w:t>et al.</w:t>
      </w:r>
      <w:r w:rsidR="004345BC" w:rsidRPr="004345BC">
        <w:rPr>
          <w:rFonts w:ascii="Cambria" w:hAnsi="Cambria" w:cs="Courier New"/>
          <w:noProof/>
        </w:rPr>
        <w:t xml:space="preserve">, 2012; FAO </w:t>
      </w:r>
      <w:r w:rsidR="004345BC" w:rsidRPr="004345BC">
        <w:rPr>
          <w:rFonts w:ascii="Cambria" w:hAnsi="Cambria" w:cs="Courier New"/>
          <w:i/>
          <w:noProof/>
        </w:rPr>
        <w:t>et al.</w:t>
      </w:r>
      <w:r w:rsidR="004345BC" w:rsidRPr="004345BC">
        <w:rPr>
          <w:rFonts w:ascii="Cambria" w:hAnsi="Cambria" w:cs="Courier New"/>
          <w:noProof/>
        </w:rPr>
        <w:t xml:space="preserve">, 2014; Ort </w:t>
      </w:r>
      <w:r w:rsidR="004345BC" w:rsidRPr="004345BC">
        <w:rPr>
          <w:rFonts w:ascii="Cambria" w:hAnsi="Cambria" w:cs="Courier New"/>
          <w:i/>
          <w:noProof/>
        </w:rPr>
        <w:t>et al.</w:t>
      </w:r>
      <w:r w:rsidR="004345BC" w:rsidRPr="004345BC">
        <w:rPr>
          <w:rFonts w:ascii="Cambria" w:hAnsi="Cambria" w:cs="Courier New"/>
          <w:noProof/>
        </w:rPr>
        <w:t>, 2015)</w:t>
      </w:r>
      <w:r w:rsidRPr="00531789">
        <w:rPr>
          <w:rFonts w:ascii="Cambria" w:hAnsi="Cambria" w:cs="Courier New"/>
        </w:rPr>
        <w:fldChar w:fldCharType="end"/>
      </w:r>
      <w:r w:rsidRPr="00531789">
        <w:rPr>
          <w:rFonts w:ascii="Cambria" w:hAnsi="Cambria" w:cs="Courier New"/>
        </w:rPr>
        <w:t xml:space="preserve">. Increasing yield depends critically on a firm understanding of plant growth, which is in turn underpinned by the interactions between carbon and nitrogen sources and sinks </w:t>
      </w:r>
      <w:r w:rsidRPr="00531789">
        <w:rPr>
          <w:rFonts w:ascii="Cambria" w:hAnsi="Cambria" w:cs="Courier New"/>
        </w:rPr>
        <w:fldChar w:fldCharType="begin" w:fldLock="1"/>
      </w:r>
      <w:r w:rsidR="009133B6">
        <w:rPr>
          <w:rFonts w:ascii="Cambria" w:hAnsi="Cambria" w:cs="Courier New"/>
        </w:rPr>
        <w:instrText>ADDIN CSL_CITATION { "citationItems" : [ { "id" : "ITEM-1", "itemData" : { "DOI" : "10.1093/jxb/erv447", "ISSN" : "0022-0957", "author" : [ { "dropping-particle" : "", "family" : "White",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"Journal of Experimental Botany", "id" : "ITEM-1", "issue" : "1", "issued" : { "date-parts" : [ [ "2016" ] ] }, "page" : "31-45", "title" : "How can we make plants grow faster? A source\u2013sink perspective on growth rate", "type" : "article-journal", "volume" : "67" }, "uris" : [ "http://www.mendeley.com/documents/?uuid=071fcd57-e076-410e-903a-444abfb30785" ] } ], "mendeley" : { "formattedCitation" : "(White &lt;i&gt;et al.&lt;/i&gt;, 2016)", "manualFormatting" : "(White et al., 2016)", "plainTextFormattedCitation" : "(White et al., 2016)", "previouslyFormattedCitation" : "(White &lt;i&gt;et al.&lt;/i&gt;, 2016)" }, "properties" : { "noteIndex" : 0 }, "schema" : "https://github.com/citation-style-language/schema/raw/master/csl-citation.json" }</w:instrText>
      </w:r>
      <w:r w:rsidRPr="00531789">
        <w:rPr>
          <w:rFonts w:ascii="Cambria" w:hAnsi="Cambria" w:cs="Courier New"/>
        </w:rPr>
        <w:fldChar w:fldCharType="separate"/>
      </w:r>
      <w:r w:rsidRPr="00796CB6">
        <w:rPr>
          <w:rFonts w:ascii="Cambria" w:hAnsi="Cambria" w:cs="Courier New"/>
          <w:noProof/>
        </w:rPr>
        <w:t xml:space="preserve">(White </w:t>
      </w:r>
      <w:r w:rsidRPr="00796CB6">
        <w:rPr>
          <w:rFonts w:ascii="Cambria" w:hAnsi="Cambria" w:cs="Courier New"/>
          <w:i/>
          <w:noProof/>
        </w:rPr>
        <w:t>et al.</w:t>
      </w:r>
      <w:r w:rsidRPr="00796CB6">
        <w:rPr>
          <w:rFonts w:ascii="Cambria" w:hAnsi="Cambria" w:cs="Courier New"/>
          <w:noProof/>
        </w:rPr>
        <w:t xml:space="preserve">, </w:t>
      </w:r>
      <w:r w:rsidR="000055CC">
        <w:rPr>
          <w:rFonts w:ascii="Cambria" w:hAnsi="Cambria" w:cs="Courier New"/>
          <w:noProof/>
        </w:rPr>
        <w:t>2016</w:t>
      </w:r>
      <w:r w:rsidRPr="00796CB6">
        <w:rPr>
          <w:rFonts w:ascii="Cambria" w:hAnsi="Cambria" w:cs="Courier New"/>
          <w:noProof/>
        </w:rPr>
        <w:t>)</w:t>
      </w:r>
      <w:r w:rsidRPr="00531789">
        <w:rPr>
          <w:rFonts w:ascii="Cambria" w:hAnsi="Cambria" w:cs="Courier New"/>
        </w:rPr>
        <w:fldChar w:fldCharType="end"/>
      </w:r>
      <w:r w:rsidRPr="00531789">
        <w:rPr>
          <w:rFonts w:ascii="Cambria" w:hAnsi="Cambria" w:cs="Courier New"/>
        </w:rPr>
        <w:t xml:space="preserve">. Sources provide net uptake of resources from the external environment whilst sinks cause a net internal drawdown of these resources. For carbon, mature leaves are sources and roots are sinks, and the balance between them is achieved by well-characterised molecular crosstalk mechanisms </w:t>
      </w:r>
      <w:r w:rsidRPr="00531789">
        <w:rPr>
          <w:rFonts w:ascii="Cambria" w:hAnsi="Cambria" w:cs="Courier New"/>
        </w:rPr>
        <w:fldChar w:fldCharType="begin" w:fldLock="1"/>
      </w:r>
      <w:r w:rsidR="009133B6">
        <w:rPr>
          <w:rFonts w:ascii="Cambria" w:hAnsi="Cambria" w:cs="Courier New"/>
        </w:rPr>
        <w:instrText>ADDIN CSL_CITATION { "citationItems" : [ { "id" : "ITEM-1", "itemData" : { "DOI" : "10.1111/j.1365-3040.2007.01708.x", "ISSN" : "0140-7791", "PMID" : "17661751", "abstract" : "Plants must achieve a balance between carbon assimilation, storage and growth, but little is known about how this is achieved. We describe evidence for the existence of regulatory mechanisms that coordinate carbon supply and use, and the likely central role of sugar signalling. We propose the existence of both 'acute' and 'acclimatory' responses to alterations in carbon supply, the latter tuning the balance between carbon supply and demand to optimise the capacity for sustained growth. A full understanding of these responses requires new, systems-level approaches that integrate information from transcriptomic, enzyme activity, metabolomic and growth analyses. We illustrate the complexity of acute and acclimatory responses by consideration of the control of starch synthesis and degradation in leaves. Finally, we consider how carbon balance may be linked to growth, and the importance of these linkages for sustained plant growth in a changing environment.", "author" : [ { "dropping-particle" : "", "family" : "Smith", "given" : "Alison M", "non-dropping-particle" : "", "parse-names" : false, "suffix" : "" }, { "dropping-particle" : "", "family" : "Stitt", "given" : "Mark", "non-dropping-particle" : "", "parse-names" : false, "suffix" : "" } ], "container-title" : "Plant, Cell &amp; Environment", "id" : "ITEM-1", "issue" : "9", "issued" : { "date-parts" : [ [ "2007", "9" ] ] }, "page" : "1126-49", "title" : "Coordination of carbon supply and plant growth.", "type" : "article-journal", "volume" : "30" }, "uris" : [ "http://www.mendeley.com/documents/?uuid=5675458c-c801-4db7-8395-76bd083741f4" ] }, { "id" : "ITEM-2", "itemData" : { "DOI" : "10.3389/fpls.2014.00418", "ISSN" : "1664-462X", "PMID" : "25202319", "abstract" : "Considerable interest has been evoked by the analysis of the regulatory pathway in carbohydrate metabolism and cell growth involving the non-reducing disaccharide trehalose (TRE). TRE is at small concentrations in mesophytes such as Arabidopsis thaliana and Triticum aestivum, excluding a role in osmoregulation once suggested for it. Studies of TRE metabolism, and genetic modification of it, have shown a very wide and more important role of the pathway in regulation of many processes in development, growth, and photosynthesis. It has now been established that rather than TRE, it is trehalose 6-phosphate (T6P) which has such profound effects. T6P is the intermediary in TRE synthesis formed from glucose-6-phosphate and UDP-glucose, derived from sucrose, by the action of trehalose phosphate synthase. The concentration of T6P is determined both by the rate of synthesis, which depends on the sucrose concentration, and also by the rate of breakdown by trehalose-6-phosphate phosphatase which produces TRE. Changing T6P concentrations by genetically modifying the enzymes of synthesis and breakdown has altered photosynthesis, sugar metabolism, growth, and development which affect responses to, and recovery from, environmental factors. Many of the effects of T6P on metabolism and growth occur via the interaction of T6P with the SnRK1 protein kinase system. T6P inhibits the activity of SnRK1, which de-represses genes encoding proteins involved in anabolism. Consequently, a large concentration of sucrose increases T6P and thereby inhibits SnRK1, so stimulating growth of cells and their metabolic activity. The T6P/SnRK1 mechanism offers an important new view of how the distribution of assimilates to organs, such as developing grains in cereal plants, is achieved. This review briefly summarizes the factors determining, and limiting, yield of wheat (particularly mass/grain which is highly conserved) and considers how T6P/SnRK1 might function to determine grain yield and might be altered to increase them. Increasing the potential rate of filling and mass/grain are ways in which total crop yield could be increased with good husbandry which maintains crop assimilation Cereal yields globally are not increasing, despite the greater production required to meet human demand. Careful targeting of T6P is showing much promise for optimization of source/sink for yield improvement and offers yet further possibilities for increasing sink demand and grain size in wheat.", "author" : [ { "dropping-particle" : "", "family" : "Lawlor", "given" : "David W", "non-dropping-particle" : "", "parse-names" : false, "suffix" : "" }, { "dropping-particle" : "", "family" : "Paul", "given" : "Matthew J", "non-dropping-particle" : "", "parse-names" : false, "suffix" : "" } ], "container-title" : "Frontiers in Plant Science", "id" : "ITEM-2", "issue" : "August", "issued" : { "date-parts" : [ [ "2014", "1" ] ] }, "page" : "418", "title" : "Source/sink interactions underpin crop yield: the case for trehalose 6-phosphate/SnRK1 in improvement of wheat.", "type" : "article-journal", "volume" : "5" }, "uris" : [ "http://www.mendeley.com/documents/?uuid=c97af0ea-42dd-4e07-870d-deb434033f1a" ] }, { "id" : "ITEM-3", "itemData" : { "DOI" : "10.1093/jxb/erv447", "ISSN" : "0022-0957", "author" : [ { "dropping-particle" : "", "family" : "White",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"Journal of Experimental Botany", "id" : "ITEM-3", "issue" : "1", "issued" : { "date-parts" : [ [ "2016" ] ] }, "page" : "31-45", "title" : "How can we make plants grow faster? A source\u2013sink perspective on growth rate", "type" : "article-journal", "volume" : "67" }, "uris" : [ "http://www.mendeley.com/documents/?uuid=071fcd57-e076-410e-903a-444abfb30785" ] } ], "mendeley" : { "formattedCitation" : "(Smith and Stitt, 2007; Lawlor and Paul, 2014; White &lt;i&gt;et al.&lt;/i&gt;, 2016)", "manualFormatting" : "(Smith and Stitt, 2007; Lawlor and Paul, 2014; White et al., 2016)", "plainTextFormattedCitation" : "(Smith and Stitt, 2007; Lawlor and Paul, 2014; White et al., 2016)", "previouslyFormattedCitation" : "(Smith and Stitt, 2007; Lawlor and Paul, 2014; White &lt;i&gt;et al.&lt;/i&gt;, 2016)" }, "properties" : { "noteIndex" : 0 }, "schema" : "https://github.com/citation-style-language/schema/raw/master/csl-citation.json" }</w:instrText>
      </w:r>
      <w:r w:rsidRPr="00531789">
        <w:rPr>
          <w:rFonts w:ascii="Cambria" w:hAnsi="Cambria" w:cs="Courier New"/>
        </w:rPr>
        <w:fldChar w:fldCharType="separate"/>
      </w:r>
      <w:r w:rsidRPr="00796CB6">
        <w:rPr>
          <w:rFonts w:ascii="Cambria" w:hAnsi="Cambria" w:cs="Courier New"/>
          <w:noProof/>
        </w:rPr>
        <w:t xml:space="preserve">(Smith and Stitt, 2007; Lawlor and Paul, 2014; White </w:t>
      </w:r>
      <w:r w:rsidRPr="00796CB6">
        <w:rPr>
          <w:rFonts w:ascii="Cambria" w:hAnsi="Cambria" w:cs="Courier New"/>
          <w:i/>
          <w:noProof/>
        </w:rPr>
        <w:t>et al.</w:t>
      </w:r>
      <w:r w:rsidRPr="00796CB6">
        <w:rPr>
          <w:rFonts w:ascii="Cambria" w:hAnsi="Cambria" w:cs="Courier New"/>
          <w:noProof/>
        </w:rPr>
        <w:t xml:space="preserve">, </w:t>
      </w:r>
      <w:r w:rsidR="000055CC">
        <w:rPr>
          <w:rFonts w:ascii="Cambria" w:hAnsi="Cambria" w:cs="Courier New"/>
          <w:noProof/>
        </w:rPr>
        <w:t>2016</w:t>
      </w:r>
      <w:r w:rsidRPr="00796CB6">
        <w:rPr>
          <w:rFonts w:ascii="Cambria" w:hAnsi="Cambria" w:cs="Courier New"/>
          <w:noProof/>
        </w:rPr>
        <w:t>)</w:t>
      </w:r>
      <w:r w:rsidRPr="00531789">
        <w:rPr>
          <w:rFonts w:ascii="Cambria" w:hAnsi="Cambria" w:cs="Courier New"/>
        </w:rPr>
        <w:fldChar w:fldCharType="end"/>
      </w:r>
      <w:r w:rsidRPr="00531789">
        <w:rPr>
          <w:rFonts w:ascii="Cambria" w:hAnsi="Cambria" w:cs="Courier New"/>
        </w:rPr>
        <w:t>. Decades of research into the effects of elevated CO</w:t>
      </w:r>
      <w:r w:rsidRPr="00531789">
        <w:rPr>
          <w:rFonts w:ascii="Cambria" w:hAnsi="Cambria" w:cs="Courier New"/>
          <w:vertAlign w:val="subscript"/>
        </w:rPr>
        <w:t>2</w:t>
      </w:r>
      <w:r w:rsidRPr="00531789">
        <w:rPr>
          <w:rFonts w:ascii="Cambria" w:hAnsi="Cambria" w:cs="Courier New"/>
        </w:rPr>
        <w:t xml:space="preserve"> have demonstrated that increasing source activity through a stimulation of photosynthesis often does not translate into corresponding yield increases </w:t>
      </w:r>
      <w:r w:rsidRPr="00531789">
        <w:rPr>
          <w:rFonts w:ascii="Cambria" w:hAnsi="Cambria" w:cs="Courier New"/>
        </w:rPr>
        <w:fldChar w:fldCharType="begin" w:fldLock="1"/>
      </w:r>
      <w:r>
        <w:rPr>
          <w:rFonts w:ascii="Cambria" w:hAnsi="Cambria" w:cs="Courier New"/>
        </w:rPr>
        <w:instrText>ADDIN CSL_CITATION { "citationItems" : [ { "id" : "ITEM-1", "itemData" : { "DOI" : "10.1126/science.1114722", "ISSN" : "1095-9203", "PMID" : "16809532", "abstract" : "Model projections suggest that although increased temperature and decreased soil moisture will act to reduce global crop yields by 2050, the direct fertilization effect of rising carbon dioxide concentration ([CO2]) will offset these losses. The CO2 fertilization factors used in models to project future yields were derived from enclosure studies conducted approximately 20 years ago. Free-air concentration enrichment (FACE) technology has now facilitated large-scale trials of the major grain crops at elevated [CO2] under fully open-air field conditions. In those trials, elevated [CO2] enhanced yield by approximately 50% less than in enclosure studies. This casts serious doubt on projections that rising [CO2] will fully offset losses due to climate change.", "author" : [ { "dropping-particle" : "", "family" : "Long", "given" : "Stephen P", "non-dropping-particle" : "", "parse-names" : false, "suffix" : "" }, { "dropping-particle" : "", "family" : "Ainsworth", "given" : "Elizabeth A", "non-dropping-particle" : "", "parse-names" : false, "suffix" : "" }, { "dropping-particle" : "", "family" : "Leakey", "given" : "Andrew D B", "non-dropping-particle" : "", "parse-names" : false, "suffix" : "" }, { "dropping-particle" : "", "family" : "N\u00f6sberger", "given" : "Josef", "non-dropping-particle" : "", "parse-names" : false, "suffix" : "" }, { "dropping-particle" : "", "family" : "Ort", "given" : "Donald R", "non-dropping-particle" : "", "parse-names" : false, "suffix" : "" } ], "container-title" : "Science", "id" : "ITEM-1", "issue" : "5782", "issued" : { "date-parts" : [ [ "2006", "6", "30" ] ] }, "page" : "1918-21", "title" : "Food for thought: lower-than-expected crop yield stimulation with rising CO2 concentrations.", "type" : "article-journal", "volume" : "312" }, "uris" : [ "http://www.mendeley.com/documents/?uuid=fce954b0-4240-4dd5-b2bd-ba2f991b3a7b" ] }, { "id" : "ITEM-2", "itemData" : { "DOI" : "10.1111/j.1469-8137.2008.02470.x", "ISSN" : "1469-8137", "PMID" : "18557872", "author" : [ { "dropping-particle" : "", "family" : "Ainsworth", "given" : "Elizabeth A.", "non-dropping-particle" : "", "parse-names" : false, "suffix" : "" }, { "dropping-particle" : "", "family" : "Leakey", "given" : "Andrew D. B.", "non-dropping-particle" : "", "parse-names" : false, "suffix" : "" }, { "dropping-particle" : "", "family" : "Ort", "given" : "Donald R.", "non-dropping-particle" : "", "parse-names" : false, "suffix" : "" }, { "dropping-particle" : "", "family" : "Long", "given" : "Stephen P.", "non-dropping-particle" : "", "parse-names" : false, "suffix" : "" } ], "container-title" : "New Phytologist", "id" : "ITEM-2", "issue" : "1", "issued" : { "date-parts" : [ [ "2008", "1" ] ] }, "page" : "5-9", "title" : "FACE-ing the facts: inconsistencies and interdependence among field, chamber and modeling studies of elevated [CO2] impacts on crop yield and food supply", "type" : "article-journal", "volume" : "179" }, "uris" : [ "http://www.mendeley.com/documents/?uuid=2ecf71f0-7473-4042-bd60-1be2335079dd" ] }, { "id" : "ITEM-3", "itemData" : { "DOI" : "10.1093/jxb/erp096", "ISSN" : "1460-2431", "PMID" : "19401412", "abstract" : "Plant responses to the projected future levels of CO(2) were first characterized in short-term experiments lasting days to weeks. However, longer term acclimation responses to elevated CO(2) were subsequently discovered to be very important in determining plant and ecosystem function. Free-Air CO(2) Enrichment (FACE) experiments are the culmination of efforts to assess the impact of elevated CO(2) on plants over multiple seasons and, in the case of crops, over their entire lifetime. FACE has been used to expose vegetation to elevated concentrations of atmospheric CO(2) under completely open-air conditions for nearly two decades. This review describes some of the lessons learned from the long-term investment in these experiments. First, elevated CO(2) stimulates photosynthetic carbon gain and net primary production over the long term despite down-regulation of Rubisco activity. Second, elevated CO(2) improves nitrogen use efficiency and, third, decreases water use at both the leaf and canopy scale. Fourth, elevated CO(2) stimulates dark respiration via a transcriptional reprogramming of metabolism. Fifth, elevated CO(2) does not directly stimulate C(4) photosynthesis, but can indirectly stimulate carbon gain in times and places of drought. Finally, the stimulation of yield by elevated CO(2) in crop species is much smaller than expected. While many of these lessons have been most clearly demonstrated in crop systems, all of the lessons have important implications for natural systems.", "author" : [ { "dropping-particle" : "", "family" : "Leakey", "given" : "Andrew D B", "non-dropping-particle" : "", "parse-names" : false, "suffix" : "" }, { "dropping-particle" : "", "family" : "Ainsworth", "given" : "Elizabeth A", "non-dropping-particle" : "", "parse-names" : false, "suffix" : "" }, { "dropping-particle" : "", "family" : "Bernacchi", "given" : "Carl J", "non-dropping-particle" : "", "parse-names" : false, "suffix" : "" }, { "dropping-particle" : "", "family" : "Rogers", "given" : "Alistair", "non-dropping-particle" : "", "parse-names" : false, "suffix" : "" }, { "dropping-particle" : "", "family" : "Long", "given" : "Stephen P", "non-dropping-particle" : "", "parse-names" : false, "suffix" : "" }, { "dropping-particle" : "", "family" : "Ort", "given" : "Donald R", "non-dropping-particle" : "", "parse-names" : false, "suffix" : "" } ], "container-title" : "Journal of Experimental Botany", "id" : "ITEM-3", "issue" : "10", "issued" : { "date-parts" : [ [ "2009", "1" ] ] }, "page" : "2859-76", "title" : "Elevated CO2 effects on plant carbon, nitrogen, and water relations: six important lessons from FACE.", "type" : "article-journal", "volume" : "60" }, "uris" : [ "http://www.mendeley.com/documents/?uuid=dc3f8de3-43ba-4bf8-9cab-0496484e7348" ] } ], "mendeley" : { "formattedCitation" : "(Long &lt;i&gt;et al.&lt;/i&gt;, 2006&lt;i&gt;a&lt;/i&gt;; Ainsworth &lt;i&gt;et al.&lt;/i&gt;, 2008&lt;i&gt;a&lt;/i&gt;; Leakey &lt;i&gt;et al.&lt;/i&gt;, 2009)", "plainTextFormattedCitation" : "(Long et al., 2006a; Ainsworth et al., 2008a; Leakey et al., 2009)", "previouslyFormattedCitation" : "(Long &lt;i&gt;et al.&lt;/i&gt;, 2006&lt;i&gt;a&lt;/i&gt;; Ainsworth &lt;i&gt;et al.&lt;/i&gt;, 2008&lt;i&gt;a&lt;/i&gt;; Leakey &lt;i&gt;et al.&lt;/i&gt;, 2009)" }, "properties" : { "noteIndex" : 0 }, "schema" : "https://github.com/citation-style-language/schema/raw/master/csl-citation.json" }</w:instrText>
      </w:r>
      <w:r w:rsidRPr="00531789">
        <w:rPr>
          <w:rFonts w:ascii="Cambria" w:hAnsi="Cambria" w:cs="Courier New"/>
        </w:rPr>
        <w:fldChar w:fldCharType="separate"/>
      </w:r>
      <w:r w:rsidRPr="002C5907">
        <w:rPr>
          <w:rFonts w:ascii="Cambria" w:hAnsi="Cambria" w:cs="Courier New"/>
          <w:noProof/>
        </w:rPr>
        <w:t xml:space="preserve">(Long </w:t>
      </w:r>
      <w:r w:rsidRPr="002C5907">
        <w:rPr>
          <w:rFonts w:ascii="Cambria" w:hAnsi="Cambria" w:cs="Courier New"/>
          <w:i/>
          <w:noProof/>
        </w:rPr>
        <w:t>et al.</w:t>
      </w:r>
      <w:r w:rsidRPr="002C5907">
        <w:rPr>
          <w:rFonts w:ascii="Cambria" w:hAnsi="Cambria" w:cs="Courier New"/>
          <w:noProof/>
        </w:rPr>
        <w:t>, 2006</w:t>
      </w:r>
      <w:r w:rsidRPr="002C5907">
        <w:rPr>
          <w:rFonts w:ascii="Cambria" w:hAnsi="Cambria" w:cs="Courier New"/>
          <w:i/>
          <w:noProof/>
        </w:rPr>
        <w:t>a</w:t>
      </w:r>
      <w:r w:rsidRPr="002C5907">
        <w:rPr>
          <w:rFonts w:ascii="Cambria" w:hAnsi="Cambria" w:cs="Courier New"/>
          <w:noProof/>
        </w:rPr>
        <w:t xml:space="preserve">; Ainsworth </w:t>
      </w:r>
      <w:r w:rsidRPr="002C5907">
        <w:rPr>
          <w:rFonts w:ascii="Cambria" w:hAnsi="Cambria" w:cs="Courier New"/>
          <w:i/>
          <w:noProof/>
        </w:rPr>
        <w:t>et al.</w:t>
      </w:r>
      <w:r w:rsidRPr="002C5907">
        <w:rPr>
          <w:rFonts w:ascii="Cambria" w:hAnsi="Cambria" w:cs="Courier New"/>
          <w:noProof/>
        </w:rPr>
        <w:t>, 2008</w:t>
      </w:r>
      <w:r w:rsidRPr="002C5907">
        <w:rPr>
          <w:rFonts w:ascii="Cambria" w:hAnsi="Cambria" w:cs="Courier New"/>
          <w:i/>
          <w:noProof/>
        </w:rPr>
        <w:t>a</w:t>
      </w:r>
      <w:r w:rsidRPr="002C5907">
        <w:rPr>
          <w:rFonts w:ascii="Cambria" w:hAnsi="Cambria" w:cs="Courier New"/>
          <w:noProof/>
        </w:rPr>
        <w:t xml:space="preserve">; Leakey </w:t>
      </w:r>
      <w:r w:rsidRPr="002C5907">
        <w:rPr>
          <w:rFonts w:ascii="Cambria" w:hAnsi="Cambria" w:cs="Courier New"/>
          <w:i/>
          <w:noProof/>
        </w:rPr>
        <w:t>et al.</w:t>
      </w:r>
      <w:r w:rsidRPr="002C5907">
        <w:rPr>
          <w:rFonts w:ascii="Cambria" w:hAnsi="Cambria" w:cs="Courier New"/>
          <w:noProof/>
        </w:rPr>
        <w:t>, 2009)</w:t>
      </w:r>
      <w:r w:rsidRPr="00531789">
        <w:rPr>
          <w:rFonts w:ascii="Cambria" w:hAnsi="Cambria" w:cs="Courier New"/>
        </w:rPr>
        <w:fldChar w:fldCharType="end"/>
      </w:r>
      <w:r w:rsidRPr="00531789">
        <w:rPr>
          <w:rFonts w:ascii="Cambria" w:hAnsi="Cambria" w:cs="Courier New"/>
        </w:rPr>
        <w:t xml:space="preserve">, although this depends on the species </w:t>
      </w:r>
      <w:r w:rsidRPr="00531789">
        <w:rPr>
          <w:rFonts w:ascii="Cambria" w:hAnsi="Cambria" w:cs="Courier New"/>
        </w:rPr>
        <w:fldChar w:fldCharType="begin" w:fldLock="1"/>
      </w:r>
      <w:r w:rsidR="00906E41">
        <w:rPr>
          <w:rFonts w:ascii="Cambria" w:hAnsi="Cambria" w:cs="Courier New"/>
        </w:rPr>
        <w:instrText>ADDIN CSL_CITATION { "citationItems" : [ { "id" : "ITEM-1", "itemData" : { "DOI" : "10.1111/pce.12594", "ISBN" : "1365-3040", "ISSN" : "1365-3040", "PMID" : "26138548", "abstract" : "Although photosynthesis is the most important source for biomass and grain yield, a lack of correlation between photosynthesis and plant yield among different genotypes of various crop species has been frequently observed. Such observations contribute to the ongoing debate whether enhancing leaf photosynthesis can improve yield potential. Here, transgenic rice plants that contain variable amounts of the Rieske FeS protein in the cytochrome (Cyt) b6 /f complex between 10 and 100% of wild-type levels have been used to investigate the effect of reductions of these proteins on photosynthesis, plant growth and yield. Reductions of the Cyt b6 /f complex did not affect the electron transport rates through photosystem I but decreased electron transport rates through photosystem II, leading to concomitant decreases in CO2 assimilation rates. There was a strong control of plant growth and grain yield by the rate of leaf photosynthesis, leading to the conclusion that enhancing photosynthesis at the single-leaf level would be a useful target for improving crop productivity and yield both via conventional breeding and biotechnology. The data here also suggest that changing photosynthetic electron transport rates via manipulation of the Cyt b6 /f complex could be a potential target for enhancing photosynthetic capacity in higher plants.", "author" : [ { "dropping-particle" : "", "family" : "Yamori", "given" : "Wataru", "non-dropping-particle" : "", "parse-names" : false, "suffix" : "" }, { "dropping-particle" : "", "family" : "Kondo", "given" : "Eri", "non-dropping-particle" : "", "parse-names" : false, "suffix" : "" }, { "dropping-particle" : "", "family" : "Sugiura", "given" : "Daisuke", "non-dropping-particle" : "", "parse-names" : false, "suffix" : "" }, { "dropping-particle" : "", "family" : "Terashima", "given" : "Ichiro", "non-dropping-particle" : "", "parse-names" : false, "suffix" : "" }, { "dropping-particle" : "", "family" : "Suzuki", "given" : "Yuji", "non-dropping-particle" : "", "parse-names" : false, "suffix" : "" }, { "dropping-particle" : "", "family" : "Makino", "given" : "Amane", "non-dropping-particle" : "", "parse-names" : false, "suffix" : "" } ], "container-title" : "Plant, Cell &amp; Environment", "id" : "ITEM-1", "issued" : { "date-parts" : [ [ "2016" ] ] }, "page" : "80-87", "title" : "Enhanced leaf photosynthesis as a target to increase grain yield: Insights from transgenic rice lines with variable Rieske FeS protein content in the Cytochrome b6/f complex", "type" : "article-journal", "volume" : "39" }, "uris" : [ "http://www.mendeley.com/documents/?uuid=db27713b-2833-4cec-920d-bc4cb7d4dea0" ] } ], "mendeley" : { "formattedCitation" : "(Yamori &lt;i&gt;et al.&lt;/i&gt;, 2016)", "plainTextFormattedCitation" : "(Yamori et al., 2016)", "previouslyFormattedCitation" : "(Yamori &lt;i&gt;et al.&lt;/i&gt;, 2016)" }, "properties" : { "noteIndex" : 0 }, "schema" : "https://github.com/citation-style-language/schema/raw/master/csl-citation.json" }</w:instrText>
      </w:r>
      <w:r w:rsidRPr="00531789">
        <w:rPr>
          <w:rFonts w:ascii="Cambria" w:hAnsi="Cambria" w:cs="Courier New"/>
        </w:rPr>
        <w:fldChar w:fldCharType="separate"/>
      </w:r>
      <w:r w:rsidRPr="002C5907">
        <w:rPr>
          <w:rFonts w:ascii="Cambria" w:hAnsi="Cambria" w:cs="Courier New"/>
          <w:noProof/>
        </w:rPr>
        <w:t xml:space="preserve">(Yamori </w:t>
      </w:r>
      <w:r w:rsidRPr="002C5907">
        <w:rPr>
          <w:rFonts w:ascii="Cambria" w:hAnsi="Cambria" w:cs="Courier New"/>
          <w:i/>
          <w:noProof/>
        </w:rPr>
        <w:t>et al.</w:t>
      </w:r>
      <w:r w:rsidRPr="002C5907">
        <w:rPr>
          <w:rFonts w:ascii="Cambria" w:hAnsi="Cambria" w:cs="Courier New"/>
          <w:noProof/>
        </w:rPr>
        <w:t>, 2016)</w:t>
      </w:r>
      <w:r w:rsidRPr="00531789">
        <w:rPr>
          <w:rFonts w:ascii="Cambria" w:hAnsi="Cambria" w:cs="Courier New"/>
        </w:rPr>
        <w:fldChar w:fldCharType="end"/>
      </w:r>
      <w:r w:rsidRPr="00531789">
        <w:rPr>
          <w:rFonts w:ascii="Cambria" w:hAnsi="Cambria" w:cs="Courier New"/>
        </w:rPr>
        <w:t xml:space="preserve">. Similarly, increasing sink capacity does not always translate into </w:t>
      </w:r>
      <w:r>
        <w:rPr>
          <w:rFonts w:ascii="Cambria" w:hAnsi="Cambria" w:cs="Courier New"/>
        </w:rPr>
        <w:t>greater yield under field conditions</w:t>
      </w:r>
      <w:r w:rsidRPr="00531789">
        <w:rPr>
          <w:rFonts w:ascii="Cambria" w:hAnsi="Cambria" w:cs="Courier New"/>
        </w:rPr>
        <w:t xml:space="preserve"> </w:t>
      </w:r>
      <w:r w:rsidRPr="00531789">
        <w:rPr>
          <w:rFonts w:ascii="Cambria" w:hAnsi="Cambria" w:cs="Courier New"/>
        </w:rPr>
        <w:fldChar w:fldCharType="begin" w:fldLock="1"/>
      </w:r>
      <w:r>
        <w:rPr>
          <w:rFonts w:ascii="Cambria" w:hAnsi="Cambria" w:cs="Courier New"/>
        </w:rPr>
        <w:instrText>ADDIN CSL_CITATION { "citationItems" : [ { "id" : "ITEM-1", "itemData" : { "DOI" : "10.1104/pp.109.150854", "ISSN" : "1532-2548", "PMID" : "20018590", "abstract" : "Increasing grain sink strength by improving assimilate uptake capacity could be a promising approach toward getting higher yield. The barley (Hordeum vulgare) sucrose transporter HvSUT1 (SUT) was expressed under control of the endosperm-specific Hordein B1 promoter (HO). Compared with the wild type, transgenic HOSUT grains take up more sucrose (Suc) in vitro, showing that the transgene is functional. Grain Suc levels are not altered, indicating that Suc fluxes are influenced rather than steady-state levels. HOSUT grains have increased percentages of total nitrogen and prolamins, which is reflected in increased levels of phenylalanine, tyrosine, tryptophan, isoleucine, and leucine at late grain development. Transcript profiling indicates specific stimulation of prolamin gene expression at the onset of storage phase. Changes in gene expression and metabolite levels related to carbon metabolism and amino acid biosynthesis suggest deregulated carbon-nitrogen balance, which together indicate carbon sufficiency and relative depletion of nitrogen. Genes, deregulated together with prolamin genes, might represent candidates, which respond positively to assimilate supply and are related to sugar-starch metabolism, cytokinin and brassinosteroid functions, cell proliferation, and sugar/abscisic acid signaling. Genes showing inverse expression patterns represent potential negative regulators. It is concluded that HvSUT1 overexpression increases grain protein content but also deregulates the metabolic status of wheat (Triticum aestivum) grains, accompanied by up-regulated gene expression of positive and negative regulators related to sugar signaling and assimilate supply. In HOSUT grains, alternating stimulation of positive and negative regulators causes oscillatory patterns of gene expression and highlights the capacity and great flexibility to adjust wheat grain storage metabolism in response to metabolic alterations.", "author" : [ { "dropping-particle" : "", "family" : "Weichert", "given" : "Nicola", "non-dropping-particle" : "", "parse-names" : false, "suffix" : "" }, { "dropping-particle" : "", "family" : "Saalbach", "given" : "Isolde", "non-dropping-particle" : "", "parse-names" : false, "suffix" : "" }, { "dropping-particle" : "", "family" : "Weichert", "given" : "Heiko", "non-dropping-particle" : "", "parse-names" : false, "suffix" : "" }, { "dropping-particle" : "", "family" : "Kohl", "given" : "Stefan", "non-dropping-particle" : "", "parse-names" : false, "suffix" : "" }, { "dropping-particle" : "", "family" : "Erban", "given" : "Alexander", "non-dropping-particle" : "", "parse-names" : false, "suffix" : "" }, { "dropping-particle" : "", "family" : "Kopka", "given" : "Joachim", "non-dropping-particle" : "", "parse-names" : false, "suffix" : "" }, { "dropping-particle" : "", "family" : "Hause", "given" : "Bettina", "non-dropping-particle" : "", "parse-names" : false, "suffix" : "" }, { "dropping-particle" : "", "family" : "Varshney", "given" : "Alok", "non-dropping-particle" : "", "parse-names" : false, "suffix" : "" }, { "dropping-particle" : "", "family" : "Sreenivasulu", "given" : "Nese", "non-dropping-particle" : "", "parse-names" : false, "suffix" : "" }, { "dropping-particle" : "", "family" : "Strickert", "given" : "Marc", "non-dropping-particle" : "", "parse-names" : false, "suffix" : "" }, { "dropping-particle" : "", "family" : "Kumlehn", "given" : "Jochen", "non-dropping-particle" : "", "parse-names" : false, "suffix" : "" }, { "dropping-particle" : "", "family" : "Weschke", "given" : "Winfriede", "non-dropping-particle" : "", "parse-names" : false, "suffix" : "" }, { "dropping-particle" : "", "family" : "Weber", "given" : "Hans", "non-dropping-particle" : "", "parse-names" : false, "suffix" : "" } ], "container-title" : "Plant Physiology", "id" : "ITEM-1", "issue" : "2", "issued" : { "date-parts" : [ [ "2010", "2" ] ] }, "page" : "698-710", "title" : "Increasing sucrose uptake capacity of wheat grains stimulates storage protein synthesis.", "type" : "article-journal", "volume" : "152" }, "uris" : [ "http://www.mendeley.com/documents/?uuid=262e0da9-5b42-4bd6-a5ff-3139d8f974ea" ] } ], "mendeley" : { "formattedCitation" : "(Weichert &lt;i&gt;et al.&lt;/i&gt;, 2010)", "plainTextFormattedCitation" : "(Weichert et al., 2010)", "previouslyFormattedCitation" : "(Weichert &lt;i&gt;et al.&lt;/i&gt;, 2010)" }, "properties" : { "noteIndex" : 0 }, "schema" : "https://github.com/citation-style-language/schema/raw/master/csl-citation.json" }</w:instrText>
      </w:r>
      <w:r w:rsidRPr="00531789">
        <w:rPr>
          <w:rFonts w:ascii="Cambria" w:hAnsi="Cambria" w:cs="Courier New"/>
        </w:rPr>
        <w:fldChar w:fldCharType="separate"/>
      </w:r>
      <w:r w:rsidRPr="002C5907">
        <w:rPr>
          <w:rFonts w:ascii="Cambria" w:hAnsi="Cambria" w:cs="Courier New"/>
          <w:noProof/>
        </w:rPr>
        <w:t xml:space="preserve">(Weichert </w:t>
      </w:r>
      <w:r w:rsidRPr="002C5907">
        <w:rPr>
          <w:rFonts w:ascii="Cambria" w:hAnsi="Cambria" w:cs="Courier New"/>
          <w:i/>
          <w:noProof/>
        </w:rPr>
        <w:t>et al.</w:t>
      </w:r>
      <w:r w:rsidRPr="002C5907">
        <w:rPr>
          <w:rFonts w:ascii="Cambria" w:hAnsi="Cambria" w:cs="Courier New"/>
          <w:noProof/>
        </w:rPr>
        <w:t>, 2010)</w:t>
      </w:r>
      <w:r w:rsidRPr="00531789">
        <w:rPr>
          <w:rFonts w:ascii="Cambria" w:hAnsi="Cambria" w:cs="Courier New"/>
        </w:rPr>
        <w:fldChar w:fldCharType="end"/>
      </w:r>
      <w:r w:rsidRPr="00531789">
        <w:rPr>
          <w:rFonts w:ascii="Cambria" w:hAnsi="Cambria" w:cs="Courier New"/>
        </w:rPr>
        <w:t xml:space="preserve">.  A holistic approach to growth and yield considering both source and sink capacities is therefore essential for developing higher yielding crop varieties </w:t>
      </w:r>
      <w:r w:rsidRPr="00531789">
        <w:rPr>
          <w:rFonts w:ascii="Cambria" w:hAnsi="Cambria" w:cs="Courier New"/>
        </w:rPr>
        <w:fldChar w:fldCharType="begin" w:fldLock="1"/>
      </w:r>
      <w:r w:rsidR="009133B6">
        <w:rPr>
          <w:rFonts w:ascii="Cambria" w:hAnsi="Cambria" w:cs="Courier New"/>
        </w:rPr>
        <w:instrText>ADDIN CSL_CITATION { "citationItems" : [ { "id" : "ITEM-1", "itemData" : { "DOI" : "10.1093/jxb/erv447", "ISSN" : "0022-0957", "author" : [ { "dropping-particle" : "", "family" : "White",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"Journal of Experimental Botany", "id" : "ITEM-1", "issue" : "1", "issued" : { "date-parts" : [ [ "2016" ] ] }, "page" : "31-45", "title" : "How can we make plants grow faster? A source\u2013sink perspective on growth rate", "type" : "article-journal", "volume" : "67" }, "uris" : [ "http://www.mendeley.com/documents/?uuid=071fcd57-e076-410e-903a-444abfb30785" ] } ], "mendeley" : { "formattedCitation" : "(White &lt;i&gt;et al.&lt;/i&gt;, 2016)", "manualFormatting" : "(White et al., 2016)", "plainTextFormattedCitation" : "(White et al., 2016)", "previouslyFormattedCitation" : "(White &lt;i&gt;et al.&lt;/i&gt;, 2016)" }, "properties" : { "noteIndex" : 0 }, "schema" : "https://github.com/citation-style-language/schema/raw/master/csl-citation.json" }</w:instrText>
      </w:r>
      <w:r w:rsidRPr="00531789">
        <w:rPr>
          <w:rFonts w:ascii="Cambria" w:hAnsi="Cambria" w:cs="Courier New"/>
        </w:rPr>
        <w:fldChar w:fldCharType="separate"/>
      </w:r>
      <w:r w:rsidRPr="00796CB6">
        <w:rPr>
          <w:rFonts w:ascii="Cambria" w:hAnsi="Cambria" w:cs="Courier New"/>
          <w:noProof/>
        </w:rPr>
        <w:t xml:space="preserve">(White </w:t>
      </w:r>
      <w:r w:rsidRPr="00796CB6">
        <w:rPr>
          <w:rFonts w:ascii="Cambria" w:hAnsi="Cambria" w:cs="Courier New"/>
          <w:i/>
          <w:noProof/>
        </w:rPr>
        <w:t>et al.</w:t>
      </w:r>
      <w:r w:rsidRPr="00796CB6">
        <w:rPr>
          <w:rFonts w:ascii="Cambria" w:hAnsi="Cambria" w:cs="Courier New"/>
          <w:noProof/>
        </w:rPr>
        <w:t xml:space="preserve">, </w:t>
      </w:r>
      <w:r w:rsidR="000055CC">
        <w:rPr>
          <w:rFonts w:ascii="Cambria" w:hAnsi="Cambria" w:cs="Courier New"/>
          <w:noProof/>
        </w:rPr>
        <w:t>2016</w:t>
      </w:r>
      <w:r w:rsidRPr="00796CB6">
        <w:rPr>
          <w:rFonts w:ascii="Cambria" w:hAnsi="Cambria" w:cs="Courier New"/>
          <w:noProof/>
        </w:rPr>
        <w:t>)</w:t>
      </w:r>
      <w:r w:rsidRPr="00531789">
        <w:rPr>
          <w:rFonts w:ascii="Cambria" w:hAnsi="Cambria" w:cs="Courier New"/>
        </w:rPr>
        <w:fldChar w:fldCharType="end"/>
      </w:r>
      <w:r w:rsidRPr="00531789">
        <w:rPr>
          <w:rFonts w:ascii="Cambria" w:hAnsi="Cambria" w:cs="Courier New"/>
        </w:rPr>
        <w:t>.</w:t>
      </w:r>
    </w:p>
    <w:p w14:paraId="51EA50FF" w14:textId="77777777" w:rsidR="00DF4522" w:rsidRPr="00531789" w:rsidRDefault="00DF4522" w:rsidP="00DF4522">
      <w:pPr>
        <w:spacing w:line="360" w:lineRule="auto"/>
        <w:jc w:val="both"/>
        <w:rPr>
          <w:rFonts w:ascii="Cambria" w:hAnsi="Cambria" w:cs="Courier New"/>
        </w:rPr>
      </w:pPr>
    </w:p>
    <w:p w14:paraId="25323143"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 xml:space="preserve">One strategy for understanding the fundamental limitations on growth is to investigate the natural diversity of growth rates in wild plants.  In wild species, one of the major causes of growth rate variation is life-history </w:t>
      </w:r>
      <w:r w:rsidRPr="00531789">
        <w:rPr>
          <w:rFonts w:ascii="Cambria" w:hAnsi="Cambria" w:cs="Courier New"/>
        </w:rPr>
        <w:fldChar w:fldCharType="begin" w:fldLock="1"/>
      </w:r>
      <w:r>
        <w:rPr>
          <w:rFonts w:ascii="Cambria" w:hAnsi="Cambria" w:cs="Courier New"/>
        </w:rPr>
        <w:instrText>ADDIN CSL_CITATION { "citationItems" : [ { "id" : "ITEM-1", "itemData" : { "author" : [ { "dropping-particle" : "", "family" : "Grime", "given" : "J P", "non-dropping-particle" : "", "parse-names" : false, "suffix" : "" }, { "dropping-particle" : "", "family" : "Hunt", "given" : "Roderick", "non-dropping-particle" : "", "parse-names" : false, "suffix" : "" } ], "container-title" : "Journal of Ecology", "id" : "ITEM-1", "issue" : "2", "issued" : { "date-parts" : [ [ "1975" ] ] }, "page" : "393-422", "title" : "Relative Growth-Rate: Its range and adaptive significance in a local flora", "type" : "article-journal", "volume" : "63" }, "uris" : [ "http://www.mendeley.com/documents/?uuid=043fcecc-14f4-4c54-950c-5739c24be347" ] }, { "id" : "ITEM-2", "itemData" : { "author" : [ { "dropping-particle" : "", "family" : "Garnier", "given" : "Eric", "non-dropping-particle" : "", "parse-names" : false, "suffix" : "" } ], "container-title" : "Journal of Ecology", "id" : "ITEM-2", "issue" : "4", "issued" : { "date-parts" : [ [ "1992" ] ] }, "page" : "665-675", "title" : "Growth analysis of congeneric annual and perennial grass species", "type" : "article-journal", "volume" : "80" }, "uris" : [ "http://www.mendeley.com/documents/?uuid=43ba0b50-96bc-47c7-920b-c43335d07d77" ] } ], "mendeley" : { "formattedCitation" : "(Grime and Hunt, 1975; Garnier, 1992)", "plainTextFormattedCitation" : "(Grime and Hunt, 1975; Garnier, 1992)", "previouslyFormattedCitation" : "(Grime and Hunt, 1975; Garnier, 1992)" }, "properties" : { "noteIndex" : 0 }, "schema" : "https://github.com/citation-style-language/schema/raw/master/csl-citation.json" }</w:instrText>
      </w:r>
      <w:r w:rsidRPr="00531789">
        <w:rPr>
          <w:rFonts w:ascii="Cambria" w:hAnsi="Cambria" w:cs="Courier New"/>
        </w:rPr>
        <w:fldChar w:fldCharType="separate"/>
      </w:r>
      <w:r w:rsidRPr="00796CB6">
        <w:rPr>
          <w:rFonts w:ascii="Cambria" w:hAnsi="Cambria" w:cs="Courier New"/>
          <w:noProof/>
        </w:rPr>
        <w:t>(Grime and Hunt, 1975; Garnier, 1992)</w:t>
      </w:r>
      <w:r w:rsidRPr="00531789">
        <w:rPr>
          <w:rFonts w:ascii="Cambria" w:hAnsi="Cambria" w:cs="Courier New"/>
        </w:rPr>
        <w:fldChar w:fldCharType="end"/>
      </w:r>
      <w:r w:rsidRPr="00531789">
        <w:rPr>
          <w:rFonts w:ascii="Cambria" w:hAnsi="Cambria" w:cs="Courier New"/>
        </w:rPr>
        <w:t xml:space="preserve">.  Annual and perennial growth strategies enable plants to allocate resources in a way that is appropriate for their environment: annuals grow quickly and invest everything in reproduction in the first year before they die, whilst perennials grow more slowly and conserve resources for the following season </w:t>
      </w:r>
      <w:r w:rsidRPr="00531789">
        <w:rPr>
          <w:rFonts w:ascii="Cambria" w:hAnsi="Cambria" w:cs="Courier New"/>
        </w:rPr>
        <w:fldChar w:fldCharType="begin" w:fldLock="1"/>
      </w:r>
      <w:r>
        <w:rPr>
          <w:rFonts w:ascii="Cambria" w:hAnsi="Cambria" w:cs="Courier New"/>
        </w:rPr>
        <w:instrText>ADDIN CSL_CITATION { "citationItems" : [ { "id" : "ITEM-1", "itemData" : { "ISBN" : "1522-0613", "ISSN" : "1522-0613", "abstract" : "The growth and reproductive schedule of terrestrial plants can be usefully studied as the dynamic optimal allocation of material between different organs. This idea, pioneered by Dan Cohen, has been formalized as an optimal control problem and analysed using Pontryagin's maximum principle or dynamic programming. Here, I review several examples of dynamic resource allocation models. First, the seasonal timing of reproduction of annuals is discussed. This can be extended to plants with multiple vegetative organs and the optimal shoot-root balance is assessed. Secondly, the growth schedule over multiple seasons is examined, and the reproductive effort, the leaf phenology of deciduous perennials, and the conditions under which perenniality is more advantageous than annuality are considered. With some modifications, the same model can handle intermittent reproduction and monocarpic perennials (one large reproduction after many years). Thirdly, growth in an unpredictably fluctuating environment is analysed for the case in which a sudden disturbance (herbivory or fire) removes the photosynthetic system altogether, followed by recovery using stored material, and for the case in which environmental productivity fluctuates in a Markovian process. Finally, the optimal level of chemical defence against herbivory is formalized and used to explain the intensity of alkaloid defence decreasing with leaf age. These examples illustrate the usefulness of dynamic resource allocation models in understanding plant life-history adaptation.", "author" : [ { "dropping-particle" : "", "family" : "Iwasa", "given" : "Y", "non-dropping-particle" : "", "parse-names" : false, "suffix" : "" } ], "container-title" : "Evolutionary Ecology Research", "id" : "ITEM-1", "issued" : { "date-parts" : [ [ "2000" ] ] }, "page" : "437-455", "title" : "Dynamic optimization of plant growth", "type" : "article-journal", "volume" : "2" }, "uris" : [ "http://www.mendeley.com/documents/?uuid=5b9b1e0b-f3ac-4f38-81b3-8e65dad65a65" ] }, { "id" : "ITEM-2", "itemData" : { "DOI" : "10.1093/jxb/err442", "ISSN" : "1460-2431", "PMID" : "22291133", "abstract" : "The distribution of nutrients and assimilates in different organs and tissues is in a constant state of flux throughout the growth and development of a plant. At key stages during the life cycle profound changes occur, and perhaps one of the most critical of these is during seed filling. By restricting the competition for reserves in Arabidopsis plants, the ability to manipulate seed size, seed weight, or seed content has been explored. Removal of secondary inflorescences and lateral branches resulted in a stimulation of elongation of the primary inflorescence and an increase in the distance between siliques. The pruning treatment also led to the development of longer and larger siliques that contained fewer, bigger seeds. This seems to be a consequence of a reduction in the number of ovules that develop and an increase in the fatty acid content of the seeds that mature. The data show that shoot architecture could have a substantial impact on the partitioning of reserves between vegetative and reproductive tissues and could be an important trait for selection in rapid phenotyping screens to optimize crop performance.", "author" : [ { "dropping-particle" : "", "family" : "Bennett", "given" : "Emma", "non-dropping-particle" : "", "parse-names" : false, "suffix" : "" }, { "dropping-particle" : "", "family" : "Roberts", "given" : "Jeremy A", "non-dropping-particle" : "", "parse-names" : false, "suffix" : "" }, { "dropping-particle" : "", "family" : "Wagstaff", "given" : "Carol", "non-dropping-particle" : "", "parse-names" : false, "suffix" : "" } ], "container-title" : "Journal of Experimental Botany", "id" : "ITEM-2", "issue" : "9", "issued" : { "date-parts" : [ [ "2012", "5" ] ] }, "page" : "3391-400", "title" : "Manipulating resource allocation in plants.", "type" : "article-journal", "volume" : "63" }, "uris" : [ "http://www.mendeley.com/documents/?uuid=e716ebf9-9c08-4604-b935-97f03d580a0e" ] }, { "id" : "ITEM-3", "itemData" : { "author" : [ { "dropping-particle" : "", "family" : "Garnier", "given" : "Eric", "non-dropping-particle" : "", "parse-names" : false, "suffix" : "" } ], "container-title" : "Journal of Ecology", "id" : "ITEM-3", "issue" : "4", "issued" : { "date-parts" : [ [ "1992" ] ] }, "page" : "665-675", "title" : "Growth analysis of congeneric annual and perennial grass species", "type" : "article-journal", "volume" : "80" }, "uris" : [ "http://www.mendeley.com/documents/?uuid=43ba0b50-96bc-47c7-920b-c43335d07d77" ] } ], "mendeley" : { "formattedCitation" : "(Garnier, 1992; Iwasa, 2000; Bennett &lt;i&gt;et al.&lt;/i&gt;, 2012)", "plainTextFormattedCitation" : "(Garnier, 1992; Iwasa, 2000; Bennett et al., 2012)", "previouslyFormattedCitation" : "(Garnier, 1992; Iwasa, 2000; Bennett &lt;i&gt;et al.&lt;/i&gt;, 2012)" }, "properties" : { "noteIndex" : 0 }, "schema" : "https://github.com/citation-style-language/schema/raw/master/csl-citation.json" }</w:instrText>
      </w:r>
      <w:r w:rsidRPr="00531789">
        <w:rPr>
          <w:rFonts w:ascii="Cambria" w:hAnsi="Cambria" w:cs="Courier New"/>
        </w:rPr>
        <w:fldChar w:fldCharType="separate"/>
      </w:r>
      <w:r w:rsidRPr="002C5907">
        <w:rPr>
          <w:rFonts w:ascii="Cambria" w:hAnsi="Cambria" w:cs="Courier New"/>
          <w:noProof/>
        </w:rPr>
        <w:t xml:space="preserve">(Garnier, 1992; Iwasa, 2000; Bennett </w:t>
      </w:r>
      <w:r w:rsidRPr="002C5907">
        <w:rPr>
          <w:rFonts w:ascii="Cambria" w:hAnsi="Cambria" w:cs="Courier New"/>
          <w:i/>
          <w:noProof/>
        </w:rPr>
        <w:t>et al.</w:t>
      </w:r>
      <w:r w:rsidRPr="002C5907">
        <w:rPr>
          <w:rFonts w:ascii="Cambria" w:hAnsi="Cambria" w:cs="Courier New"/>
          <w:noProof/>
        </w:rPr>
        <w:t>, 2012)</w:t>
      </w:r>
      <w:r w:rsidRPr="00531789">
        <w:rPr>
          <w:rFonts w:ascii="Cambria" w:hAnsi="Cambria" w:cs="Courier New"/>
        </w:rPr>
        <w:fldChar w:fldCharType="end"/>
      </w:r>
      <w:r w:rsidRPr="00531789">
        <w:rPr>
          <w:rFonts w:ascii="Cambria" w:hAnsi="Cambria" w:cs="Courier New"/>
        </w:rPr>
        <w:t xml:space="preserve">. Annuals are typically seen as having flexible growth strategies for exploiting fluctuating environments, whereas perennials have more conservative growth strategies – i.e. lower allocation to reproduction and slower growth </w:t>
      </w:r>
      <w:r w:rsidRPr="00531789">
        <w:rPr>
          <w:rFonts w:ascii="Cambria" w:hAnsi="Cambria" w:cs="Courier New"/>
        </w:rPr>
        <w:fldChar w:fldCharType="begin" w:fldLock="1"/>
      </w:r>
      <w:r>
        <w:rPr>
          <w:rFonts w:ascii="Cambria" w:hAnsi="Cambria" w:cs="Courier New"/>
        </w:rPr>
        <w:instrText>ADDIN CSL_CITATION { "citationItems" : [ { "id" : "ITEM-1", "itemData" : { "DOI" : "10.1111/j.1469-8137.2012.04274.x", "ISSN" : "1469-8137", "PMID" : "22924406", "abstract" : "Life history theory posits that slower-growing species should invest proportionally more resources to storage, structural (e.g. stems) or defence traits than fast-growing species. Previously, we showed that the slower-growing monocarpic plants had lower mortality rates and higher bolting probabilities after two defoliation events. Here, we consider a mechanistic explanation, that the slower-growing species invested relatively more resources to storage. We compared the relative levels of root storage compounds between eight monocarpic species using metabolomic profiling, and characterized plant growth using a size-corrected estimate of relative growth rate (RGR). Growth rate was negatively correlated with the proportional allocation of root metabolites identified as sucrose, raffinose and stachyose and with amino acids known for their roles in nitrogen storage, particularly proline and arginine. The total amount and concentration of energy-corrected carbohydrates were also negatively correlated with RGR. Our results show for the first time that slower-growing species invest proportionally more of their total root metabolites in carbon- and nitrogen-storage compounds. We conclude that the increased investment in these reserves is an important resource allocation strategy underlying the growth-survival trade-off in plants.", "author" : [ { "dropping-particle" : "", "family" : "Atkinson", "given" : "Rebecca R L", "non-dropping-particle" : "", "parse-names" : false, "suffix" : "" }, { "dropping-particle" : "", "family" : "Burrell", "given" : "Mike M", "non-dropping-particle" : "", "parse-names" : false, "suffix" : "" }, { "dropping-particle" : "", "family" : "Osborne", "given" : "Colin P", "non-dropping-particle" : "", "parse-names" : false, "suffix" : "" }, { "dropping-particle" : "", "family" : "Rose", "given" : "Karen E", "non-dropping-particle" : "", "parse-names" : false, "suffix" : "" }, { "dropping-particle" : "", "family" : "Rees", "given" : "Mark", "non-dropping-particle" : "", "parse-names" : false, "suffix" : "" } ], "container-title" : "New Phytologist", "id" : "ITEM-1", "issue" : "1", "issued" : { "date-parts" : [ [ "2012", "10" ] ] }, "page" : "200-11", "title" : "A non-targeted metabolomics approach to quantifying differences in root storage between fast- and slow-growing plants.", "type" : "article-journal", "volume" : "196" }, "uris" : [ "http://www.mendeley.com/documents/?uuid=79aa9d4d-1520-44c2-8fde-d9ac3cf30287" ] }, { "id" : "ITEM-2", "itemData" : { "DOI" : "10.1098/rspb.2013.3355", "ISSN" : "1471-2954", "PMID" : "24671974", "abstract" : "Growth rate varies widely among species and the trade-off between growth rate and storage or maintenance traits is a principal axis of variation between species. Many plant species have substantial root stores, but very little is known about how growth rate modifies responses of these stores to defoliation and other stresses. Species with different growth rates are predicted to respond in distinct ways, because of variation in the pre-defoliation allocation to storage. Here, we quantified the dynamics of stored carbohydrates in seven species with varying growth rate, following defoliation in a pot experiment. For faster growing species, there was significant reduction in carbohydrate concentration following defoliation, followed by relatively fast recovery, whereas for slower growing species, carbohydrate concentration levels remained relatively invariant across treatments. Results for total carbohydrates mirrored those for concentration, but were not as significant. Our findings were consistent with the idea that faster growing species respond more rapidly than slower growers to defoliation, through changes in carbohydrate pool concentrations. Growth rate as an indicator of life-history and ecological strategy may therefore be key to understanding post-defoliation recovery and storage strategies.", "author" : [ { "dropping-particle" : "", "family" : "Atkinson", "given" : "R R L", "non-dropping-particle" : "", "parse-names" : false, "suffix" : "" }, { "dropping-particle" : "", "family" : "Burrell", "given" : "M M", "non-dropping-particle" : "", "parse-names" : false, "suffix" : "" }, { "dropping-particle" : "", "family" : "Rose", "given" : "K E", "non-dropping-particle" : "", "parse-names" : false, "suffix" : "" }, { "dropping-particle" : "", "family" : "Osborne", "given" : "C P", "non-dropping-particle" : "", "parse-names" : false, "suffix" : "" }, { "dropping-particle" : "", "family" : "Rees", "given" : "M", "non-dropping-particle" : "", "parse-names" : false, "suffix" : "" } ], "container-title" : "Proceedings of the Royal Society B", "id" : "ITEM-2", "issue" : "1783", "issued" : { "date-parts" : [ [ "2014" ] ] }, "page" : "20133355", "title" : "The dynamics of recovery and growth: how defoliation affects stored resources.", "type" : "article-journal", "volume" : "281" }, "uris" : [ "http://www.mendeley.com/documents/?uuid=bb99fd95-4b8e-44bf-aca9-dd9a04b8b6c9" ] } ], "mendeley" : { "formattedCitation" : "(Atkinson &lt;i&gt;et al.&lt;/i&gt;, 2012, 2014)", "plainTextFormattedCitation" : "(Atkinson et al., 2012, 2014)", "previouslyFormattedCitation" : "(Atkinson &lt;i&gt;et al.&lt;/i&gt;, 2012, 2014)" }, "properties" : { "noteIndex" : 0 }, "schema" : "https://github.com/citation-style-language/schema/raw/master/csl-citation.json" }</w:instrText>
      </w:r>
      <w:r w:rsidRPr="00531789">
        <w:rPr>
          <w:rFonts w:ascii="Cambria" w:hAnsi="Cambria" w:cs="Courier New"/>
        </w:rPr>
        <w:fldChar w:fldCharType="separate"/>
      </w:r>
      <w:r w:rsidRPr="002C5907">
        <w:rPr>
          <w:rFonts w:ascii="Cambria" w:hAnsi="Cambria" w:cs="Courier New"/>
          <w:noProof/>
        </w:rPr>
        <w:t xml:space="preserve">(Atkinson </w:t>
      </w:r>
      <w:r w:rsidRPr="002C5907">
        <w:rPr>
          <w:rFonts w:ascii="Cambria" w:hAnsi="Cambria" w:cs="Courier New"/>
          <w:i/>
          <w:noProof/>
        </w:rPr>
        <w:t>et al.</w:t>
      </w:r>
      <w:r w:rsidRPr="002C5907">
        <w:rPr>
          <w:rFonts w:ascii="Cambria" w:hAnsi="Cambria" w:cs="Courier New"/>
          <w:noProof/>
        </w:rPr>
        <w:t>, 2012, 2014)</w:t>
      </w:r>
      <w:r w:rsidRPr="00531789">
        <w:rPr>
          <w:rFonts w:ascii="Cambria" w:hAnsi="Cambria" w:cs="Courier New"/>
        </w:rPr>
        <w:fldChar w:fldCharType="end"/>
      </w:r>
      <w:r w:rsidRPr="00531789">
        <w:rPr>
          <w:rFonts w:ascii="Cambria" w:hAnsi="Cambria" w:cs="Courier New"/>
        </w:rPr>
        <w:t xml:space="preserve">. Although perennials with large storage organs may never be sink limited, annuals generally transition from sink to source limitation during development when they switch from vegetative to reproductive growth </w:t>
      </w:r>
      <w:r w:rsidRPr="00531789">
        <w:rPr>
          <w:rFonts w:ascii="Cambria" w:hAnsi="Cambria" w:cs="Courier New"/>
        </w:rPr>
        <w:fldChar w:fldCharType="begin" w:fldLock="1"/>
      </w:r>
      <w:r w:rsidRPr="00531789">
        <w:rPr>
          <w:rFonts w:ascii="Cambria" w:hAnsi="Cambria" w:cs="Courier New"/>
        </w:rPr>
        <w:instrText>ADDIN CSL_CITATION { "citationItems" : [ { "id" : "ITEM-1", "itemData" : { "author" : [ { "dropping-particle" : "", "family" : "Arp", "given" : "W J", "non-dropping-particle" : "", "parse-names" : false, "suffix" : "" } ], "container-title" : "Plant, Cell &amp; Environment", "id" : "ITEM-1", "issued" : { "date-parts" : [ [ "1991" ] ] }, "page" : "869-875", "title" : "Effects of source-sink relations on photosynthetic acclimation to elevated CO2", "type" : "article-journal", "volume" : "14" }, "uris" : [ "http://www.mendeley.com/documents/?uuid=bb80a4ae-185e-48b5-858d-08efd177107a" ] } ], "mendeley" : { "formattedCitation" : "(Arp, 1991)", "plainTextFormattedCitation" : "(Arp, 1991)", "previouslyFormattedCitation" : "(Arp, 1991)" }, "properties" : { "noteIndex" : 0 }, "schema" : "https://github.com/citation-style-language/schema/raw/master/csl-citation.json" }</w:instrText>
      </w:r>
      <w:r w:rsidRPr="00531789">
        <w:rPr>
          <w:rFonts w:ascii="Cambria" w:hAnsi="Cambria" w:cs="Courier New"/>
        </w:rPr>
        <w:fldChar w:fldCharType="separate"/>
      </w:r>
      <w:r w:rsidRPr="00531789">
        <w:rPr>
          <w:rFonts w:ascii="Cambria" w:hAnsi="Cambria" w:cs="Courier New"/>
          <w:noProof/>
        </w:rPr>
        <w:t>(Arp, 1991)</w:t>
      </w:r>
      <w:r w:rsidRPr="00531789">
        <w:rPr>
          <w:rFonts w:ascii="Cambria" w:hAnsi="Cambria" w:cs="Courier New"/>
        </w:rPr>
        <w:fldChar w:fldCharType="end"/>
      </w:r>
      <w:r w:rsidRPr="00531789">
        <w:rPr>
          <w:rFonts w:ascii="Cambria" w:hAnsi="Cambria" w:cs="Courier New"/>
        </w:rPr>
        <w:t xml:space="preserve">, and perennials lacking large storage organs are likely to undergo this transition as well. Because perennials grow more slowly than annuals and transition to the reproductive growth stage later, they are therefore likely to be sink limited for a longer period of time. </w:t>
      </w:r>
    </w:p>
    <w:p w14:paraId="11989D07" w14:textId="77777777" w:rsidR="00DF4522" w:rsidRPr="00531789" w:rsidRDefault="00DF4522" w:rsidP="00DF4522">
      <w:pPr>
        <w:spacing w:line="360" w:lineRule="auto"/>
        <w:jc w:val="both"/>
        <w:rPr>
          <w:rFonts w:ascii="Cambria" w:hAnsi="Cambria" w:cs="Courier New"/>
        </w:rPr>
      </w:pPr>
    </w:p>
    <w:p w14:paraId="26CCC62C" w14:textId="26447038" w:rsidR="00DF4522" w:rsidRPr="00531789" w:rsidRDefault="00DF4522" w:rsidP="00DF4522">
      <w:pPr>
        <w:spacing w:line="360" w:lineRule="auto"/>
        <w:jc w:val="both"/>
        <w:rPr>
          <w:rFonts w:ascii="Cambria" w:hAnsi="Cambria" w:cs="Courier New"/>
        </w:rPr>
      </w:pPr>
      <w:r w:rsidRPr="00531789">
        <w:rPr>
          <w:rFonts w:ascii="Cambria" w:hAnsi="Cambria" w:cs="Courier New"/>
        </w:rPr>
        <w:t xml:space="preserve">Despite this well developed ecological theory, we do not currently know the extent to which slower growth in perennials than annuals arises from greater source or sink limitation.  Experimental manipulations of the </w:t>
      </w:r>
      <w:proofErr w:type="spellStart"/>
      <w:r w:rsidRPr="00531789">
        <w:rPr>
          <w:rFonts w:ascii="Cambria" w:hAnsi="Cambria" w:cs="Courier New"/>
        </w:rPr>
        <w:t>source:sink</w:t>
      </w:r>
      <w:proofErr w:type="spellEnd"/>
      <w:r w:rsidRPr="00531789">
        <w:rPr>
          <w:rFonts w:ascii="Cambria" w:hAnsi="Cambria" w:cs="Courier New"/>
        </w:rPr>
        <w:t xml:space="preserve"> balance provide insights into the relative contributions of source and sink processes to growth rate, and may be achieved through a variety of techniques including: sink removal </w:t>
      </w:r>
      <w:r w:rsidRPr="00531789">
        <w:rPr>
          <w:rFonts w:ascii="Cambria" w:hAnsi="Cambria" w:cs="Courier New"/>
        </w:rPr>
        <w:fldChar w:fldCharType="begin" w:fldLock="1"/>
      </w:r>
      <w:r w:rsidRPr="00531789">
        <w:rPr>
          <w:rFonts w:ascii="Cambria" w:hAnsi="Cambria" w:cs="Courier New"/>
        </w:rPr>
        <w:instrText>ADDIN CSL_CITATION { "citationItems" : [ { "id" : "ITEM-1", "itemData" : { "author" : [ { "dropping-particle" : "", "family" : "Arp", "given" : "W J", "non-dropping-particle" : "", "parse-names" : false, "suffix" : "" } ], "container-title" : "Plant, Cell &amp; Environment", "id" : "ITEM-1", "issued" : { "date-parts" : [ [ "1991" ] ] }, "page" : "869-875", "title" : "Effects of source-sink relations on photosynthetic acclimation to elevated CO2", "type" : "article-journal", "volume" : "14" }, "uris" : [ "http://www.mendeley.com/documents/?uuid=bb80a4ae-185e-48b5-858d-08efd177107a" ] } ], "mendeley" : { "formattedCitation" : "(Arp, 1991)", "plainTextFormattedCitation" : "(Arp, 1991)", "previouslyFormattedCitation" : "(Arp, 1991)" }, "properties" : { "noteIndex" : 0 }, "schema" : "https://github.com/citation-style-language/schema/raw/master/csl-citation.json" }</w:instrText>
      </w:r>
      <w:r w:rsidRPr="00531789">
        <w:rPr>
          <w:rFonts w:ascii="Cambria" w:hAnsi="Cambria" w:cs="Courier New"/>
        </w:rPr>
        <w:fldChar w:fldCharType="separate"/>
      </w:r>
      <w:r w:rsidRPr="00531789">
        <w:rPr>
          <w:rFonts w:ascii="Cambria" w:hAnsi="Cambria" w:cs="Courier New"/>
          <w:noProof/>
        </w:rPr>
        <w:t>(Arp, 1991)</w:t>
      </w:r>
      <w:r w:rsidRPr="00531789">
        <w:rPr>
          <w:rFonts w:ascii="Cambria" w:hAnsi="Cambria" w:cs="Courier New"/>
        </w:rPr>
        <w:fldChar w:fldCharType="end"/>
      </w:r>
      <w:r w:rsidRPr="00531789">
        <w:rPr>
          <w:rFonts w:ascii="Cambria" w:hAnsi="Cambria" w:cs="Courier New"/>
        </w:rPr>
        <w:t xml:space="preserve">; genetic modification </w:t>
      </w:r>
      <w:r w:rsidRPr="00531789">
        <w:rPr>
          <w:rFonts w:ascii="Cambria" w:hAnsi="Cambria" w:cs="Courier New"/>
        </w:rPr>
        <w:fldChar w:fldCharType="begin" w:fldLock="1"/>
      </w:r>
      <w:r>
        <w:rPr>
          <w:rFonts w:ascii="Cambria" w:hAnsi="Cambria" w:cs="Courier New"/>
        </w:rPr>
        <w:instrText>ADDIN CSL_CITATION { "citationItems" : [ { "id" : "ITEM-1", "itemData" : { "DOI" : "10.1111/j.1399-3054.2011.01495.x", "ISSN" : "1399-3054", "PMID" : "21679192", "abstract" : "To investigate whether the route from sucrose to starch limits sink strength of potato tubers, we established an additional storage carbohydrate pool and analyzed allocation of imported assimilates to the different pools. Tuber specific expression of the fructan biosynthetic enzymes of globe artichoke resulted in accumulation of fructans to about 5% of the starch level, but did not increase tuber dry weight per plant. While partial repression of starch synthesis caused yield reduction in wild-type plants, it stimulated fructan accumulation, and yield losses were ameliorated in tubers expressing fructosyltransferases. However, a nearly complete block of the starch pathway by inhibition of sucrose synthase could not be compensated by the fructan pathway. Although fructan concentrations rose, yield reduction was even enhanced, probably because of a futile cycle of fructan synthesis and degradation by invertase, which is induced when sucrose synthase is knocked out. The data do not support a limitation of sink strength by enzyme activities of the starch pathway but point to an energy limitation of storage carbohydrate formation in potato tubers.", "author" : [ { "dropping-particle" : "", "family" : "Zuther", "given" : "Ellen", "non-dropping-particle" : "", "parse-names" : false, "suffix" : "" }, { "dropping-particle" : "", "family" : "Hoermiller", "given" : "Imke I", "non-dropping-particle" : "", "parse-names" : false, "suffix" : "" }, { "dropping-particle" : "", "family" : "Heyer", "given" : "Arnd G", "non-dropping-particle" : "", "parse-names" : false, "suffix" : "" } ], "container-title" : "Physiologia Plantarum", "id" : "ITEM-1", "issue" : "2", "issued" : { "date-parts" : [ [ "2011", "10" ] ] }, "page" : "115-25", "title" : "Evidence against sink limitation by the sucrose-to-starch route in potato plants expressing fructosyltransferases.", "type" : "article-journal", "volume" : "143" }, "uris" : [ "http://www.mendeley.com/documents/?uuid=409c5986-2364-4e1e-8830-5458196a73a3" ] }, { "id" : "ITEM-2", "itemData" : { "DOI" : "10.1104/pp.109.150854", "ISSN" : "1532-2548", "PMID" : "20018590", "abstract" : "Increasing grain sink strength by improving assimilate uptake capacity could be a promising approach toward getting higher yield. The barley (Hordeum vulgare) sucrose transporter HvSUT1 (SUT) was expressed under control of the endosperm-specific Hordein B1 promoter (HO). Compared with the wild type, transgenic HOSUT grains take up more sucrose (Suc) in vitro, showing that the transgene is functional. Grain Suc levels are not altered, indicating that Suc fluxes are influenced rather than steady-state levels. HOSUT grains have increased percentages of total nitrogen and prolamins, which is reflected in increased levels of phenylalanine, tyrosine, tryptophan, isoleucine, and leucine at late grain development. Transcript profiling indicates specific stimulation of prolamin gene expression at the onset of storage phase. Changes in gene expression and metabolite levels related to carbon metabolism and amino acid biosynthesis suggest deregulated carbon-nitrogen balance, which together indicate carbon sufficiency and relative depletion of nitrogen. Genes, deregulated together with prolamin genes, might represent candidates, which respond positively to assimilate supply and are related to sugar-starch metabolism, cytokinin and brassinosteroid functions, cell proliferation, and sugar/abscisic acid signaling. Genes showing inverse expression patterns represent potential negative regulators. It is concluded that HvSUT1 overexpression increases grain protein content but also deregulates the metabolic status of wheat (Triticum aestivum) grains, accompanied by up-regulated gene expression of positive and negative regulators related to sugar signaling and assimilate supply. In HOSUT grains, alternating stimulation of positive and negative regulators causes oscillatory patterns of gene expression and highlights the capacity and great flexibility to adjust wheat grain storage metabolism in response to metabolic alterations.", "author" : [ { "dropping-particle" : "", "family" : "Weichert", "given" : "Nicola", "non-dropping-particle" : "", "parse-names" : false, "suffix" : "" }, { "dropping-particle" : "", "family" : "Saalbach", "given" : "Isolde", "non-dropping-particle" : "", "parse-names" : false, "suffix" : "" }, { "dropping-particle" : "", "family" : "Weichert", "given" : "Heiko", "non-dropping-particle" : "", "parse-names" : false, "suffix" : "" }, { "dropping-particle" : "", "family" : "Kohl", "given" : "Stefan", "non-dropping-particle" : "", "parse-names" : false, "suffix" : "" }, { "dropping-particle" : "", "family" : "Erban", "given" : "Alexander", "non-dropping-particle" : "", "parse-names" : false, "suffix" : "" }, { "dropping-particle" : "", "family" : "Kopka", "given" : "Joachim", "non-dropping-particle" : "", "parse-names" : false, "suffix" : "" }, { "dropping-particle" : "", "family" : "Hause", "given" : "Bettina", "non-dropping-particle" : "", "parse-names" : false, "suffix" : "" }, { "dropping-particle" : "", "family" : "Varshney", "given" : "Alok", "non-dropping-particle" : "", "parse-names" : false, "suffix" : "" }, { "dropping-particle" : "", "family" : "Sreenivasulu", "given" : "Nese", "non-dropping-particle" : "", "parse-names" : false, "suffix" : "" }, { "dropping-particle" : "", "family" : "Strickert", "given" : "Marc", "non-dropping-particle" : "", "parse-names" : false, "suffix" : "" }, { "dropping-particle" : "", "family" : "Kumlehn", "given" : "Jochen", "non-dropping-particle" : "", "parse-names" : false, "suffix" : "" }, { "dropping-particle" : "", "family" : "Weschke", "given" : "Winfriede", "non-dropping-particle" : "", "parse-names" : false, "suffix" : "" }, { "dropping-particle" : "", "family" : "Weber", "given" : "Hans", "non-dropping-particle" : "", "parse-names" : false, "suffix" : "" } ], "container-title" : "Plant Physiology", "id" : "ITEM-2", "issue" : "2", "issued" : { "date-parts" : [ [ "2010", "2" ] ] }, "page" : "698-710", "title" : "Increasing sucrose uptake capacity of wheat grains stimulates storage protein synthesis.", "type" : "article-journal", "volume" : "152" }, "uris" : [ "http://www.mendeley.com/documents/?uuid=262e0da9-5b42-4bd6-a5ff-3139d8f974ea" ] }, { "id" : "ITEM-3", "itemData" : { "DOI" : "10.1016/j.agrformet.2003.09.002", "ISSN" : "01681923", "author" : [ { "dropping-particle" : "", "family" : "Ainsworth", "given" : "Elizabeth A", "non-dropping-particle" : "", "parse-names" : false, "suffix" : "" }, { "dropping-particle" : "", "family" : "Rogers", "given" : "Alistair", "non-dropping-particle" : "", "parse-names" : false, "suffix" : "" }, { "dropping-particle" : "", "family" : "Nelson", "given" : "Randall", "non-dropping-particle" : "", "parse-names" : false, "suffix" : "" }, { "dropping-particle" : "", "family" : "Long", "given" : "Stephen P", "non-dropping-particle" : "", "parse-names" : false, "suffix" : "" } ], "container-title" : "Agricultural and Forest Meteorology", "id" : "ITEM-3", "issue" : "1-2", "issued" : { "date-parts" : [ [ "2004", "3" ] ] }, "page" : "85-94", "title" : "Testing the \u201csource\u2013sink\u201d hypothesis of down-regulation of photosynthesis in elevated [CO2] in the field with single gene substitutions in Glycine max", "type" : "article-journal", "volume" : "122" }, "uris" : [ "http://www.mendeley.com/documents/?uuid=212ed654-d1ec-47e4-9a05-b5a118151413" ] } ], "mendeley" : { "formattedCitation" : "(Ainsworth &lt;i&gt;et al.&lt;/i&gt;, 2004; Weichert &lt;i&gt;et al.&lt;/i&gt;, 2010; Zuther &lt;i&gt;et al.&lt;/i&gt;, 2011)", "plainTextFormattedCitation" : "(Ainsworth et al., 2004; Weichert et al., 2010; Zuther et al., 2011)", "previouslyFormattedCitation" : "(Ainsworth &lt;i&gt;et al.&lt;/i&gt;, 2004; Weichert &lt;i&gt;et al.&lt;/i&gt;, 2010; Zuther &lt;i&gt;et al.&lt;/i&gt;, 2011)" }, "properties" : { "noteIndex" : 0 }, "schema" : "https://github.com/citation-style-language/schema/raw/master/csl-citation.json" }</w:instrText>
      </w:r>
      <w:r w:rsidRPr="00531789">
        <w:rPr>
          <w:rFonts w:ascii="Cambria" w:hAnsi="Cambria" w:cs="Courier New"/>
        </w:rPr>
        <w:fldChar w:fldCharType="separate"/>
      </w:r>
      <w:r w:rsidRPr="002C5907">
        <w:rPr>
          <w:rFonts w:ascii="Cambria" w:hAnsi="Cambria" w:cs="Courier New"/>
          <w:noProof/>
        </w:rPr>
        <w:t xml:space="preserve">(Ainsworth </w:t>
      </w:r>
      <w:r w:rsidRPr="002C5907">
        <w:rPr>
          <w:rFonts w:ascii="Cambria" w:hAnsi="Cambria" w:cs="Courier New"/>
          <w:i/>
          <w:noProof/>
        </w:rPr>
        <w:t>et al.</w:t>
      </w:r>
      <w:r w:rsidRPr="002C5907">
        <w:rPr>
          <w:rFonts w:ascii="Cambria" w:hAnsi="Cambria" w:cs="Courier New"/>
          <w:noProof/>
        </w:rPr>
        <w:t xml:space="preserve">, 2004; Weichert </w:t>
      </w:r>
      <w:r w:rsidRPr="002C5907">
        <w:rPr>
          <w:rFonts w:ascii="Cambria" w:hAnsi="Cambria" w:cs="Courier New"/>
          <w:i/>
          <w:noProof/>
        </w:rPr>
        <w:t>et al.</w:t>
      </w:r>
      <w:r w:rsidRPr="002C5907">
        <w:rPr>
          <w:rFonts w:ascii="Cambria" w:hAnsi="Cambria" w:cs="Courier New"/>
          <w:noProof/>
        </w:rPr>
        <w:t xml:space="preserve">, 2010; Zuther </w:t>
      </w:r>
      <w:r w:rsidRPr="002C5907">
        <w:rPr>
          <w:rFonts w:ascii="Cambria" w:hAnsi="Cambria" w:cs="Courier New"/>
          <w:i/>
          <w:noProof/>
        </w:rPr>
        <w:t>et al.</w:t>
      </w:r>
      <w:r w:rsidRPr="002C5907">
        <w:rPr>
          <w:rFonts w:ascii="Cambria" w:hAnsi="Cambria" w:cs="Courier New"/>
          <w:noProof/>
        </w:rPr>
        <w:t>, 2011)</w:t>
      </w:r>
      <w:r w:rsidRPr="00531789">
        <w:rPr>
          <w:rFonts w:ascii="Cambria" w:hAnsi="Cambria" w:cs="Courier New"/>
        </w:rPr>
        <w:fldChar w:fldCharType="end"/>
      </w:r>
      <w:r w:rsidRPr="00531789">
        <w:rPr>
          <w:rFonts w:ascii="Cambria" w:hAnsi="Cambria" w:cs="Courier New"/>
        </w:rPr>
        <w:t xml:space="preserve">; source removal </w:t>
      </w:r>
      <w:r w:rsidRPr="00531789">
        <w:rPr>
          <w:rFonts w:ascii="Cambria" w:hAnsi="Cambria" w:cs="Courier New"/>
        </w:rPr>
        <w:fldChar w:fldCharType="begin" w:fldLock="1"/>
      </w:r>
      <w:r w:rsidR="00906E41">
        <w:rPr>
          <w:rFonts w:ascii="Cambria" w:hAnsi="Cambria" w:cs="Courier New"/>
        </w:rPr>
        <w:instrText>ADDIN CSL_CITATION { "citationItems" : [ { "id" : "ITEM-1", "itemData" : { "DOI" : "10.1093/jxb/ert017", "ISSN" : "1460-2431", "PMID" : "23382548", "abstract" : "Increases in photosynthetic capacity (A(1500)) after defoliation have been attributed to changes in leaf-level biochemistry, water, and/or nutrient status. The hypothesis that transient photosynthetic responses to partial defoliation are regulated by whole-plant (e.g. source-sink relationships or changes in hydraulic conductance) rather than leaf-level mechanisms is tested here. Temporal variation in leaf-level gas exchange, chemistry, whole-plant soil-to-leaf hydraulic conductance (K(P)), and aboveground biomass partitioning were determined to evaluate mechanisms responsible for increases in A(1500) of Eucalyptus globulus L. potted saplings. A(1500) increased in response to debudding (B), partial defoliation (D), and combined B&amp;D treatments by up to 36% at 5 weeks after treatment. Changes in leaf-level factors partly explained increases in A(1500) of B and B&amp;D treatments but not for D treatment. By week 5, saplings in B, B&amp;D, and D treatments had similar leaf-specific K(P) to control trees by maintaining lower midday water potentials and higher transpiration rate per leaf area. Whole-plant source:sink ratios correlated strongly with A(1500). Further, unlike K(P), temporal changes in source:sink ratios tracked well with those observed for A(1500). The results indicate that increases in A(1500) after partial defoliation treatments were largely driven by an increased demand for assimilate by developing sinks rather than improvements in whole-plant water relations and changes in leaf-level factors. Three carbohydrates, galactional, stachyose, and, to a lesser extent, raffinose, correlated strongly with photosynthetic capacity, indicating that these sugars may function as signalling molecules in the regulation of longer term defoliation-induced gas exchange responses.", "author" : [ { "dropping-particle" : "", "family" : "Eyles", "given" : "Alieta", "non-dropping-particle" : "", "parse-names" : false, "suffix" : "" }, { "dropping-particle" : "", "family" : "Pinkard", "given" : "Elizabeth A", "non-dropping-particle" : "", "parse-names" : false, "suffix" : "" }, { "dropping-particle" : "", "family" : "Davies", "given" : "Noel W", "non-dropping-particle" : "", "parse-names" : false, "suffix" : "" }, { "dropping-particle" : "", "family" : "Corkrey", "given" : "Ross", "non-dropping-particle" : "", "parse-names" : false, "suffix" : "" }, { "dropping-particle" : "", "family" : "Churchill", "given" : "Keith", "non-dropping-particle" : "", "parse-names" : false, "suffix" : "" }, { "dropping-particle" : "", "family" : "O'Grady", "given" : "Anthony P", "non-dropping-particle" : "", "parse-names" : false, "suffix" : "" }, { "dropping-particle" : "", "family" : "Sands", "given" : "Peter", "non-dropping-particle" : "", "parse-names" : false, "suffix" : "" }, { "dropping-particle" : "", "family" : "Mohammed", "given" : "Caroline", "non-dropping-particle" : "", "parse-names" : false, "suffix" : "" } ], "container-title" : "Journal of Experimental Botany", "id" : "ITEM-1", "issued" : { "date-parts" : [ [ "2013", "2", "4" ] ] }, "page" : "1625-1636", "title" : "Whole-plant- versus leaf-level regulation of photosynthetic responses after partial defoliation in Eucalyptus globulus saplings.", "type" : "article-journal", "volume" : "64" }, "uris" : [ "http://www.mendeley.com/documents/?uuid=c367c331-f858-4290-ab87-b9fecd3dac04" ] }, { "id" : "ITEM-2", "itemData" : { "DOI" : "10.1046/j.1365-3040.1998.00265.x", "ISSN" : "0140-7791", "abstract" : "Artificial chalk grassland swards were exposed to either ambient air or air enriched to 600 mol mol\u20131 CO2, using free-airCO2 enrichment technology, and subjected to an 8 week simulated grazing regime. After 14 months of treatment, ribulose-1,5-bisphosphate carboxylase (Rubisco) activity (Vc,max) and electron transport mediated ribulose- 1,5-bisphosphate (RuBP) regeneration capacity (Jmax), estimated from leaf gas exchange, were significantly lower in fully expanded leaves of Anthyllis vulneraria L. (a legume) and Sanguisorba minor Scop. grown in elevated CO2. After a change in source:sink balance brought about by defoliation, photosynthetic capacity was fully restored in A. vulneraria and S. minor, but acclimation continued in the grass Bromopsis erecta (Hudson) Fourr. Changes in net photosynthesis (Pn) with growth at elevated CO2 ranged from a 1\u00b76% reduction in precut leaves of A. vulneraria to a 47\u00b71% stimulation in postcut leaves of S. minor. Stomatal acclimation was observed in leaves of A. vulneraria (reduced stomatal density) and B. erecta (reduced stomatal conductance). The results are discussed in terms of whole-plant resource-use optimization and chalk grass- land community competitive interactions at elevated CO2.", "author" : [ { "dropping-particle" : "", "family" : "Bryant", "given" : "J.", "non-dropping-particle" : "", "parse-names" : false, "suffix" : "" }, { "dropping-particle" : "", "family" : "Taylor", "given" : "G.", "non-dropping-particle" : "", "parse-names" : false, "suffix" : "" }, { "dropping-particle" : "", "family" : "Frehner", "given" : "M.", "non-dropping-particle" : "", "parse-names" : false, "suffix" : "" } ], "container-title" : "Plant, Cell &amp; Environment", "id" : "ITEM-2", "issue" : "2", "issued" : { "date-parts" : [ [ "1998", "2" ] ] }, "page" : "159-168", "title" : "Photosynthetic acclimation to elevated CO2 is modified by source:sink balance in three component species of chalk grassland swards grown in a free air carbon dioxide enrichment (FACE) experiment", "type" : "article-journal", "volume" : "21" }, "uris" : [ "http://www.mendeley.com/documents/?uuid=08d06e6f-6558-4bdd-9350-c1b56acb361c" ] }, { "id" : "ITEM-3", "itemData" : { "ISSN" : "1532-2548", "PMID" : "9765554", "abstract" : "Acclimation of photosynthesis to elevated CO2 has previously been shown to be more pronounced when N supply is poor. Is this a direct effect of N or an indirect effect of N by limiting the development of sinks for photoassimilate? This question was tested by growing a perennial ryegrass (Lolium perenne) in the field under elevated (60 Pa) and current (36 Pa) partial pressures of CO2 (pCO2) at low and high levels of N fertilization. Cutting of this herbage crop at 4- to 8-week intervals removed about 80% of the canopy, therefore decreasing the ratio of photosynthetic area to sinks for photoassimilate. Leaf photosynthesis, in vivo carboxylation capacity, carbohydrate, N, ribulose-1,5-bisphosphate carboxylase/oxygenase, sedoheptulose-1,7-bisphosphatase, and chloroplastic fructose-1, 6-bisphosphatase levels were determined for mature lamina during two consecutive summers. Just before the cut, when the canopy was relatively large, growth at elevated pCO2 and low N resulted in significant decreases in carboxylation capacity and the amount of ribulose-1,5-bisphosphate carboxylase/oxygenase protein. In high N there were no significant decreases in carboxylation capacity or proteins, but chloroplastic fructose-1,6-bisphosphatase protein levels increased significantly. Elevated pCO2 resulted in a marked and significant increase in leaf carbohydrate content at low N, but had no effect at high N. This acclimation at low N was absent after the harvest, when the canopy size was small. These results suggest that acclimation under low N is caused by limitation of sink development rather than being a direct effect of N supply on photosynthesis.", "author" : [ { "dropping-particle" : "", "family" : "Rogers", "given" : "A", "non-dropping-particle" : "", "parse-names" : false, "suffix" : "" }, { "dropping-particle" : "", "family" : "Fischer", "given" : "BU", "non-dropping-particle" : "", "parse-names" : false, "suffix" : "" }, { "dropping-particle" : "", "family" : "Bryant", "given" : "J", "non-dropping-particle" : "", "parse-names" : false, "suffix" : "" }, { "dropping-particle" : "", "family" : "Frehner", "given" : "M", "non-dropping-particle" : "", "parse-names" : false, "suffix" : "" }, { "dropping-particle" : "", "family" : "Blum", "given" : "H", "non-dropping-particle" : "", "parse-names" : false, "suffix" : "" }, { "dropping-particle" : "", "family" : "Raines", "given" : "CA", "non-dropping-particle" : "", "parse-names" : false, "suffix" : "" }, { "dropping-particle" : "", "family" : "Long", "given" : "SP", "non-dropping-particle" : "", "parse-names" : false, "suffix" : "" } ], "container-title" : "Plant Physiology", "id" : "ITEM-3", "issue" : "2", "issued" : { "date-parts" : [ [ "1998", "10" ] ] }, "page" : "683-9", "title" : "Acclimation of photosynthesis to elevated CO2 under low-nitrogen nutrition is affected by the capacity for assimilate utilization. Perennial ryegrass under free-air CO2 enrichment", "type" : "article-journal", "volume" : "118" }, "uris" : [ "http://www.mendeley.com/documents/?uuid=cbd02c05-1a1f-4c95-812f-93fcf1df820a" ] }, { "id" : "ITEM-4", "itemData" : { "abstract" : "The response of CO2-assimilation rate to the intercellular partial pressure of CO 2 (p(CO2)) is used to analyse the effects of various growth treatments on the photosynthetic charac- teristics of P. vulgaris. Partial defoliation caused an increase in CO2-assimilation rate at all intercel- lular p(CO2). A change in the light regime for growth from high to low light levels caused a de- crease of CO2-assimilation rate at all intercellular p(CO2). Growth in a CO2-enriched atmosphere re- sulted in lowered assimilation rates compared with controls at comparable intercellular p(CO2). Short-term water stress initially caused only a de- cline in the CO2-assimilation rate at high intercel- lular p(CO2) , but not at low intercellular p(CO2). Except under severe water stress, changes in the initial slope of the response of CO2-assimilation rate to intercellular p(CO2) were in parallel to those of the in-vitro activity of ribulose-l,5-bis- phosphate (RuBP) carboxylase. From the results, we infer that partial defoliation, changes in the light regime for growth, and growth in a CO 2- enriched atmosphere cause parallel changes in RuBP-carboxylase (EC 4.1.1.39) activity and the \"capacity for RuBP regeneration\", whereas short- term water stress initially causes only a decline in the RuBP-regeneration capacity.", "author" : [ { "dropping-particle" : "", "family" : "Caemmerer", "given" : "S", "non-dropping-particle" : "von", "parse-names" : false, "suffix" : "" }, { "dropping-particle" : "", "family" : "Farquhar", "given" : "G D", "non-dropping-particle" : "", "parse-names" : false, "suffix" : "" } ], "container-title" : "Planta", "id" : "ITEM-4", "issued" : { "date-parts" : [ [ "1984" ] ] }, "page" : "320-329", "title" : "Effects of partial defoliation, changes of irradiance during growth, short-term water stress and growth at enhanced p(CO2) on the photosynthetic capacity of leaves of Phaseolus vulgaris L.", "type" : "article-journal", "volume" : "160" }, "uris" : [ "http://www.mendeley.com/documents/?uuid=977f1aec-7e33-4bd4-aa58-97cfe55b97b2" ] } ], "mendeley" : { "formattedCitation" : "(von Caemmerer and Farquhar, 1984; Bryant &lt;i&gt;et al.&lt;/i&gt;, 1998; Rogers &lt;i&gt;et al.&lt;/i&gt;, 1998; Eyles &lt;i&gt;et al.&lt;/i&gt;, 2013&lt;i&gt;b&lt;/i&gt;)", "manualFormatting" : "(von Caemmerer and Farquhar, 1984; Bryant et al., 1998; Rogers et al., 1998; Eyles et al., 2013)", "plainTextFormattedCitation" : "(von Caemmerer and Farquhar, 1984; Bryant et al., 1998; Rogers et al., 1998; Eyles et al., 2013b)", "previouslyFormattedCitation" : "(von Caemmerer and Farquhar, 1984; Bryant &lt;i&gt;et al.&lt;/i&gt;, 1998; Rogers &lt;i&gt;et al.&lt;/i&gt;, 1998; Eyles &lt;i&gt;et al.&lt;/i&gt;, 2013&lt;i&gt;b&lt;/i&gt;)" }, "properties" : { "noteIndex" : 0 }, "schema" : "https://github.com/citation-style-language/schema/raw/master/csl-citation.json" }</w:instrText>
      </w:r>
      <w:r w:rsidRPr="00531789">
        <w:rPr>
          <w:rFonts w:ascii="Cambria" w:hAnsi="Cambria" w:cs="Courier New"/>
        </w:rPr>
        <w:fldChar w:fldCharType="separate"/>
      </w:r>
      <w:r w:rsidRPr="00531789">
        <w:rPr>
          <w:rFonts w:ascii="Cambria" w:hAnsi="Cambria" w:cs="Courier New"/>
          <w:noProof/>
        </w:rPr>
        <w:t>(von Caemmerer and Farquhar, 1984; Bryant et al., 1998; Rogers et al., 1998; Eyles et al., 2013)</w:t>
      </w:r>
      <w:r w:rsidRPr="00531789">
        <w:rPr>
          <w:rFonts w:ascii="Cambria" w:hAnsi="Cambria" w:cs="Courier New"/>
        </w:rPr>
        <w:fldChar w:fldCharType="end"/>
      </w:r>
      <w:r w:rsidRPr="00531789">
        <w:rPr>
          <w:rFonts w:ascii="Cambria" w:hAnsi="Cambria" w:cs="Courier New"/>
        </w:rPr>
        <w:t xml:space="preserve">; inhibiting resource export from the source </w:t>
      </w:r>
      <w:r w:rsidRPr="00531789">
        <w:rPr>
          <w:rFonts w:ascii="Cambria" w:hAnsi="Cambria" w:cs="Courier New"/>
        </w:rPr>
        <w:fldChar w:fldCharType="begin" w:fldLock="1"/>
      </w:r>
      <w:r w:rsidRPr="00531789">
        <w:rPr>
          <w:rFonts w:ascii="Cambria" w:hAnsi="Cambria" w:cs="Courier New"/>
        </w:rPr>
        <w:instrText>ADDIN CSL_CITATION { "citationItems" : [ { "id" : "ITEM-1", "itemData" : { "DOI" : "10.1104/pp.110.167684", "ISSN" : "1532-2548", "PMID" : "20971857", "author" : [ { "dropping-particle" : "", "family" : "Ainsworth", "given" : "Elizabeth A", "non-dropping-particle" : "", "parse-names" : false, "suffix" : "" }, { "dropping-particle" : "", "family" : "Bush", "given" : "Daniel R", "non-dropping-particle" : "", "parse-names" : false, "suffix" : "" } ], "container-title" : "Plant Physiology", "id" : "ITEM-1", "issue" : "1", "issued" : { "date-parts" : [ [ "2011", "1" ] ] }, "page" : "64-9", "title" : "Carbohydrate export from the leaf: a highly regulated process and target to enhance photosynthesis and productivity.", "type" : "article-journal", "volume" : "155" }, "uris" : [ "http://www.mendeley.com/documents/?uuid=1e757ecd-3097-4ea6-9928-73835421a18c" ] } ], "mendeley" : { "formattedCitation" : "(Ainsworth and Bush, 2011)", "plainTextFormattedCitation" : "(Ainsworth and Bush, 2011)", "previouslyFormattedCitation" : "(Ainsworth and Bush, 2011)" }, "properties" : { "noteIndex" : 0 }, "schema" : "https://github.com/citation-style-language/schema/raw/master/csl-citation.json" }</w:instrText>
      </w:r>
      <w:r w:rsidRPr="00531789">
        <w:rPr>
          <w:rFonts w:ascii="Cambria" w:hAnsi="Cambria" w:cs="Courier New"/>
        </w:rPr>
        <w:fldChar w:fldCharType="separate"/>
      </w:r>
      <w:r w:rsidRPr="00531789">
        <w:rPr>
          <w:rFonts w:ascii="Cambria" w:hAnsi="Cambria" w:cs="Courier New"/>
          <w:noProof/>
        </w:rPr>
        <w:t>(Ainsworth and Bush, 2011)</w:t>
      </w:r>
      <w:r w:rsidRPr="00531789">
        <w:rPr>
          <w:rFonts w:ascii="Cambria" w:hAnsi="Cambria" w:cs="Courier New"/>
        </w:rPr>
        <w:fldChar w:fldCharType="end"/>
      </w:r>
      <w:r w:rsidRPr="00531789">
        <w:rPr>
          <w:rFonts w:ascii="Cambria" w:hAnsi="Cambria" w:cs="Courier New"/>
        </w:rPr>
        <w:t>; and increasing source activity using elevated CO</w:t>
      </w:r>
      <w:r w:rsidRPr="00531789">
        <w:rPr>
          <w:rFonts w:ascii="Cambria" w:hAnsi="Cambria" w:cs="Courier New"/>
          <w:vertAlign w:val="subscript"/>
        </w:rPr>
        <w:t>2</w:t>
      </w:r>
      <w:r w:rsidRPr="00531789">
        <w:rPr>
          <w:rFonts w:ascii="Cambria" w:hAnsi="Cambria" w:cs="Courier New"/>
        </w:rPr>
        <w:t xml:space="preserve"> </w:t>
      </w:r>
      <w:r w:rsidRPr="00531789">
        <w:rPr>
          <w:rFonts w:ascii="Cambria" w:hAnsi="Cambria" w:cs="Courier New"/>
        </w:rPr>
        <w:fldChar w:fldCharType="begin" w:fldLock="1"/>
      </w:r>
      <w:r>
        <w:rPr>
          <w:rFonts w:ascii="Cambria" w:hAnsi="Cambria" w:cs="Courier New"/>
        </w:rPr>
        <w:instrText>ADDIN CSL_CITATION { "citationItems" : [ { "id" : "ITEM-1", "itemData" : { "DOI" : "10.1046/j.1365-3040.1997.d01-21.x", "ISSN" : "0140-7791", "author" : [ { "dropping-particle" : "", "family" : "Kinsman", "given" : "E. A.", "non-dropping-particle" : "", "parse-names" : false, "suffix" : "" }, { "dropping-particle" : "", "family" : "Lewis", "given" : "C.", "non-dropping-particle" : "", "parse-names" : false, "suffix" : "" }, { "dropping-particle" : "", "family" : "Davies", "given" : "M. S.", "non-dropping-particle" : "", "parse-names" : false, "suffix" : "" }, { "dropping-particle" : "", "family" : "Young", "given" : "J. E.", "non-dropping-particle" : "", "parse-names" : false, "suffix" : "" }, { "dropping-particle" : "", "family" : "Francis", "given" : "D.", "non-dropping-particle" : "", "parse-names" : false, "suffix" : "" }, { "dropping-particle" : "", "family" : "Vilhar", "given" : "B.", "non-dropping-particle" : "", "parse-names" : false, "suffix" : "" }, { "dropping-particle" : "", "family" : "Ougham", "given" : "H.J.", "non-dropping-particle" : "", "parse-names" : false, "suffix" : "" } ], "container-title" : "Plant, Cell &amp; Environment", "id" : "ITEM-1", "issue" : "10", "issued" : { "date-parts" : [ [ "1997", "10" ] ] }, "page" : "1309-1316", "title" : "Elevated CO2 stimulates cells to divide in grass meristems: a differential effect in two natural populations of Dactylis glomerata", "type" : "article-journal", "volume" : "20" }, "uris" : [ "http://www.mendeley.com/documents/?uuid=a6db634d-23db-4625-8ef0-1633c08c4961" ] }, { "id" : "ITEM-2", "itemData" : { "ISSN" : "0032-0889", "PMID" : "10759536", "abstract" : "This study demonstrates that elevated [CO(2)] has profound effects on cell division and expansion in developing wheat (Triticum aestivum L.) leaves and on the quantitative integration of these processes in whole-leaf growth kinetics, anatomy, and carbon content. The expression of these effects, however, is modified by intrinsic factors related to genetic makeup and leaf position, and also by exposure to low vernalizing temperatures at germination. Beyond these interactions, leaf developmental responses to elevated [CO(2)] in wheat share several remarkable features that were conserved across all leaves examined. Most significantly: (a) the contribution of [CO(2)] effects on meristem size and activity in driving differences in whole-blade growth kinetics and final dimensions; (b) an anisotropy in cellular growth responses to elevated [CO(2)], with final cell length and expansion in the paradermal plane being highly conserved, even when the rates and duration of cell elongation were modified, while cell cross-sectional areas were increased; (c) tissue-specific effects of elevated [CO(2)], with significant modifications of mesophyll anatomy, including an increased extension of intercellular air spaces and the formation of, on average, one extra cell layer, while epidermal anatomy was mostly unaltered. Our results indicate complex developmental regulations of sugar effects in expanding leaves that are subjected to genetic variation and influenced by environmental cues important in the promotion of floral initiation. They also provide insights into apparently contradictory and inconsistent conclusions of published CO(2) enrichment studies in wheat.", "author" : [ { "dropping-particle" : "", "family" : "Masle", "given" : "J", "non-dropping-particle" : "", "parse-names" : false, "suffix" : "" } ], "container-title" : "Plant Physiology", "id" : "ITEM-2", "issue" : "4", "issued" : { "date-parts" : [ [ "2000", "4" ] ] }, "page" : "1399-415", "title" : "The effects of elevated CO2 concentrations on cell division rates, growth patterns, and blade anatomy in young wheat plants are modulated by factors related to leaf position, vernalization, and genotype.", "type" : "article-journal", "volume" : "122" }, "uris" : [ "http://www.mendeley.com/documents/?uuid=f4b87b7f-8e83-4245-a692-33081698588e" ] } ], "mendeley" : { "formattedCitation" : "(Kinsman &lt;i&gt;et al.&lt;/i&gt;, 1997; Masle, 2000)", "plainTextFormattedCitation" : "(Kinsman et al., 1997; Masle, 2000)", "previouslyFormattedCitation" : "(Kinsman &lt;i&gt;et al.&lt;/i&gt;, 1997; Masle, 2000)" }, "properties" : { "noteIndex" : 0 }, "schema" : "https://github.com/citation-style-language/schema/raw/master/csl-citation.json" }</w:instrText>
      </w:r>
      <w:r w:rsidRPr="00531789">
        <w:rPr>
          <w:rFonts w:ascii="Cambria" w:hAnsi="Cambria" w:cs="Courier New"/>
        </w:rPr>
        <w:fldChar w:fldCharType="separate"/>
      </w:r>
      <w:r w:rsidRPr="002C5907">
        <w:rPr>
          <w:rFonts w:ascii="Cambria" w:hAnsi="Cambria" w:cs="Courier New"/>
          <w:noProof/>
        </w:rPr>
        <w:t xml:space="preserve">(Kinsman </w:t>
      </w:r>
      <w:r w:rsidRPr="002C5907">
        <w:rPr>
          <w:rFonts w:ascii="Cambria" w:hAnsi="Cambria" w:cs="Courier New"/>
          <w:i/>
          <w:noProof/>
        </w:rPr>
        <w:t>et al.</w:t>
      </w:r>
      <w:r w:rsidRPr="002C5907">
        <w:rPr>
          <w:rFonts w:ascii="Cambria" w:hAnsi="Cambria" w:cs="Courier New"/>
          <w:noProof/>
        </w:rPr>
        <w:t>, 1997; Masle, 2000)</w:t>
      </w:r>
      <w:r w:rsidRPr="00531789">
        <w:rPr>
          <w:rFonts w:ascii="Cambria" w:hAnsi="Cambria" w:cs="Courier New"/>
        </w:rPr>
        <w:fldChar w:fldCharType="end"/>
      </w:r>
      <w:r w:rsidRPr="00531789">
        <w:rPr>
          <w:rFonts w:ascii="Cambria" w:hAnsi="Cambria" w:cs="Courier New"/>
        </w:rPr>
        <w:t>.  Here, we alter the atmospheric CO</w:t>
      </w:r>
      <w:r w:rsidRPr="00531789">
        <w:rPr>
          <w:rFonts w:ascii="Cambria" w:hAnsi="Cambria" w:cs="Courier New"/>
          <w:vertAlign w:val="subscript"/>
        </w:rPr>
        <w:t>2</w:t>
      </w:r>
      <w:r w:rsidRPr="00531789">
        <w:rPr>
          <w:rFonts w:ascii="Cambria" w:hAnsi="Cambria" w:cs="Courier New"/>
        </w:rPr>
        <w:t xml:space="preserve"> concentration ([CO</w:t>
      </w:r>
      <w:r w:rsidRPr="00531789">
        <w:rPr>
          <w:rFonts w:ascii="Cambria" w:hAnsi="Cambria" w:cs="Courier New"/>
          <w:vertAlign w:val="subscript"/>
        </w:rPr>
        <w:t>2</w:t>
      </w:r>
      <w:r w:rsidRPr="00531789">
        <w:rPr>
          <w:rFonts w:ascii="Cambria" w:hAnsi="Cambria" w:cs="Courier New"/>
        </w:rPr>
        <w:t xml:space="preserve">]) to non-invasively manipulate the </w:t>
      </w:r>
      <w:proofErr w:type="spellStart"/>
      <w:r w:rsidRPr="00531789">
        <w:rPr>
          <w:rFonts w:ascii="Cambria" w:hAnsi="Cambria" w:cs="Courier New"/>
        </w:rPr>
        <w:t>source:sink</w:t>
      </w:r>
      <w:proofErr w:type="spellEnd"/>
      <w:r w:rsidRPr="00531789">
        <w:rPr>
          <w:rFonts w:ascii="Cambria" w:hAnsi="Cambria" w:cs="Courier New"/>
        </w:rPr>
        <w:t xml:space="preserve"> ratio in barley – elevated [CO</w:t>
      </w:r>
      <w:r w:rsidRPr="00531789">
        <w:rPr>
          <w:rFonts w:ascii="Cambria" w:hAnsi="Cambria" w:cs="Courier New"/>
          <w:vertAlign w:val="subscript"/>
        </w:rPr>
        <w:t>2</w:t>
      </w:r>
      <w:r w:rsidRPr="00531789">
        <w:rPr>
          <w:rFonts w:ascii="Cambria" w:hAnsi="Cambria" w:cs="Courier New"/>
        </w:rPr>
        <w:t>] to increase the source strength and sub-ambient [CO</w:t>
      </w:r>
      <w:r w:rsidRPr="00531789">
        <w:rPr>
          <w:rFonts w:ascii="Cambria" w:hAnsi="Cambria" w:cs="Courier New"/>
          <w:vertAlign w:val="subscript"/>
        </w:rPr>
        <w:t>2</w:t>
      </w:r>
      <w:r w:rsidRPr="00531789">
        <w:rPr>
          <w:rFonts w:ascii="Cambria" w:hAnsi="Cambria" w:cs="Courier New"/>
        </w:rPr>
        <w:t>] to decrease it – with current [CO</w:t>
      </w:r>
      <w:r w:rsidRPr="00531789">
        <w:rPr>
          <w:rFonts w:ascii="Cambria" w:hAnsi="Cambria" w:cs="Courier New"/>
          <w:vertAlign w:val="subscript"/>
        </w:rPr>
        <w:t>2</w:t>
      </w:r>
      <w:r w:rsidRPr="00531789">
        <w:rPr>
          <w:rFonts w:ascii="Cambria" w:hAnsi="Cambria" w:cs="Courier New"/>
        </w:rPr>
        <w:t xml:space="preserve">] </w:t>
      </w:r>
      <w:r>
        <w:rPr>
          <w:rFonts w:ascii="Cambria" w:hAnsi="Cambria" w:cs="Courier New"/>
        </w:rPr>
        <w:t xml:space="preserve">as </w:t>
      </w:r>
      <w:r w:rsidRPr="00531789">
        <w:rPr>
          <w:rFonts w:ascii="Cambria" w:hAnsi="Cambria" w:cs="Courier New"/>
        </w:rPr>
        <w:t>a reference against which to compare the source manipulations. This approach enables analysis of source and sink limitation under current [CO</w:t>
      </w:r>
      <w:r w:rsidRPr="00531789">
        <w:rPr>
          <w:rFonts w:ascii="Cambria" w:hAnsi="Cambria" w:cs="Courier New"/>
          <w:vertAlign w:val="subscript"/>
        </w:rPr>
        <w:t>2</w:t>
      </w:r>
      <w:r w:rsidRPr="00531789">
        <w:rPr>
          <w:rFonts w:ascii="Cambria" w:hAnsi="Cambria" w:cs="Courier New"/>
        </w:rPr>
        <w:t>], and strong CO</w:t>
      </w:r>
      <w:r w:rsidRPr="00531789">
        <w:rPr>
          <w:rFonts w:ascii="Cambria" w:hAnsi="Cambria" w:cs="Courier New"/>
          <w:vertAlign w:val="subscript"/>
        </w:rPr>
        <w:t>2</w:t>
      </w:r>
      <w:r w:rsidRPr="00531789">
        <w:rPr>
          <w:rFonts w:ascii="Cambria" w:hAnsi="Cambria" w:cs="Courier New"/>
        </w:rPr>
        <w:t xml:space="preserve"> treatments are applied in order to produce </w:t>
      </w:r>
      <w:r>
        <w:rPr>
          <w:rFonts w:ascii="Cambria" w:hAnsi="Cambria" w:cs="Courier New"/>
        </w:rPr>
        <w:t>large</w:t>
      </w:r>
      <w:r w:rsidRPr="00531789">
        <w:rPr>
          <w:rFonts w:ascii="Cambria" w:hAnsi="Cambria" w:cs="Courier New"/>
        </w:rPr>
        <w:t xml:space="preserve"> perturbations of the system.  In C</w:t>
      </w:r>
      <w:r w:rsidRPr="00531789">
        <w:rPr>
          <w:rFonts w:ascii="Cambria" w:hAnsi="Cambria" w:cs="Courier New"/>
          <w:vertAlign w:val="subscript"/>
        </w:rPr>
        <w:t>3</w:t>
      </w:r>
      <w:r w:rsidRPr="00531789">
        <w:rPr>
          <w:rFonts w:ascii="Cambria" w:hAnsi="Cambria" w:cs="Courier New"/>
        </w:rPr>
        <w:t xml:space="preserve"> plants, [CO</w:t>
      </w:r>
      <w:r w:rsidRPr="00531789">
        <w:rPr>
          <w:rFonts w:ascii="Cambria" w:hAnsi="Cambria" w:cs="Courier New"/>
          <w:vertAlign w:val="subscript"/>
        </w:rPr>
        <w:t>2</w:t>
      </w:r>
      <w:r w:rsidRPr="00531789">
        <w:rPr>
          <w:rFonts w:ascii="Cambria" w:hAnsi="Cambria" w:cs="Courier New"/>
        </w:rPr>
        <w:t xml:space="preserve">] affects carbon source strength directly through one well-understood process i.e. carbon assimilation by </w:t>
      </w:r>
      <w:proofErr w:type="spellStart"/>
      <w:r w:rsidRPr="00531789">
        <w:rPr>
          <w:rFonts w:ascii="Cambria" w:hAnsi="Cambria" w:cs="Courier New"/>
        </w:rPr>
        <w:t>Rubisco</w:t>
      </w:r>
      <w:proofErr w:type="spellEnd"/>
      <w:r w:rsidRPr="00531789">
        <w:rPr>
          <w:rFonts w:ascii="Cambria" w:hAnsi="Cambria" w:cs="Courier New"/>
        </w:rPr>
        <w:t xml:space="preserve">, and therefore avoids wounding responses and other confounding effects, which may arise from alternative approaches for </w:t>
      </w:r>
      <w:proofErr w:type="spellStart"/>
      <w:r w:rsidRPr="00531789">
        <w:rPr>
          <w:rFonts w:ascii="Cambria" w:hAnsi="Cambria" w:cs="Courier New"/>
        </w:rPr>
        <w:t>source:sink</w:t>
      </w:r>
      <w:proofErr w:type="spellEnd"/>
      <w:r w:rsidRPr="00531789">
        <w:rPr>
          <w:rFonts w:ascii="Cambria" w:hAnsi="Cambria" w:cs="Courier New"/>
        </w:rPr>
        <w:t xml:space="preserve"> manipulation. We took a holistic approach to investigating source-sink interactions, measuring the responses of growth, photosynthesis and key carbon and nitrogen metabolite pools on the same plants.  Together, these simultaneous measurements of growth, carbon uptake and carbon utilization allowed us to diagnose source and sink limitation in our model system.  For example, a high concentration of free amino acids indicates carbon source limitation </w:t>
      </w:r>
      <w:r w:rsidRPr="00531789">
        <w:rPr>
          <w:rFonts w:ascii="Cambria" w:hAnsi="Cambria" w:cs="Courier New"/>
        </w:rPr>
        <w:fldChar w:fldCharType="begin" w:fldLock="1"/>
      </w:r>
      <w:r>
        <w:rPr>
          <w:rFonts w:ascii="Cambria" w:hAnsi="Cambria" w:cs="Courier New"/>
        </w:rPr>
        <w:instrText>ADDIN CSL_CITATION { "citationItems" : [ { "id" : "ITEM-1", "itemData" : { "DOI" : "10.1046/j.1365-3040.2000.00583.x", "ISSN" : "01407791", "PMID" : "4284", "abstract" : "ABSTRACT Lolium perenne, a main component species in managed grassland, is well adapted to defoliation, fertilization, and regrowth cycles; and hence, to changes in the assimilatory carbon source-sink ratio. In the Swiss Free Air CO2 Enrichment experiment the source-sink ratio is (i) increased by elevated partial pressure of CO2 (pCO2), (ii) decreased by enhanced carbon use under high N fertilization, and (iii) gradually increased during regrowth after defoliation. Since sucrose synthesis plays a central role in leaf carbohydrate metabolism in this fructan-accumulating species, we investigated how sucrose-phosphate synthase (SPS) responds to the differing assimilatory carbon fluxes and source-sink ratios in the field. Assimilatory carbon flux, as estimated by leaf gas exchange, strongly depended on pCO2. Surprisingly, the SPS content per leaf area did not increase with pCO2, but increased with N fertilization. During later regrowth, when a dense canopy had formed, the SPS content decreased; in particular, SPS was decreased at high N under elevated pCO2. Further, the higher assimilatory carbon flux through SPS at elevated pCO2 was accompanied by a higher activation state of SPS. The SPS content correlated very strongly with the ratio of free sucrose to free amino acid in leaves, which represents the carbon source-sink ratio. Hence, SPS content in L. perenne appears to be regulated by the current, strongly nitrogen-dependent, source-sink relation.", "author" : [ { "dropping-particle" : "", "family" : "Isopp", "given" : "H.", "non-dropping-particle" : "", "parse-names" : false, "suffix" : "" }, { "dropping-particle" : "", "family" : "Frehner", "given" : "M.", "non-dropping-particle" : "", "parse-names" : false, "suffix" : "" }, { "dropping-particle" : "", "family" : "Long", "given" : "S. P.", "non-dropping-particle" : "", "parse-names" : false, "suffix" : "" }, { "dropping-particle" : "", "family" : "N\u00f6sberger", "given" : "J.", "non-dropping-particle" : "", "parse-names" : false, "suffix" : "" } ], "container-title" : "Plant, Cell and Environment", "id" : "ITEM-1", "issued" : { "date-parts" : [ [ "2000" ] ] }, "page" : "597-607", "title" : "Sucrose-phosphate synthase responds differently to source-sink relations and to photosynthetic rates: Lolium perenne L. growing at elevated p(CO2) in the field", "type" : "article-journal", "volume" : "23" }, "uris" : [ "http://www.mendeley.com/documents/?uuid=c2cb93b7-f751-46ba-b6ad-a77f9f36afdf" ] }, { "id" : "ITEM-2", "itemData" : { "DOI" : "10.1046/j.1365-3040.1999.00386.x", "ISSN" : "0140-7791", "author" : [ { "dropping-particle" : "", "family" : "Stitt", "given" : "M.", "non-dropping-particle" : "", "parse-names" : false, "suffix" : "" }, { "dropping-particle" : "", "family" : "Krapp", "given" : "A.", "non-dropping-particle" : "", "parse-names" : false, "suffix" : "" } ], "container-title" : "Plant, Cell &amp; Environment", "id" : "ITEM-2", "issue" : "6", "issued" : { "date-parts" : [ [ "1999", "6" ] ] }, "page" : "583-621", "title" : "The interaction between elevated carbon dioxide and nitrogen nutrition: the physiological and molecular background", "type" : "article-journal", "volume" : "22" }, "uris" : [ "http://www.mendeley.com/documents/?uuid=12d0f917-f3d6-43c6-92fa-0d13f38659a0" ] }, { "id" : "ITEM-3", "itemData" : { "DOI" : "10.1046/j.1365-3040.1997.d01-17.x", "ISSN" : "0140-7791", "author" : [ { "dropping-particle" : "", "family" : "Paul", "given" : "M. J.", "non-dropping-particle" : "", "parse-names" : false, "suffix" : "" }, { "dropping-particle" : "", "family" : "Driscoll", "given" : "S. P.", "non-dropping-particle" : "", "parse-names" : false, "suffix" : "" } ], "container-title" : "Plant, Cell &amp; Environment", "id" : "ITEM-3", "issue" : "1", "issued" : { "date-parts" : [ [ "1997", "1" ] ] }, "page" : "110-116", "title" : "Sugar repression of photosynthesis: the role of carbohydrates in signalling nitrogen deficiency through source:sink imbalance", "type" : "article-journal", "volume" : "20" }, "uris" : [ "http://www.mendeley.com/documents/?uuid=3d653e08-ab32-4dc7-9d29-fef13b1e5636" ] }, { "id" : "ITEM-4", "itemData" : { "DOI" : "10.1111/j.1365-3040.2006.01549.x", "ISBN" : "0140-7791", "ISSN" : "01407791", "PMID" : "16898025", "abstract" : "Plant growth is typically stimulated at elevated carbon dioxide concentration ([CO2]), but a sustained and maximal stimulation of growth requires acquisition of additional N in proportion to the additional C fixed at elevated [CO2]. We hypothesized that legumes would be able to avoid N limitation at elevated [CO2]. Soybean was grown without N fertilizer from germination to final senescence at elevated [CO2] over two growing seasons under fully open-air conditions, providing a model legume system. Measurements of photosynthesis and foliar carbohydrate content showed that plants growing at elevated [CO2] had a c. 25% increase in the daily integral of photosynthesis and c. 58% increase in foliar carbohydrate content, suggesting that plants at elevated [CO2] had a surplus of photosynthate. Soybeans had a low leaf N content at the beginning of the season, which was a further c. 17% lower at elevated [CO2]. In the middle of the season, ureide, total amino acid and N content increased markedly, and the effect of elevated [CO2] on leaf N content disappeared. Analysis of individual amino acid levels supported the conclusion that plants at elevated [CO2] overcame an early-season N limitation. These soybean plants showed a c. 16% increase in dry mass at final harvest and showed no significant effect of elevated [CO2] on leaf N, protein or total amino acid content in the latter part of the season. One possible explanation for these findings is that N fixation had increased, and that these plants had acclimated to the increased N demand at elevated [CO2].", "author" : [ { "dropping-particle" : "", "family" : "Rogers", "given" : "Alistair", "non-dropping-particle" : "", "parse-names" : false, "suffix" : "" }, { "dropping-particle" : "", "family" : "Gibon", "given" : "Yves", "non-dropping-particle" : "", "parse-names" : false, "suffix" : "" }, { "dropping-particle" : "", "family" : "Stitt", "given" : "Mark", "non-dropping-particle" : "", "parse-names" : false, "suffix" : "" }, { "dropping-particle" : "", "family" : "Morgan", "given" : "Patrick B.", "non-dropping-particle" : "", "parse-names" : false, "suffix" : "" }, { "dropping-particle" : "", "family" : "Bernacchi", "given" : "Carl J.", "non-dropping-particle" : "", "parse-names" : false, "suffix" : "" }, { "dropping-particle" : "", "family" : "Ort", "given" : "Donald R.", "non-dropping-particle" : "", "parse-names" : false, "suffix" : "" }, { "dropping-particle" : "", "family" : "Long", "given" : "Stephen P.", "non-dropping-particle" : "", "parse-names" : false, "suffix" : "" } ], "container-title" : "Plant, Cell and Environment", "id" : "ITEM-4", "issued" : { "date-parts" : [ [ "2006" ] ] }, "page" : "1651-1658", "title" : "Increased C availability at elevated carbon dioxide concentration improves N assimilation in a legume", "type" : "article-journal", "volume" : "29" }, "uris" : [ "http://www.mendeley.com/documents/?uuid=27b705d4-6317-4fc4-a7bc-047b88c9c33b" ] } ], "mendeley" : { "formattedCitation" : "(Paul and Driscoll, 1997; Stitt and Krapp, 1999; Isopp &lt;i&gt;et al.&lt;/i&gt;, 2000; Rogers &lt;i&gt;et al.&lt;/i&gt;, 2006)", "plainTextFormattedCitation" : "(Paul and Driscoll, 1997; Stitt and Krapp, 1999; Isopp et al., 2000; Rogers et al., 2006)", "previouslyFormattedCitation" : "(Paul and Driscoll, 1997; Stitt and Krapp, 1999; Isopp &lt;i&gt;et al.&lt;/i&gt;, 2000; Rogers &lt;i&gt;et al.&lt;/i&gt;, 2006)" }, "properties" : { "noteIndex" : 0 }, "schema" : "https://github.com/citation-style-language/schema/raw/master/csl-citation.json" }</w:instrText>
      </w:r>
      <w:r w:rsidRPr="00531789">
        <w:rPr>
          <w:rFonts w:ascii="Cambria" w:hAnsi="Cambria" w:cs="Courier New"/>
        </w:rPr>
        <w:fldChar w:fldCharType="separate"/>
      </w:r>
      <w:r w:rsidRPr="002C5907">
        <w:rPr>
          <w:rFonts w:ascii="Cambria" w:hAnsi="Cambria" w:cs="Courier New"/>
          <w:noProof/>
        </w:rPr>
        <w:t xml:space="preserve">(Paul and Driscoll, 1997; Stitt and Krapp, 1999; Isopp </w:t>
      </w:r>
      <w:r w:rsidRPr="002C5907">
        <w:rPr>
          <w:rFonts w:ascii="Cambria" w:hAnsi="Cambria" w:cs="Courier New"/>
          <w:i/>
          <w:noProof/>
        </w:rPr>
        <w:t>et al.</w:t>
      </w:r>
      <w:r w:rsidRPr="002C5907">
        <w:rPr>
          <w:rFonts w:ascii="Cambria" w:hAnsi="Cambria" w:cs="Courier New"/>
          <w:noProof/>
        </w:rPr>
        <w:t xml:space="preserve">, 2000; Rogers </w:t>
      </w:r>
      <w:r w:rsidRPr="002C5907">
        <w:rPr>
          <w:rFonts w:ascii="Cambria" w:hAnsi="Cambria" w:cs="Courier New"/>
          <w:i/>
          <w:noProof/>
        </w:rPr>
        <w:t>et al.</w:t>
      </w:r>
      <w:r w:rsidRPr="002C5907">
        <w:rPr>
          <w:rFonts w:ascii="Cambria" w:hAnsi="Cambria" w:cs="Courier New"/>
          <w:noProof/>
        </w:rPr>
        <w:t>, 2006)</w:t>
      </w:r>
      <w:r w:rsidRPr="00531789">
        <w:rPr>
          <w:rFonts w:ascii="Cambria" w:hAnsi="Cambria" w:cs="Courier New"/>
        </w:rPr>
        <w:fldChar w:fldCharType="end"/>
      </w:r>
      <w:r w:rsidRPr="00531789">
        <w:rPr>
          <w:rFonts w:ascii="Cambria" w:hAnsi="Cambria" w:cs="Courier New"/>
        </w:rPr>
        <w:t xml:space="preserve">, whilst a build-up of non-structural carbohydrates in leaves indicates carbon sink limitation </w:t>
      </w:r>
      <w:r w:rsidRPr="00531789">
        <w:rPr>
          <w:rFonts w:ascii="Cambria" w:hAnsi="Cambria" w:cs="Courier New"/>
        </w:rPr>
        <w:fldChar w:fldCharType="begin" w:fldLock="1"/>
      </w:r>
      <w:r w:rsidR="00906E41">
        <w:rPr>
          <w:rFonts w:ascii="Cambria" w:hAnsi="Cambria" w:cs="Courier New"/>
        </w:rPr>
        <w:instrText>ADDIN CSL_CITATION { "citationItems" : [ { "id" : "ITEM-1", "itemData" : { "DOI" : "10.1104/pp.110.167684", "ISSN" : "1532-2548", "PMID" : "20971857", "author" : [ { "dropping-particle" : "", "family" : "Ainsworth", "given" : "Elizabeth A", "non-dropping-particle" : "", "parse-names" : false, "suffix" : "" }, { "dropping-particle" : "", "family" : "Bush", "given" : "Daniel R", "non-dropping-particle" : "", "parse-names" : false, "suffix" : "" } ], "container-title" : "Plant Physiology", "id" : "ITEM-1", "issue" : "1", "issued" : { "date-parts" : [ [ "2011", "1" ] ] }, "page" : "64-9", "title" : "Carbohydrate export from the leaf: a highly regulated process and target to enhance photosynthesis and productivity.", "type" : "article-journal", "volume" : "155" }, "uris" : [ "http://www.mendeley.com/documents/?uuid=1e757ecd-3097-4ea6-9928-73835421a18c" ] }, { "id" : "ITEM-2", "itemData" : { "author" : [ { "dropping-particle" : "", "family" : "Rogers", "given" : "A", "non-dropping-particle" : "", "parse-names" : false, "suffix" : "" }, { "dropping-particle" : "", "family" : "Ainsworth", "given" : "Elizabeth A", "non-dropping-particle" : "", "parse-names" : false, "suffix" : "" } ], "chapter-number" : "16", "container-title" : "Managed ecosystems and CO2 case studies processes and perspectives", "editor" : [ { "dropping-particle" : "", "family" : "Nosberger", "given" : "J", "non-dropping-particle" : "", "parse-names" : false, "suffix" : "" }, { "dropping-particle" : "", "family" : "Long", "given" : "SP", "non-dropping-particle" : "", "parse-names" : false, "suffix" : "" }, { "dropping-particle" : "", "family" : "Blum", "given" : "H", "non-dropping-particle" : "", "parse-names" : false, "suffix" : "" }, { "dropping-particle" : "", "family" : "Norby", "given" : "RJ", "non-dropping-particle" : "", "parse-names" : false, "suffix" : "" }, { "dropping-particle" : "", "family" : "Hendrey", "given" : "GR", "non-dropping-particle" : "", "parse-names" : false, "suffix" : "" }, { "dropping-particle" : "", "family" : "Stitt", "given" : "M", "non-dropping-particle" : "", "parse-names" : false, "suffix" : "" } ], "id" : "ITEM-2", "issued" : { "date-parts" : [ [ "2006" ] ] }, "page" : "293-308", "publisher" : "Springer-Verlag", "publisher-place" : "Heidelberg, Berlin", "title" : "The response of foliar carbohydrates to elevated [CO2]", "type" : "chapter" }, "uris" : [ "http://www.mendeley.com/documents/?uuid=ad611b43-52b4-4728-8d67-4ff9617c644b" ] } ], "mendeley" : { "formattedCitation" : "(Rogers and Ainsworth, 2006; Ainsworth and Bush, 2011)", "plainTextFormattedCitation" : "(Rogers and Ainsworth, 2006; Ainsworth and Bush, 2011)", "previouslyFormattedCitation" : "(Rogers and Ainsworth, 2006; Ainsworth and Bush, 2011)" }, "properties" : { "noteIndex" : 0 }, "schema" : "https://github.com/citation-style-language/schema/raw/master/csl-citation.json" }</w:instrText>
      </w:r>
      <w:r w:rsidRPr="00531789">
        <w:rPr>
          <w:rFonts w:ascii="Cambria" w:hAnsi="Cambria" w:cs="Courier New"/>
        </w:rPr>
        <w:fldChar w:fldCharType="separate"/>
      </w:r>
      <w:r w:rsidRPr="00531789">
        <w:rPr>
          <w:rFonts w:ascii="Cambria" w:hAnsi="Cambria" w:cs="Courier New"/>
          <w:noProof/>
        </w:rPr>
        <w:t>(Rogers and Ainsworth, 2006; Ainsworth and Bush, 2011)</w:t>
      </w:r>
      <w:r w:rsidRPr="00531789">
        <w:rPr>
          <w:rFonts w:ascii="Cambria" w:hAnsi="Cambria" w:cs="Courier New"/>
        </w:rPr>
        <w:fldChar w:fldCharType="end"/>
      </w:r>
      <w:r w:rsidRPr="00531789">
        <w:rPr>
          <w:rFonts w:ascii="Cambria" w:hAnsi="Cambria" w:cs="Courier New"/>
        </w:rPr>
        <w:t xml:space="preserve">. </w:t>
      </w:r>
    </w:p>
    <w:p w14:paraId="18DB5B68" w14:textId="77777777" w:rsidR="00DF4522" w:rsidRPr="00531789" w:rsidRDefault="00DF4522" w:rsidP="00DF4522">
      <w:pPr>
        <w:spacing w:line="360" w:lineRule="auto"/>
        <w:jc w:val="both"/>
        <w:rPr>
          <w:rFonts w:ascii="Cambria" w:hAnsi="Cambria" w:cs="Courier New"/>
        </w:rPr>
      </w:pPr>
    </w:p>
    <w:p w14:paraId="324E5AF5" w14:textId="5D5BF160" w:rsidR="00DF4522" w:rsidRDefault="00DF4522" w:rsidP="00DF4522">
      <w:pPr>
        <w:spacing w:line="360" w:lineRule="auto"/>
        <w:jc w:val="both"/>
        <w:rPr>
          <w:rFonts w:ascii="Cambria" w:hAnsi="Cambria" w:cs="Courier New"/>
          <w:vertAlign w:val="subscript"/>
        </w:rPr>
      </w:pPr>
      <w:r w:rsidRPr="00531789">
        <w:rPr>
          <w:rFonts w:ascii="Cambria" w:hAnsi="Cambria" w:cs="Courier New"/>
        </w:rPr>
        <w:t>In order to elucidate physiological mechanisms underpinning differences in growth rate, this study compared domesticated annual barley (</w:t>
      </w:r>
      <w:proofErr w:type="spellStart"/>
      <w:r w:rsidRPr="00531789">
        <w:rPr>
          <w:rFonts w:ascii="Cambria" w:hAnsi="Cambria" w:cs="Courier New"/>
          <w:i/>
        </w:rPr>
        <w:t>Hordeum</w:t>
      </w:r>
      <w:proofErr w:type="spellEnd"/>
      <w:r w:rsidRPr="00531789">
        <w:rPr>
          <w:rFonts w:ascii="Cambria" w:hAnsi="Cambria" w:cs="Courier New"/>
          <w:i/>
        </w:rPr>
        <w:t xml:space="preserve"> </w:t>
      </w:r>
      <w:proofErr w:type="spellStart"/>
      <w:r w:rsidRPr="00531789">
        <w:rPr>
          <w:rFonts w:ascii="Cambria" w:hAnsi="Cambria" w:cs="Courier New"/>
          <w:i/>
        </w:rPr>
        <w:t>vulgare</w:t>
      </w:r>
      <w:proofErr w:type="spellEnd"/>
      <w:r w:rsidRPr="00531789">
        <w:rPr>
          <w:rFonts w:ascii="Cambria" w:hAnsi="Cambria" w:cs="Courier New"/>
          <w:i/>
        </w:rPr>
        <w:t xml:space="preserve"> </w:t>
      </w:r>
      <w:r w:rsidRPr="00531789">
        <w:rPr>
          <w:rFonts w:ascii="Cambria" w:hAnsi="Cambria" w:cs="Courier New"/>
        </w:rPr>
        <w:t>cv. NFC Tipple) and a wild perennial relative (</w:t>
      </w:r>
      <w:proofErr w:type="spellStart"/>
      <w:r w:rsidRPr="00531789">
        <w:rPr>
          <w:rFonts w:ascii="Cambria" w:hAnsi="Cambria" w:cs="Courier New"/>
          <w:i/>
        </w:rPr>
        <w:t>Hordeum</w:t>
      </w:r>
      <w:proofErr w:type="spellEnd"/>
      <w:r w:rsidRPr="00531789">
        <w:rPr>
          <w:rFonts w:ascii="Cambria" w:hAnsi="Cambria" w:cs="Courier New"/>
          <w:i/>
        </w:rPr>
        <w:t xml:space="preserve"> </w:t>
      </w:r>
      <w:proofErr w:type="spellStart"/>
      <w:r w:rsidRPr="00531789">
        <w:rPr>
          <w:rFonts w:ascii="Cambria" w:hAnsi="Cambria" w:cs="Courier New"/>
          <w:i/>
        </w:rPr>
        <w:t>bulbosum</w:t>
      </w:r>
      <w:proofErr w:type="spellEnd"/>
      <w:r w:rsidRPr="00531789">
        <w:rPr>
          <w:rFonts w:ascii="Cambria" w:hAnsi="Cambria" w:cs="Courier New"/>
        </w:rPr>
        <w:t xml:space="preserve">).  Annual barley is sink limited during grain filling </w:t>
      </w:r>
      <w:r w:rsidRPr="00531789">
        <w:rPr>
          <w:rFonts w:ascii="Cambria" w:hAnsi="Cambria" w:cs="Courier New"/>
        </w:rPr>
        <w:fldChar w:fldCharType="begin" w:fldLock="1"/>
      </w:r>
      <w:r w:rsidR="000865EF">
        <w:rPr>
          <w:rFonts w:ascii="Cambria" w:hAnsi="Cambria" w:cs="Courier New"/>
        </w:rPr>
        <w:instrText>ADDIN CSL_CITATION { "citationItems" : [ { "id" : "ITEM-1", "itemData" : { "DOI" : "10.1016/j.fcr.2006.11.005", "ISSN" : "03784290", "author" : [ { "dropping-particle" : "", "family" : "Bingham", "given" : "Ian J.", "non-dropping-particle" : "", "parse-names" : false, "suffix" : "" }, { "dropping-particle" : "", "family" : "Blake", "given" : "Jonathan", "non-dropping-particle" : "", "parse-names" : false, "suffix" : "" }, { "dropping-particle" : "", "family" : "Foulkes", "given" : "M. John", "non-dropping-particle" : "", "parse-names" : false, "suffix" : "" }, { "dropping-particle" : "", "family" : "Spink", "given" : "John", "non-dropping-particle" : "", "parse-names" : false, "suffix" : "" } ], "container-title" : "Field Crops Research", "id" : "ITEM-1", "issue" : "2", "issued" : { "date-parts" : [ [ "2007", "3" ] ] }, "page" : "198-211", "title" : "Is barley yield in the UK sink limited?", "type" : "article-journal", "volume" : "101" }, "uris" : [ "http://www.mendeley.com/documents/?uuid=4d6220d6-baa7-40e5-a9dc-e5712127fd68" ] }, { "id" : "ITEM-2", "itemData" : { "DOI" : "10.1016/j.fcr.2013.05.016", "ISSN" : "03784290", "author" : [ { "dropping-particle" : "", "family" : "Serrago", "given" : "Rom\u00e1n A", "non-dropping-particle" : "", "parse-names" : false, "suffix" : "" }, { "dropping-particle" : "", "family" : "Alzueta", "given" : "Ignacio", "non-dropping-particle" : "", "parse-names" : false, "suffix" : "" }, { "dropping-particle" : "", "family" : "Savin", "given" : "Roxana", "non-dropping-particle" : "", "parse-names" : false, "suffix" : "" }, { "dropping-particle" : "", "family" : "Slafer", "given" : "Gustavo A", "non-dropping-particle" : "", "parse-names" : false, "suffix" : "" } ], "container-title" : "Field Crops Research", "id" : "ITEM-2", "issued" : { "date-parts" : [ [ "2013", "8" ] ] }, "page" : "42-51", "publisher" : "Elsevier B.V.", "title" : "Understanding grain yield responses to source\u2013sink ratios during grain filling in wheat and barley under contrasting environments", "type" : "article-journal", "volume" : "150" }, "uris" : [ "http://www.mendeley.com/documents/?uuid=369654bb-6b42-46c3-b263-b6ba3c2009f8" ] }, { "id" : "ITEM-3", "itemData" : { "author" : [ { "dropping-particle" : "", "family" : "Schnyder", "given" : "Hans", "non-dropping-particle" : "", "parse-names" : false, "suffix" : "" } ], "container-title" : "New Phytologist", "id" : "ITEM-3", "issued" : { "date-parts" : [ [ "1993" ] ] }, "page" : "233-245", "title" : "The role of carbohydrate storage and redistribution in the source-sink relations of wheat and barley during grain filling - a review", "type" : "article-journal", "volume" : "123" }, "uris" : [ "http://www.mendeley.com/documents/?uuid=a96ba76f-e7bb-4eae-8406-df68dc700307" ] } ], "mendeley" : { "formattedCitation" : "(Schnyder, 1993; Bingham &lt;i&gt;et al.&lt;/i&gt;, 2007; Serrago &lt;i&gt;et al.&lt;/i&gt;, 2013)", "plainTextFormattedCitation" : "(Schnyder, 1993; Bingham et al., 2007; Serrago et al., 2013)", "previouslyFormattedCitation" : "(Schnyder, 1993; Bingham &lt;i&gt;et al.&lt;/i&gt;, 2007; Serrago &lt;i&gt;et al.&lt;/i&gt;, 2013)" }, "properties" : { "noteIndex" : 0 }, "schema" : "https://github.com/citation-style-language/schema/raw/master/csl-citation.json" }</w:instrText>
      </w:r>
      <w:r w:rsidRPr="00531789">
        <w:rPr>
          <w:rFonts w:ascii="Cambria" w:hAnsi="Cambria" w:cs="Courier New"/>
        </w:rPr>
        <w:fldChar w:fldCharType="separate"/>
      </w:r>
      <w:r w:rsidR="000865EF" w:rsidRPr="000865EF">
        <w:rPr>
          <w:rFonts w:ascii="Cambria" w:hAnsi="Cambria" w:cs="Courier New"/>
          <w:noProof/>
        </w:rPr>
        <w:t xml:space="preserve">(Schnyder, 1993; Bingham </w:t>
      </w:r>
      <w:r w:rsidR="000865EF" w:rsidRPr="000865EF">
        <w:rPr>
          <w:rFonts w:ascii="Cambria" w:hAnsi="Cambria" w:cs="Courier New"/>
          <w:i/>
          <w:noProof/>
        </w:rPr>
        <w:t>et al.</w:t>
      </w:r>
      <w:r w:rsidR="000865EF" w:rsidRPr="000865EF">
        <w:rPr>
          <w:rFonts w:ascii="Cambria" w:hAnsi="Cambria" w:cs="Courier New"/>
          <w:noProof/>
        </w:rPr>
        <w:t xml:space="preserve">, 2007; Serrago </w:t>
      </w:r>
      <w:r w:rsidR="000865EF" w:rsidRPr="000865EF">
        <w:rPr>
          <w:rFonts w:ascii="Cambria" w:hAnsi="Cambria" w:cs="Courier New"/>
          <w:i/>
          <w:noProof/>
        </w:rPr>
        <w:t>et al.</w:t>
      </w:r>
      <w:r w:rsidR="000865EF" w:rsidRPr="000865EF">
        <w:rPr>
          <w:rFonts w:ascii="Cambria" w:hAnsi="Cambria" w:cs="Courier New"/>
          <w:noProof/>
        </w:rPr>
        <w:t>, 2013)</w:t>
      </w:r>
      <w:r w:rsidRPr="00531789">
        <w:rPr>
          <w:rFonts w:ascii="Cambria" w:hAnsi="Cambria" w:cs="Courier New"/>
        </w:rPr>
        <w:fldChar w:fldCharType="end"/>
      </w:r>
      <w:r w:rsidRPr="00531789">
        <w:rPr>
          <w:rFonts w:ascii="Cambria" w:hAnsi="Cambria" w:cs="Courier New"/>
        </w:rPr>
        <w:t xml:space="preserve">, yet to our knowledge no study of source- and sink limitation during the vegetative growth stage has been made in this species.  The annual barley used here is an elite agricultural spring barley from the HGCA recommended list </w:t>
      </w:r>
      <w:r w:rsidRPr="00531789">
        <w:rPr>
          <w:rFonts w:ascii="Cambria" w:hAnsi="Cambria" w:cs="Courier New"/>
        </w:rPr>
        <w:fldChar w:fldCharType="begin" w:fldLock="1"/>
      </w:r>
      <w:r w:rsidR="009133B6">
        <w:rPr>
          <w:rFonts w:ascii="Cambria" w:hAnsi="Cambria" w:cs="Courier New"/>
        </w:rPr>
        <w:instrText>ADDIN CSL_CITATION { "citationItems" : [ { "id" : "ITEM-1", "itemData" : { "author" : [ { "dropping-particle" : "", "family" : "HGCA", "given" : "", "non-dropping-particle" : "", "parse-names" : false, "suffix" : "" } ], "id" : "ITEM-1", "issued" : { "date-parts" : [ [ "2014" ] ] }, "title" : "HGCA Recommended List Spring barley 2014", "type" : "report" }, "uris" : [ "http://www.mendeley.com/documents/?uuid=f836fcfd-de5d-4d7b-9c26-e651d445938f" ] } ], "mendeley" : { "formattedCitation" : "(HGCA, 2014)", "plainTextFormattedCitation" : "(HGCA, 2014)", "previouslyFormattedCitation" : "(HGCA, 2014)" }, "properties" : { "noteIndex" : 0 }, "schema" : "https://github.com/citation-style-language/schema/raw/master/csl-citation.json" }</w:instrText>
      </w:r>
      <w:r w:rsidRPr="00531789">
        <w:rPr>
          <w:rFonts w:ascii="Cambria" w:hAnsi="Cambria" w:cs="Courier New"/>
        </w:rPr>
        <w:fldChar w:fldCharType="separate"/>
      </w:r>
      <w:r w:rsidR="009133B6" w:rsidRPr="009133B6">
        <w:rPr>
          <w:rFonts w:ascii="Cambria" w:hAnsi="Cambria" w:cs="Courier New"/>
          <w:noProof/>
        </w:rPr>
        <w:t>(HGCA, 2014)</w:t>
      </w:r>
      <w:r w:rsidRPr="00531789">
        <w:rPr>
          <w:rFonts w:ascii="Cambria" w:hAnsi="Cambria" w:cs="Courier New"/>
        </w:rPr>
        <w:fldChar w:fldCharType="end"/>
      </w:r>
      <w:r w:rsidRPr="00531789">
        <w:rPr>
          <w:rFonts w:ascii="Cambria" w:hAnsi="Cambria" w:cs="Courier New"/>
        </w:rPr>
        <w:t xml:space="preserve"> and has a fast-growing life-history strategy. The perennial is a wild species from Turkey, which is able to grow in diverse habitats but generally occupies nutrient-rich environments </w:t>
      </w:r>
      <w:r w:rsidRPr="00531789">
        <w:rPr>
          <w:rFonts w:ascii="Cambria" w:hAnsi="Cambria" w:cs="Courier New"/>
        </w:rPr>
        <w:fldChar w:fldCharType="begin" w:fldLock="1"/>
      </w:r>
      <w:r w:rsidRPr="00531789">
        <w:rPr>
          <w:rFonts w:ascii="Cambria" w:hAnsi="Cambria" w:cs="Courier New"/>
        </w:rPr>
        <w:instrText>ADDIN CSL_CITATION { "citationItems" : [ { "id" : "ITEM-1", "itemData" : { "ISSN" : "0255-0105", "author" : [ { "dropping-particle" : "", "family" : "Bothmer", "given" : "Roland", "non-dropping-particle" : "von", "parse-names" : false, "suffix" : "" } ], "container-title" : "Annalen des Naturhistorischen Museums in Wien, Serie B", "id" : "ITEM-1", "issued" : { "date-parts" : [ [ "1996" ] ] }, "page" : "107-116", "title" : "Distribution and habitat preferences in the genus Hordeum in Iran and Turkey", "type" : "article-journal", "volume" : "98-Suppl." }, "uris" : [ "http://www.mendeley.com/documents/?uuid=a5a8cb05-a032-40ec-9973-49f43d06e606" ] } ], "mendeley" : { "formattedCitation" : "(von Bothmer, 1996)", "plainTextFormattedCitation" : "(von Bothmer, 1996)", "previouslyFormattedCitation" : "(von Bothmer, 1996)" }, "properties" : { "noteIndex" : 0 }, "schema" : "https://github.com/citation-style-language/schema/raw/master/csl-citation.json" }</w:instrText>
      </w:r>
      <w:r w:rsidRPr="00531789">
        <w:rPr>
          <w:rFonts w:ascii="Cambria" w:hAnsi="Cambria" w:cs="Courier New"/>
        </w:rPr>
        <w:fldChar w:fldCharType="separate"/>
      </w:r>
      <w:r w:rsidRPr="00531789">
        <w:rPr>
          <w:rFonts w:ascii="Cambria" w:hAnsi="Cambria" w:cs="Courier New"/>
          <w:noProof/>
        </w:rPr>
        <w:t>(von Bothmer, 1996)</w:t>
      </w:r>
      <w:r w:rsidRPr="00531789">
        <w:rPr>
          <w:rFonts w:ascii="Cambria" w:hAnsi="Cambria" w:cs="Courier New"/>
        </w:rPr>
        <w:fldChar w:fldCharType="end"/>
      </w:r>
      <w:r w:rsidRPr="00531789">
        <w:rPr>
          <w:rFonts w:ascii="Cambria" w:hAnsi="Cambria" w:cs="Courier New"/>
        </w:rPr>
        <w:t>. Plants were grown at different CO</w:t>
      </w:r>
      <w:r w:rsidRPr="00531789">
        <w:rPr>
          <w:rFonts w:ascii="Cambria" w:hAnsi="Cambria" w:cs="Courier New"/>
          <w:vertAlign w:val="subscript"/>
        </w:rPr>
        <w:t>2</w:t>
      </w:r>
      <w:r w:rsidRPr="00531789">
        <w:rPr>
          <w:rFonts w:ascii="Cambria" w:hAnsi="Cambria" w:cs="Courier New"/>
        </w:rPr>
        <w:t xml:space="preserve"> conditions from germination to harvest, which occurred during the vegetative growth phase of the life cycle.  We predicted that annual barley, which grows faster than perennial barley, would be sink limited during vegetative growth, and the perennial would be more strongly sink limited </w:t>
      </w:r>
      <w:r w:rsidRPr="00531789">
        <w:rPr>
          <w:rFonts w:ascii="Cambria" w:hAnsi="Cambria" w:cs="Courier New"/>
        </w:rPr>
        <w:fldChar w:fldCharType="begin" w:fldLock="1"/>
      </w:r>
      <w:r>
        <w:rPr>
          <w:rFonts w:ascii="Cambria" w:hAnsi="Cambria" w:cs="Courier New"/>
        </w:rPr>
        <w:instrText>ADDIN CSL_CITATION { "citationItems" : [ { "id" : "ITEM-1", "itemData" : { "ISBN" : "0011-183X", "author" : [ { "dropping-particle" : "", "family" : "Jaikumar", "given" : "Nikhil S", "non-dropping-particle" : "", "parse-names" : false, "suffix" : "" }, { "dropping-particle" : "", "family" : "Snapp", "given" : "Sieglinde S", "non-dropping-particle" : "", "parse-names" : false, "suffix" : "" }, { "dropping-particle" : "", "family" : "Flore", "given" : "James A", "non-dropping-particle" : "", "parse-names" : false, "suffix" : "" }, { "dropping-particle" : "", "family" : "Loescher", "given" : "Wayne", "non-dropping-particle" : "", "parse-names" : false, "suffix" : "" } ], "container-title" : "Crop Science", "id" : "ITEM-1", "issued" : { "date-parts" : [ [ "2014" ] ] }, "page" : "274-283", "title" : "Photosynthetic Responses in Annual Rye, Perennial Wheat, and Perennial Rye Subjected to Modest Source: Sink Ratio Changes", "type" : "article-journal", "volume" : "54" }, "uris" : [ "http://www.mendeley.com/documents/?uuid=4586da10-7cdb-47f8-84b1-4ad27a5284ad" ] } ], "mendeley" : { "formattedCitation" : "(Jaikumar &lt;i&gt;et al.&lt;/i&gt;, 2014)", "plainTextFormattedCitation" : "(Jaikumar et al., 2014)", "previouslyFormattedCitation" : "(Jaikumar &lt;i&gt;et al.&lt;/i&gt;, 2014)" }, "properties" : { "noteIndex" : 0 }, "schema" : "https://github.com/citation-style-language/schema/raw/master/csl-citation.json" }</w:instrText>
      </w:r>
      <w:r w:rsidRPr="00531789">
        <w:rPr>
          <w:rFonts w:ascii="Cambria" w:hAnsi="Cambria" w:cs="Courier New"/>
        </w:rPr>
        <w:fldChar w:fldCharType="separate"/>
      </w:r>
      <w:r w:rsidRPr="002C5907">
        <w:rPr>
          <w:rFonts w:ascii="Cambria" w:hAnsi="Cambria" w:cs="Courier New"/>
          <w:noProof/>
        </w:rPr>
        <w:t xml:space="preserve">(Jaikumar </w:t>
      </w:r>
      <w:r w:rsidRPr="002C5907">
        <w:rPr>
          <w:rFonts w:ascii="Cambria" w:hAnsi="Cambria" w:cs="Courier New"/>
          <w:i/>
          <w:noProof/>
        </w:rPr>
        <w:t>et al.</w:t>
      </w:r>
      <w:r w:rsidRPr="002C5907">
        <w:rPr>
          <w:rFonts w:ascii="Cambria" w:hAnsi="Cambria" w:cs="Courier New"/>
          <w:noProof/>
        </w:rPr>
        <w:t>, 2014)</w:t>
      </w:r>
      <w:r w:rsidRPr="00531789">
        <w:rPr>
          <w:rFonts w:ascii="Cambria" w:hAnsi="Cambria" w:cs="Courier New"/>
        </w:rPr>
        <w:fldChar w:fldCharType="end"/>
      </w:r>
      <w:r w:rsidRPr="00531789">
        <w:rPr>
          <w:rFonts w:ascii="Cambria" w:hAnsi="Cambria" w:cs="Courier New"/>
        </w:rPr>
        <w:t>. Based on this hypothesis we would expect the fast-growing annual to show a greater increase in growth and photosynthesis in response to elevated [CO</w:t>
      </w:r>
      <w:r w:rsidRPr="00531789">
        <w:rPr>
          <w:rFonts w:ascii="Cambria" w:hAnsi="Cambria" w:cs="Courier New"/>
          <w:vertAlign w:val="subscript"/>
        </w:rPr>
        <w:t>2</w:t>
      </w:r>
      <w:r w:rsidRPr="00531789">
        <w:rPr>
          <w:rFonts w:ascii="Cambria" w:hAnsi="Cambria" w:cs="Courier New"/>
        </w:rPr>
        <w:t xml:space="preserve">] than the perennial </w:t>
      </w:r>
      <w:r w:rsidRPr="00531789">
        <w:rPr>
          <w:rFonts w:ascii="Cambria" w:hAnsi="Cambria" w:cs="Courier New"/>
        </w:rPr>
        <w:fldChar w:fldCharType="begin" w:fldLock="1"/>
      </w:r>
      <w:r w:rsidRPr="00531789">
        <w:rPr>
          <w:rFonts w:ascii="Cambria" w:hAnsi="Cambria" w:cs="Courier New"/>
        </w:rPr>
        <w:instrText>ADDIN CSL_CITATION { "citationItems" : [ { "id" : "ITEM-1", "itemData" : { "DOI" : "10.1111/j.1469-8137.1996.tb04926.x", "ISSN" : "0028-646X", "PMID" : "1641", "abstract" : "Using 11 closely related grass species, we tested the capacity of\\nphysiological criteria to predict the growth response to elevated\\nCO2 and to categorize the species with regard to their CO2 response.\\nA growth analysis was conducted under productive conditions both\\nat ambient (350 mu mol mol(-1)) and elevated (700 mu mol mol(-1))\\nCO2. The relative growth rate stimulation was regressed against each\\nof the growth rate components measured at ambient CO2. Growth response\\nto CO2 was positively correlated with specific leaf area (SLA, the\\nleaf surface area per unit of leaf weight), leaf area ratio (the\\nleaf area per unit of total plant dry weight) and negatively correlated\\nwith net assimilation rate and leaf nitrogen concentration, both\\nper unit of leaf area. We suggest that SLA has a predominant role\\nin these relationships. Different hypotheses are proposed and discussed\\nin order to explain why species with low SLA are less responsive\\nto elevated CO2. Neither biomass allocation, relative growth rate,\\nshoot or root specific activities per unit of mass, nor chemical\\ncomposition were significantly correlated with growth response to\\nCO2. The four predictive criteria mentioned above coherently differentiate\\nthe five wild annual species (higher SLA, stronger growth response\\nto CO2) from the four wild perennials. The two perennial crop species,\\nwith the highest SLA, were more responsive than the wild species.", "author" : [ { "dropping-particle" : "", "family" : "Roumet", "given" : "C", "non-dropping-particle" : "", "parse-names" : false, "suffix" : "" }, { "dropping-particle" : "", "family" : "Roy", "given" : "J", "non-dropping-particle" : "", "parse-names" : false, "suffix" : "" } ], "container-title" : "New Phytologist", "id" : "ITEM-1", "issue" : "4", "issued" : { "date-parts" : [ [ "1996" ] ] }, "page" : "615-621", "title" : "Prediction of the growth response to elevated CO2: A search for physiological criteria in closely related grass species", "type" : "article-journal", "volume" : "134" }, "uris" : [ "http://www.mendeley.com/documents/?uuid=7f32912c-c495-4194-a121-a888671ae9ed" ] }, { "id" : "ITEM-2", "itemData" : { "author" : [ { "dropping-particle" : "", "family" : "Poorter", "given" : "Hendrik", "non-dropping-particle" : "", "parse-names" : false, "suffix" : "" } ], "container-title" : "Vegetatio", "id" : "ITEM-2", "issued" : { "date-parts" : [ [ "1993" ] ] }, "page" : "77-97", "title" : "Interspecific variation in the growth response of plants to an elevated ambient CO2 concentration", "type" : "article-journal", "volume" : "104" }, "uris" : [ "http://www.mendeley.com/documents/?uuid=14eda38a-16de-4e11-923e-34aa65c0368c" ] } ], "mendeley" : { "formattedCitation" : "(Poorter, 1993; Roumet and Roy, 1996)", "plainTextFormattedCitation" : "(Poorter, 1993; Roumet and Roy, 1996)", "previouslyFormattedCitation" : "(Poorter, 1993; Roumet and Roy, 1996)" }, "properties" : { "noteIndex" : 0 }, "schema" : "https://github.com/citation-style-language/schema/raw/master/csl-citation.json" }</w:instrText>
      </w:r>
      <w:r w:rsidRPr="00531789">
        <w:rPr>
          <w:rFonts w:ascii="Cambria" w:hAnsi="Cambria" w:cs="Courier New"/>
        </w:rPr>
        <w:fldChar w:fldCharType="separate"/>
      </w:r>
      <w:r w:rsidRPr="00531789">
        <w:rPr>
          <w:rFonts w:ascii="Cambria" w:hAnsi="Cambria" w:cs="Courier New"/>
          <w:noProof/>
        </w:rPr>
        <w:t>(Poorter, 1993; Roumet and Roy, 1996)</w:t>
      </w:r>
      <w:r w:rsidRPr="00531789">
        <w:rPr>
          <w:rFonts w:ascii="Cambria" w:hAnsi="Cambria" w:cs="Courier New"/>
        </w:rPr>
        <w:fldChar w:fldCharType="end"/>
      </w:r>
      <w:r w:rsidRPr="00531789">
        <w:rPr>
          <w:rFonts w:ascii="Cambria" w:hAnsi="Cambria" w:cs="Courier New"/>
        </w:rPr>
        <w:t>.  This is because the elevated [CO</w:t>
      </w:r>
      <w:r w:rsidRPr="00531789">
        <w:rPr>
          <w:rFonts w:ascii="Cambria" w:hAnsi="Cambria" w:cs="Courier New"/>
          <w:vertAlign w:val="subscript"/>
        </w:rPr>
        <w:t>2</w:t>
      </w:r>
      <w:r w:rsidRPr="00531789">
        <w:rPr>
          <w:rFonts w:ascii="Cambria" w:hAnsi="Cambria" w:cs="Courier New"/>
        </w:rPr>
        <w:t xml:space="preserve">] alleviates source limitation and will therefore have a greater effect in the plants which are less sink limited </w:t>
      </w:r>
      <w:r w:rsidRPr="00531789">
        <w:rPr>
          <w:rFonts w:ascii="Cambria" w:hAnsi="Cambria" w:cs="Courier New"/>
        </w:rPr>
        <w:fldChar w:fldCharType="begin" w:fldLock="1"/>
      </w:r>
      <w:r w:rsidR="00906E41">
        <w:rPr>
          <w:rFonts w:ascii="Cambria" w:hAnsi="Cambria" w:cs="Courier New"/>
        </w:rPr>
        <w:instrText>ADDIN CSL_CITATION { "citationItems" : [ { "id" : "ITEM-1", "itemData" : { "DOI" : "10.1046/j.1365-3040.1998.00265.x", "ISSN" : "0140-7791", "abstract" : "Artificial chalk grassland swards were exposed to either ambient air or air enriched to 600 mol mol\u20131 CO2, using free-airCO2 enrichment technology, and subjected to an 8 week simulated grazing regime. After 14 months of treatment, ribulose-1,5-bisphosphate carboxylase (Rubisco) activity (Vc,max) and electron transport mediated ribulose- 1,5-bisphosphate (RuBP) regeneration capacity (Jmax), estimated from leaf gas exchange, were significantly lower in fully expanded leaves of Anthyllis vulneraria L. (a legume) and Sanguisorba minor Scop. grown in elevated CO2. After a change in source:sink balance brought about by defoliation, photosynthetic capacity was fully restored in A. vulneraria and S. minor, but acclimation continued in the grass Bromopsis erecta (Hudson) Fourr. Changes in net photosynthesis (Pn) with growth at elevated CO2 ranged from a 1\u00b76% reduction in precut leaves of A. vulneraria to a 47\u00b71% stimulation in postcut leaves of S. minor. Stomatal acclimation was observed in leaves of A. vulneraria (reduced stomatal density) and B. erecta (reduced stomatal conductance). The results are discussed in terms of whole-plant resource-use optimization and chalk grass- land community competitive interactions at elevated CO2.", "author" : [ { "dropping-particle" : "", "family" : "Bryant", "given" : "J.", "non-dropping-particle" : "", "parse-names" : false, "suffix" : "" }, { "dropping-particle" : "", "family" : "Taylor", "given" : "G.", "non-dropping-particle" : "", "parse-names" : false, "suffix" : "" }, { "dropping-particle" : "", "family" : "Frehner", "given" : "M.", "non-dropping-particle" : "", "parse-names" : false, "suffix" : "" } ], "container-title" : "Plant, Cell &amp; Environment", "id" : "ITEM-1", "issue" : "2", "issued" : { "date-parts" : [ [ "1998", "2" ] ] }, "page" : "159-168", "title" : "Photosynthetic acclimation to elevated CO2 is modified by source:sink balance in three component species of chalk grassland swards grown in a free air carbon dioxide enrichment (FACE) experiment", "type" : "article-journal", "volume" : "21" }, "uris" : [ "http://www.mendeley.com/documents/?uuid=08d06e6f-6558-4bdd-9350-c1b56acb361c" ] }, { "id" : "ITEM-2", "itemData" : { "ISSN" : "1532-2548", "PMID" : "9765554", "abstract" : "Acclimation of photosynthesis to elevated CO2 has previously been shown to be more pronounced when N supply is poor. Is this a direct effect of N or an indirect effect of N by limiting the development of sinks for photoassimilate? This question was tested by growing a perennial ryegrass (Lolium perenne) in the field under elevated (60 Pa) and current (36 Pa) partial pressures of CO2 (pCO2) at low and high levels of N fertilization. Cutting of this herbage crop at 4- to 8-week intervals removed about 80% of the canopy, therefore decreasing the ratio of photosynthetic area to sinks for photoassimilate. Leaf photosynthesis, in vivo carboxylation capacity, carbohydrate, N, ribulose-1,5-bisphosphate carboxylase/oxygenase, sedoheptulose-1,7-bisphosphatase, and chloroplastic fructose-1, 6-bisphosphatase levels were determined for mature lamina during two consecutive summers. Just before the cut, when the canopy was relatively large, growth at elevated pCO2 and low N resulted in significant decreases in carboxylation capacity and the amount of ribulose-1,5-bisphosphate carboxylase/oxygenase protein. In high N there were no significant decreases in carboxylation capacity or proteins, but chloroplastic fructose-1,6-bisphosphatase protein levels increased significantly. Elevated pCO2 resulted in a marked and significant increase in leaf carbohydrate content at low N, but had no effect at high N. This acclimation at low N was absent after the harvest, when the canopy size was small. These results suggest that acclimation under low N is caused by limitation of sink development rather than being a direct effect of N supply on photosynthesis.", "author" : [ { "dropping-particle" : "", "family" : "Rogers", "given" : "A", "non-dropping-particle" : "", "parse-names" : false, "suffix" : "" }, { "dropping-particle" : "", "family" : "Fischer", "given" : "BU", "non-dropping-particle" : "", "parse-names" : false, "suffix" : "" }, { "dropping-particle" : "", "family" : "Bryant", "given" : "J", "non-dropping-particle" : "", "parse-names" : false, "suffix" : "" }, { "dropping-particle" : "", "family" : "Frehner", "given" : "M", "non-dropping-particle" : "", "parse-names" : false, "suffix" : "" }, { "dropping-particle" : "", "family" : "Blum", "given" : "H", "non-dropping-particle" : "", "parse-names" : false, "suffix" : "" }, { "dropping-particle" : "", "family" : "Raines", "given" : "CA", "non-dropping-particle" : "", "parse-names" : false, "suffix" : "" }, { "dropping-particle" : "", "family" : "Long", "given" : "SP", "non-dropping-particle" : "", "parse-names" : false, "suffix" : "" } ], "container-title" : "Plant Physiology", "id" : "ITEM-2", "issue" : "2", "issued" : { "date-parts" : [ [ "1998", "10" ] ] }, "page" : "683-9", "title" : "Acclimation of photosynthesis to elevated CO2 under low-nitrogen nutrition is affected by the capacity for assimilate utilization. Perennial ryegrass under free-air CO2 enrichment", "type" : "article-journal", "volume" : "118" }, "uris" : [ "http://www.mendeley.com/documents/?uuid=cbd02c05-1a1f-4c95-812f-93fcf1df820a" ] }, { "id" : "ITEM-3", "itemData" : { "author" : [ { "dropping-particle" : "", "family" : "Ainsworth", "given" : "E A", "non-dropping-particle" : "", "parse-names" : false, "suffix" : "" }, { "dropping-particle" : "", "family" : "Davey", "given" : "P A", "non-dropping-particle" : "", "parse-names" : false, "suffix" : "" }, { "dropping-particle" : "", "family" : "Hymus", "given" : "G J", "non-dropping-particle" : "", "parse-names" : false, "suffix" : "" }, { "dropping-particle" : "", "family" : "Osborne", "given" : "C P", "non-dropping-particle" : "", "parse-names" : false, "suffix" : "" }, { "dropping-particle" : "", "family" : "Rogers", "given" : "A", "non-dropping-particle" : "", "parse-names" : false, "suffix" : "" }, { "dropping-particle" : "", "family" : "Blum", "given" : "H", "non-dropping-particle" : "", "parse-names" : false, "suffix" : "" }, { "dropping-particle" : "", "family" : "N\u00f6sberger", "given" : "J", "non-dropping-particle" : "", "parse-names" : false, "suffix" : "" } ], "container-title" : "Plant, Cell &amp; Environment", "id" : "ITEM-3", "issued" : { "date-parts" : [ [ "2003" ] ] }, "page" : "705-714", "title" : "Is stimulation of leaf photosynthesis by elevated carbon dioxide concentration maintained in the long term? A test with Lolium perenne grown for 10 years at two nitrogen fertilization levels under Free Air CO2 Enrichment (FACE)", "type" : "article-journal", "volume" : "26" }, "uris" : [ "http://www.mendeley.com/documents/?uuid=c2e64ee4-0701-4038-bbb9-375db47c90d0" ] } ], "mendeley" : { "formattedCitation" : "(Bryant &lt;i&gt;et al.&lt;/i&gt;, 1998; Rogers &lt;i&gt;et al.&lt;/i&gt;, 1998; Ainsworth &lt;i&gt;et al.&lt;/i&gt;, 2003)", "plainTextFormattedCitation" : "(Bryant et al., 1998; Rogers et al., 1998; Ainsworth et al., 2003)", "previouslyFormattedCitation" : "(Bryant &lt;i&gt;et al.&lt;/i&gt;, 1998; Rogers &lt;i&gt;et al.&lt;/i&gt;, 1998; Ainsworth &lt;i&gt;et al.&lt;/i&gt;, 2003)" }, "properties" : { "noteIndex" : 0 }, "schema" : "https://github.com/citation-style-language/schema/raw/master/csl-citation.json" }</w:instrText>
      </w:r>
      <w:r w:rsidRPr="00531789">
        <w:rPr>
          <w:rFonts w:ascii="Cambria" w:hAnsi="Cambria" w:cs="Courier New"/>
        </w:rPr>
        <w:fldChar w:fldCharType="separate"/>
      </w:r>
      <w:r w:rsidRPr="002C5907">
        <w:rPr>
          <w:rFonts w:ascii="Cambria" w:hAnsi="Cambria" w:cs="Courier New"/>
          <w:noProof/>
        </w:rPr>
        <w:t xml:space="preserve">(Bryant </w:t>
      </w:r>
      <w:r w:rsidRPr="002C5907">
        <w:rPr>
          <w:rFonts w:ascii="Cambria" w:hAnsi="Cambria" w:cs="Courier New"/>
          <w:i/>
          <w:noProof/>
        </w:rPr>
        <w:t>et al.</w:t>
      </w:r>
      <w:r w:rsidRPr="002C5907">
        <w:rPr>
          <w:rFonts w:ascii="Cambria" w:hAnsi="Cambria" w:cs="Courier New"/>
          <w:noProof/>
        </w:rPr>
        <w:t xml:space="preserve">, 1998; Rogers </w:t>
      </w:r>
      <w:r w:rsidRPr="002C5907">
        <w:rPr>
          <w:rFonts w:ascii="Cambria" w:hAnsi="Cambria" w:cs="Courier New"/>
          <w:i/>
          <w:noProof/>
        </w:rPr>
        <w:t>et al.</w:t>
      </w:r>
      <w:r w:rsidRPr="002C5907">
        <w:rPr>
          <w:rFonts w:ascii="Cambria" w:hAnsi="Cambria" w:cs="Courier New"/>
          <w:noProof/>
        </w:rPr>
        <w:t xml:space="preserve">, 1998; Ainsworth </w:t>
      </w:r>
      <w:r w:rsidRPr="002C5907">
        <w:rPr>
          <w:rFonts w:ascii="Cambria" w:hAnsi="Cambria" w:cs="Courier New"/>
          <w:i/>
          <w:noProof/>
        </w:rPr>
        <w:t>et al.</w:t>
      </w:r>
      <w:r w:rsidRPr="002C5907">
        <w:rPr>
          <w:rFonts w:ascii="Cambria" w:hAnsi="Cambria" w:cs="Courier New"/>
          <w:noProof/>
        </w:rPr>
        <w:t>, 2003)</w:t>
      </w:r>
      <w:r w:rsidRPr="00531789">
        <w:rPr>
          <w:rFonts w:ascii="Cambria" w:hAnsi="Cambria" w:cs="Courier New"/>
        </w:rPr>
        <w:fldChar w:fldCharType="end"/>
      </w:r>
      <w:r w:rsidRPr="00531789">
        <w:rPr>
          <w:rFonts w:ascii="Cambria" w:hAnsi="Cambria" w:cs="Courier New"/>
        </w:rPr>
        <w:t>.  In contrast</w:t>
      </w:r>
      <w:r>
        <w:rPr>
          <w:rFonts w:ascii="Cambria" w:hAnsi="Cambria" w:cs="Courier New"/>
        </w:rPr>
        <w:t>, we expected that</w:t>
      </w:r>
      <w:r w:rsidRPr="00531789">
        <w:rPr>
          <w:rFonts w:ascii="Cambria" w:hAnsi="Cambria" w:cs="Courier New"/>
        </w:rPr>
        <w:t xml:space="preserve"> the more strongly sink limited, slower-growing perennial would show a greater increase in storage of carbon rich metabolites under elevated [CO</w:t>
      </w:r>
      <w:r w:rsidRPr="00531789">
        <w:rPr>
          <w:rFonts w:ascii="Cambria" w:hAnsi="Cambria" w:cs="Courier New"/>
          <w:vertAlign w:val="subscript"/>
        </w:rPr>
        <w:t>2</w:t>
      </w:r>
      <w:r w:rsidRPr="00531789">
        <w:rPr>
          <w:rFonts w:ascii="Cambria" w:hAnsi="Cambria" w:cs="Courier New"/>
        </w:rPr>
        <w:t>]</w:t>
      </w:r>
      <w:r w:rsidRPr="00531789">
        <w:rPr>
          <w:rFonts w:ascii="Cambria" w:hAnsi="Cambria" w:cs="Courier New"/>
          <w:vertAlign w:val="subscript"/>
        </w:rPr>
        <w:t>.</w:t>
      </w:r>
    </w:p>
    <w:p w14:paraId="030428FF" w14:textId="77777777" w:rsidR="00DF4522" w:rsidRDefault="00DF4522" w:rsidP="00DF4522">
      <w:pPr>
        <w:spacing w:line="360" w:lineRule="auto"/>
        <w:jc w:val="both"/>
        <w:rPr>
          <w:rFonts w:ascii="Cambria" w:hAnsi="Cambria" w:cs="Courier New"/>
          <w:vertAlign w:val="subscript"/>
        </w:rPr>
      </w:pPr>
    </w:p>
    <w:p w14:paraId="51A576C2" w14:textId="77777777" w:rsidR="00DF4522" w:rsidRPr="00531789" w:rsidRDefault="00DF4522" w:rsidP="00DF4522">
      <w:pPr>
        <w:spacing w:line="360" w:lineRule="auto"/>
        <w:jc w:val="both"/>
        <w:rPr>
          <w:rFonts w:ascii="Cambria" w:hAnsi="Cambria" w:cs="Courier New"/>
          <w:vertAlign w:val="subscript"/>
        </w:rPr>
      </w:pPr>
      <w:r w:rsidRPr="00531789">
        <w:rPr>
          <w:rFonts w:ascii="Cambria" w:hAnsi="Cambria" w:cs="Courier New"/>
          <w:vertAlign w:val="subscript"/>
        </w:rPr>
        <w:br w:type="page"/>
      </w:r>
    </w:p>
    <w:p w14:paraId="53C9CC31" w14:textId="77777777" w:rsidR="00DF4522" w:rsidRPr="00531789" w:rsidRDefault="00DF4522" w:rsidP="00DF4522">
      <w:pPr>
        <w:pStyle w:val="Heading2"/>
        <w:rPr>
          <w:rFonts w:ascii="Cambria" w:hAnsi="Cambria"/>
          <w:color w:val="auto"/>
        </w:rPr>
      </w:pPr>
      <w:bookmarkStart w:id="98" w:name="_Toc322267596"/>
      <w:bookmarkStart w:id="99" w:name="_Toc322267718"/>
      <w:bookmarkStart w:id="100" w:name="_Toc322267882"/>
      <w:bookmarkStart w:id="101" w:name="_Toc331253023"/>
      <w:r w:rsidRPr="00531789">
        <w:rPr>
          <w:rFonts w:ascii="Cambria" w:hAnsi="Cambria"/>
          <w:color w:val="auto"/>
        </w:rPr>
        <w:t>MATERIALS AND METHODS</w:t>
      </w:r>
      <w:bookmarkEnd w:id="98"/>
      <w:bookmarkEnd w:id="99"/>
      <w:bookmarkEnd w:id="100"/>
      <w:bookmarkEnd w:id="101"/>
    </w:p>
    <w:p w14:paraId="7FAB4ADD" w14:textId="77777777" w:rsidR="00DF4522" w:rsidRPr="00531789" w:rsidRDefault="00DF4522" w:rsidP="00DF4522">
      <w:pPr>
        <w:spacing w:line="360" w:lineRule="auto"/>
        <w:jc w:val="both"/>
        <w:rPr>
          <w:rFonts w:ascii="Cambria" w:hAnsi="Cambria" w:cs="Courier New"/>
          <w:b/>
        </w:rPr>
      </w:pPr>
    </w:p>
    <w:p w14:paraId="69640308" w14:textId="77777777" w:rsidR="00DF4522" w:rsidRPr="00531789" w:rsidRDefault="00DF4522" w:rsidP="00DF4522">
      <w:pPr>
        <w:spacing w:line="360" w:lineRule="auto"/>
        <w:jc w:val="both"/>
        <w:rPr>
          <w:rFonts w:ascii="Cambria" w:hAnsi="Cambria" w:cs="Courier New"/>
          <w:b/>
        </w:rPr>
      </w:pPr>
      <w:r w:rsidRPr="00531789">
        <w:rPr>
          <w:rFonts w:ascii="Cambria" w:hAnsi="Cambria" w:cs="Courier New"/>
          <w:b/>
        </w:rPr>
        <w:t>Plant material and growth conditions</w:t>
      </w:r>
    </w:p>
    <w:p w14:paraId="3CD548C3" w14:textId="77777777" w:rsidR="00DF4522" w:rsidRPr="00531789" w:rsidRDefault="00DF4522" w:rsidP="00DF4522">
      <w:pPr>
        <w:spacing w:line="360" w:lineRule="auto"/>
        <w:jc w:val="both"/>
        <w:rPr>
          <w:rFonts w:ascii="Cambria" w:hAnsi="Cambria" w:cs="Courier New"/>
          <w:b/>
        </w:rPr>
      </w:pPr>
    </w:p>
    <w:p w14:paraId="5D55282C"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 xml:space="preserve">Seeds of </w:t>
      </w:r>
      <w:proofErr w:type="spellStart"/>
      <w:r w:rsidRPr="00531789">
        <w:rPr>
          <w:rFonts w:ascii="Cambria" w:hAnsi="Cambria" w:cs="Courier New"/>
          <w:i/>
        </w:rPr>
        <w:t>Hordeum</w:t>
      </w:r>
      <w:proofErr w:type="spellEnd"/>
      <w:r w:rsidRPr="00531789">
        <w:rPr>
          <w:rFonts w:ascii="Cambria" w:hAnsi="Cambria" w:cs="Courier New"/>
          <w:i/>
        </w:rPr>
        <w:t xml:space="preserve"> </w:t>
      </w:r>
      <w:proofErr w:type="spellStart"/>
      <w:r w:rsidRPr="00531789">
        <w:rPr>
          <w:rFonts w:ascii="Cambria" w:hAnsi="Cambria" w:cs="Courier New"/>
          <w:i/>
        </w:rPr>
        <w:t>vulgare</w:t>
      </w:r>
      <w:proofErr w:type="spellEnd"/>
      <w:r w:rsidRPr="00531789">
        <w:rPr>
          <w:rFonts w:ascii="Cambria" w:hAnsi="Cambria" w:cs="Courier New"/>
          <w:i/>
        </w:rPr>
        <w:t xml:space="preserve"> </w:t>
      </w:r>
      <w:r w:rsidRPr="00531789">
        <w:rPr>
          <w:rFonts w:ascii="Cambria" w:hAnsi="Cambria" w:cs="Courier New"/>
        </w:rPr>
        <w:t xml:space="preserve">cv. NFC Tipple and </w:t>
      </w:r>
      <w:proofErr w:type="spellStart"/>
      <w:r w:rsidRPr="00531789">
        <w:rPr>
          <w:rFonts w:ascii="Cambria" w:hAnsi="Cambria" w:cs="Courier New"/>
          <w:i/>
        </w:rPr>
        <w:t>Hordeum</w:t>
      </w:r>
      <w:proofErr w:type="spellEnd"/>
      <w:r w:rsidRPr="00531789">
        <w:rPr>
          <w:rFonts w:ascii="Cambria" w:hAnsi="Cambria" w:cs="Courier New"/>
          <w:i/>
        </w:rPr>
        <w:t xml:space="preserve"> </w:t>
      </w:r>
      <w:proofErr w:type="spellStart"/>
      <w:r w:rsidRPr="00531789">
        <w:rPr>
          <w:rFonts w:ascii="Cambria" w:hAnsi="Cambria" w:cs="Courier New"/>
          <w:i/>
        </w:rPr>
        <w:t>bulbosum</w:t>
      </w:r>
      <w:proofErr w:type="spellEnd"/>
      <w:r w:rsidRPr="00531789">
        <w:rPr>
          <w:rFonts w:ascii="Cambria" w:hAnsi="Cambria" w:cs="Courier New"/>
          <w:i/>
        </w:rPr>
        <w:t xml:space="preserve"> </w:t>
      </w:r>
      <w:r w:rsidRPr="00531789">
        <w:rPr>
          <w:rFonts w:ascii="Cambria" w:hAnsi="Cambria" w:cs="Courier New"/>
        </w:rPr>
        <w:t xml:space="preserve">(Accessions GRA1031 and GRA947) were obtained from Syngenta and IPK </w:t>
      </w:r>
      <w:proofErr w:type="spellStart"/>
      <w:r w:rsidRPr="00531789">
        <w:rPr>
          <w:rFonts w:ascii="Cambria" w:hAnsi="Cambria" w:cs="Courier New"/>
        </w:rPr>
        <w:t>Gatersleben</w:t>
      </w:r>
      <w:proofErr w:type="spellEnd"/>
      <w:r w:rsidRPr="00531789">
        <w:rPr>
          <w:rFonts w:ascii="Cambria" w:hAnsi="Cambria" w:cs="Courier New"/>
        </w:rPr>
        <w:t xml:space="preserve"> respectively. Seeds were germinated on wet filter paper and transplanted to 4-litre pots filled with 1:10 </w:t>
      </w:r>
      <w:proofErr w:type="spellStart"/>
      <w:r w:rsidRPr="00531789">
        <w:rPr>
          <w:rFonts w:ascii="Cambria" w:hAnsi="Cambria" w:cs="Courier New"/>
        </w:rPr>
        <w:t>sand:vermiculite</w:t>
      </w:r>
      <w:proofErr w:type="spellEnd"/>
      <w:r w:rsidRPr="00531789">
        <w:rPr>
          <w:rFonts w:ascii="Cambria" w:hAnsi="Cambria" w:cs="Courier New"/>
        </w:rPr>
        <w:t xml:space="preserve"> and topped with an additional layer of sand to aid root development of the seedlings. Plants were grown in </w:t>
      </w:r>
      <w:r>
        <w:rPr>
          <w:rFonts w:ascii="Cambria" w:hAnsi="Cambria" w:cs="Courier New"/>
        </w:rPr>
        <w:t xml:space="preserve">controlled environment </w:t>
      </w:r>
      <w:r w:rsidRPr="00531789">
        <w:rPr>
          <w:rFonts w:ascii="Cambria" w:hAnsi="Cambria" w:cs="Courier New"/>
        </w:rPr>
        <w:t xml:space="preserve">growth chambers </w:t>
      </w:r>
      <w:r>
        <w:rPr>
          <w:rFonts w:ascii="Cambria" w:hAnsi="Cambria" w:cs="Courier New"/>
        </w:rPr>
        <w:t>(</w:t>
      </w:r>
      <w:r w:rsidRPr="00531789">
        <w:rPr>
          <w:rFonts w:ascii="Cambria" w:hAnsi="Cambria" w:cs="Courier New"/>
        </w:rPr>
        <w:t>BDR 16</w:t>
      </w:r>
      <w:r>
        <w:rPr>
          <w:rFonts w:ascii="Cambria" w:hAnsi="Cambria" w:cs="Courier New"/>
        </w:rPr>
        <w:t xml:space="preserve">, </w:t>
      </w:r>
      <w:proofErr w:type="spellStart"/>
      <w:r>
        <w:rPr>
          <w:rFonts w:ascii="Cambria" w:hAnsi="Cambria" w:cs="Courier New"/>
        </w:rPr>
        <w:t>Conviron</w:t>
      </w:r>
      <w:proofErr w:type="spellEnd"/>
      <w:r>
        <w:rPr>
          <w:rFonts w:ascii="Cambria" w:hAnsi="Cambria" w:cs="Courier New"/>
        </w:rPr>
        <w:t xml:space="preserve">, </w:t>
      </w:r>
      <w:proofErr w:type="spellStart"/>
      <w:r w:rsidRPr="00531789">
        <w:rPr>
          <w:rFonts w:ascii="Cambria" w:hAnsi="Cambria"/>
        </w:rPr>
        <w:t>Isleham</w:t>
      </w:r>
      <w:proofErr w:type="spellEnd"/>
      <w:r w:rsidRPr="00531789">
        <w:rPr>
          <w:rFonts w:ascii="Cambria" w:hAnsi="Cambria"/>
        </w:rPr>
        <w:t>, UK</w:t>
      </w:r>
      <w:r>
        <w:rPr>
          <w:rFonts w:ascii="Cambria" w:hAnsi="Cambria" w:cs="Courier New"/>
        </w:rPr>
        <w:t xml:space="preserve">) </w:t>
      </w:r>
      <w:r w:rsidRPr="00531789">
        <w:rPr>
          <w:rFonts w:ascii="Cambria" w:hAnsi="Cambria" w:cs="Courier New"/>
        </w:rPr>
        <w:t>at the University of Sheffield, two of which had been modified to scrub CO</w:t>
      </w:r>
      <w:r w:rsidRPr="00531789">
        <w:rPr>
          <w:rFonts w:ascii="Cambria" w:hAnsi="Cambria" w:cs="Courier New"/>
          <w:vertAlign w:val="subscript"/>
        </w:rPr>
        <w:t>2</w:t>
      </w:r>
      <w:r w:rsidRPr="00531789">
        <w:rPr>
          <w:rFonts w:ascii="Cambria" w:hAnsi="Cambria" w:cs="Courier New"/>
        </w:rPr>
        <w:t xml:space="preserve"> using soda lime. Plants were grown in three chambers with fixed CO</w:t>
      </w:r>
      <w:r w:rsidRPr="00531789">
        <w:rPr>
          <w:rFonts w:ascii="Cambria" w:hAnsi="Cambria" w:cs="Courier New"/>
          <w:vertAlign w:val="subscript"/>
        </w:rPr>
        <w:t>2</w:t>
      </w:r>
      <w:r w:rsidRPr="00531789">
        <w:rPr>
          <w:rFonts w:ascii="Cambria" w:hAnsi="Cambria" w:cs="Courier New"/>
        </w:rPr>
        <w:t xml:space="preserve"> levels of 180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and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for 61 days. 180 and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 xml:space="preserve">-1 </w:t>
      </w:r>
      <w:r w:rsidRPr="00531789">
        <w:rPr>
          <w:rFonts w:ascii="Cambria" w:hAnsi="Cambria" w:cs="Courier New"/>
        </w:rPr>
        <w:t>were chosen in order to impose strong carbon source and sink limitations.  All chambers had a 12-hour photoperiod with day/night temperatures of 20/18°C, 65% humidity, and daytime light levels of 600 µ</w:t>
      </w:r>
      <w:proofErr w:type="spellStart"/>
      <w:r w:rsidRPr="00531789">
        <w:rPr>
          <w:rFonts w:ascii="Cambria" w:hAnsi="Cambria" w:cs="Courier New"/>
        </w:rPr>
        <w:t>mol</w:t>
      </w:r>
      <w:proofErr w:type="spellEnd"/>
      <w:r w:rsidRPr="00531789">
        <w:rPr>
          <w:rFonts w:ascii="Cambria" w:hAnsi="Cambria" w:cs="Courier New"/>
        </w:rPr>
        <w:t xml:space="preserve"> photons m</w:t>
      </w:r>
      <w:r w:rsidRPr="00531789">
        <w:rPr>
          <w:rFonts w:ascii="Cambria" w:hAnsi="Cambria" w:cs="Courier New"/>
          <w:vertAlign w:val="superscript"/>
        </w:rPr>
        <w:t xml:space="preserve">-2 </w:t>
      </w:r>
      <w:r w:rsidRPr="00531789">
        <w:rPr>
          <w:rFonts w:ascii="Cambria" w:hAnsi="Cambria" w:cs="Courier New"/>
        </w:rPr>
        <w:t>s</w:t>
      </w:r>
      <w:r w:rsidRPr="00531789">
        <w:rPr>
          <w:rFonts w:ascii="Cambria" w:hAnsi="Cambria" w:cs="Courier New"/>
          <w:vertAlign w:val="superscript"/>
        </w:rPr>
        <w:t xml:space="preserve">-1 </w:t>
      </w:r>
      <w:r w:rsidRPr="00531789">
        <w:rPr>
          <w:rFonts w:ascii="Cambria" w:hAnsi="Cambria" w:cs="Courier New"/>
        </w:rPr>
        <w:t>at plant height resulting in a da</w:t>
      </w:r>
      <w:r>
        <w:rPr>
          <w:rFonts w:ascii="Cambria" w:hAnsi="Cambria" w:cs="Courier New"/>
        </w:rPr>
        <w:t xml:space="preserve">ily light integral of 25.92 </w:t>
      </w:r>
      <w:proofErr w:type="spellStart"/>
      <w:r>
        <w:rPr>
          <w:rFonts w:ascii="Cambria" w:hAnsi="Cambria" w:cs="Courier New"/>
        </w:rPr>
        <w:t>mol</w:t>
      </w:r>
      <w:proofErr w:type="spellEnd"/>
      <w:r>
        <w:rPr>
          <w:rFonts w:ascii="Cambria" w:hAnsi="Cambria" w:cs="Courier New"/>
        </w:rPr>
        <w:t xml:space="preserve"> photons</w:t>
      </w:r>
      <w:r w:rsidRPr="00531789">
        <w:rPr>
          <w:rFonts w:ascii="Cambria" w:hAnsi="Cambria" w:cs="Courier New"/>
        </w:rPr>
        <w:t xml:space="preserve"> m</w:t>
      </w:r>
      <w:r w:rsidRPr="00531789">
        <w:rPr>
          <w:rFonts w:ascii="Cambria" w:hAnsi="Cambria" w:cs="Courier New"/>
          <w:vertAlign w:val="superscript"/>
        </w:rPr>
        <w:t xml:space="preserve">-2 </w:t>
      </w:r>
      <w:r w:rsidRPr="00531789">
        <w:rPr>
          <w:rFonts w:ascii="Cambria" w:hAnsi="Cambria" w:cs="Courier New"/>
        </w:rPr>
        <w:t>day</w:t>
      </w:r>
      <w:r w:rsidRPr="00531789">
        <w:rPr>
          <w:rFonts w:ascii="Cambria" w:hAnsi="Cambria" w:cs="Courier New"/>
          <w:vertAlign w:val="superscript"/>
        </w:rPr>
        <w:t>-1</w:t>
      </w:r>
      <w:r w:rsidRPr="00531789">
        <w:rPr>
          <w:rFonts w:ascii="Cambria" w:hAnsi="Cambria" w:cs="Courier New"/>
        </w:rPr>
        <w:t xml:space="preserve">. Plants were kept adequately watered with 20% Long Ashton’s nutrient solution.  During seedling establishment, plants were watered daily – with 150ml Reverse Osmosis water for 8 days and with 150ml Long Ashton’s solution thereafter.  After 17 days, plants were watered three times per week with 150ml Long Ashton’s solution until 29 days old, 225ml until 45 days old, and 450ml thereafter. </w:t>
      </w:r>
    </w:p>
    <w:p w14:paraId="26F2F6D4" w14:textId="77777777" w:rsidR="00DF4522" w:rsidRPr="00531789" w:rsidRDefault="00DF4522" w:rsidP="00DF4522">
      <w:pPr>
        <w:spacing w:line="360" w:lineRule="auto"/>
        <w:jc w:val="both"/>
        <w:rPr>
          <w:rFonts w:ascii="Cambria" w:hAnsi="Cambria" w:cs="Courier New"/>
        </w:rPr>
      </w:pPr>
    </w:p>
    <w:p w14:paraId="51F3EA7F"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Photosynthesis measurements and metabolite harvests were carried out three times in consecutive weeks, between 46 and 61 days after germination (DAG). In each of these harvest weeks, six annuals from each CO</w:t>
      </w:r>
      <w:r w:rsidRPr="00531789">
        <w:rPr>
          <w:rFonts w:ascii="Cambria" w:hAnsi="Cambria" w:cs="Courier New"/>
          <w:vertAlign w:val="subscript"/>
        </w:rPr>
        <w:t>2</w:t>
      </w:r>
      <w:r w:rsidRPr="00531789">
        <w:rPr>
          <w:rFonts w:ascii="Cambria" w:hAnsi="Cambria" w:cs="Courier New"/>
        </w:rPr>
        <w:t xml:space="preserve"> level were harvested (three at dawn and three at dusk), giving a total of 54 individuals across three weeks.  In the first and third of these harvest weeks, six perennials from each CO</w:t>
      </w:r>
      <w:r w:rsidRPr="00531789">
        <w:rPr>
          <w:rFonts w:ascii="Cambria" w:hAnsi="Cambria" w:cs="Courier New"/>
          <w:vertAlign w:val="subscript"/>
        </w:rPr>
        <w:t>2</w:t>
      </w:r>
      <w:r w:rsidRPr="00531789">
        <w:rPr>
          <w:rFonts w:ascii="Cambria" w:hAnsi="Cambria" w:cs="Courier New"/>
        </w:rPr>
        <w:t xml:space="preserve"> level were harvested (three at dawn and three at dusk), giving a total of 36 individuals. </w:t>
      </w:r>
    </w:p>
    <w:p w14:paraId="1577EEEB" w14:textId="77777777" w:rsidR="00DF4522" w:rsidRPr="00531789" w:rsidRDefault="00DF4522" w:rsidP="00DF4522">
      <w:pPr>
        <w:spacing w:line="360" w:lineRule="auto"/>
        <w:jc w:val="both"/>
        <w:rPr>
          <w:rFonts w:ascii="Cambria" w:hAnsi="Cambria" w:cs="Courier New"/>
        </w:rPr>
      </w:pPr>
    </w:p>
    <w:p w14:paraId="35156C9D" w14:textId="77777777" w:rsidR="00DF4522" w:rsidRPr="00531789" w:rsidRDefault="00DF4522" w:rsidP="00DF4522">
      <w:pPr>
        <w:spacing w:line="360" w:lineRule="auto"/>
        <w:rPr>
          <w:rFonts w:ascii="Cambria" w:hAnsi="Cambria" w:cs="Courier New"/>
          <w:b/>
        </w:rPr>
      </w:pPr>
      <w:r w:rsidRPr="00531789">
        <w:rPr>
          <w:rFonts w:ascii="Cambria" w:hAnsi="Cambria" w:cs="Courier New"/>
          <w:b/>
        </w:rPr>
        <w:br w:type="page"/>
      </w:r>
    </w:p>
    <w:p w14:paraId="11F48234" w14:textId="77777777" w:rsidR="00DF4522" w:rsidRPr="00531789" w:rsidRDefault="00DF4522" w:rsidP="00DF4522">
      <w:pPr>
        <w:spacing w:line="360" w:lineRule="auto"/>
        <w:jc w:val="both"/>
        <w:rPr>
          <w:rFonts w:ascii="Cambria" w:hAnsi="Cambria" w:cs="Courier New"/>
          <w:b/>
        </w:rPr>
      </w:pPr>
      <w:r w:rsidRPr="00531789">
        <w:rPr>
          <w:rFonts w:ascii="Cambria" w:hAnsi="Cambria" w:cs="Courier New"/>
          <w:b/>
        </w:rPr>
        <w:t xml:space="preserve">Relative growth rate, </w:t>
      </w:r>
      <w:proofErr w:type="spellStart"/>
      <w:r w:rsidRPr="00531789">
        <w:rPr>
          <w:rFonts w:ascii="Cambria" w:hAnsi="Cambria" w:cs="Courier New"/>
          <w:b/>
        </w:rPr>
        <w:t>root:shoot</w:t>
      </w:r>
      <w:proofErr w:type="spellEnd"/>
      <w:r w:rsidRPr="00531789">
        <w:rPr>
          <w:rFonts w:ascii="Cambria" w:hAnsi="Cambria" w:cs="Courier New"/>
          <w:b/>
        </w:rPr>
        <w:t xml:space="preserve"> ratio and tillering</w:t>
      </w:r>
    </w:p>
    <w:p w14:paraId="6C33BD16" w14:textId="77777777" w:rsidR="00DF4522" w:rsidRPr="00531789" w:rsidRDefault="00DF4522" w:rsidP="00DF4522">
      <w:pPr>
        <w:spacing w:line="360" w:lineRule="auto"/>
        <w:jc w:val="both"/>
        <w:rPr>
          <w:rFonts w:ascii="Cambria" w:hAnsi="Cambria" w:cs="Courier New"/>
          <w:b/>
        </w:rPr>
      </w:pPr>
    </w:p>
    <w:p w14:paraId="17E9D7AD"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 xml:space="preserve">RGR was calculated based on the plant mass that had been derived from weekly imaging of above ground biomass, </w:t>
      </w:r>
      <w:r>
        <w:rPr>
          <w:rFonts w:ascii="Cambria" w:hAnsi="Cambria" w:cs="Courier New"/>
        </w:rPr>
        <w:t>beginning when</w:t>
      </w:r>
      <w:r w:rsidRPr="00531789">
        <w:rPr>
          <w:rFonts w:ascii="Cambria" w:hAnsi="Cambria" w:cs="Courier New"/>
        </w:rPr>
        <w:t xml:space="preserve"> plants were two weeks old. Plants were photographed (</w:t>
      </w:r>
      <w:proofErr w:type="spellStart"/>
      <w:r w:rsidRPr="00531789">
        <w:rPr>
          <w:rFonts w:ascii="Cambria" w:hAnsi="Cambria" w:cs="Courier New"/>
        </w:rPr>
        <w:t>PowerShot</w:t>
      </w:r>
      <w:proofErr w:type="spellEnd"/>
      <w:r w:rsidRPr="00531789">
        <w:rPr>
          <w:rFonts w:ascii="Cambria" w:hAnsi="Cambria" w:cs="Courier New"/>
        </w:rPr>
        <w:t xml:space="preserve"> G9, Canon, Tokyo, Japan) six times, from the side against a white background, with the plant rotated 60 degrees </w:t>
      </w:r>
      <w:r w:rsidRPr="00531789">
        <w:rPr>
          <w:rFonts w:ascii="Cambria" w:hAnsi="Cambria" w:cs="Arial"/>
        </w:rPr>
        <w:t>between successive photographs. A scale bar of known length was included for calibration.  Leaf area in pixels was obtained for each photograph using Image J (</w:t>
      </w:r>
      <w:r w:rsidRPr="00531789">
        <w:rPr>
          <w:rFonts w:ascii="Cambria" w:hAnsi="Cambria" w:cs="Arial"/>
          <w:lang w:val="en-US"/>
        </w:rPr>
        <w:t>U. S. National Institutes of Health, Bethesda, Maryland, USA, http://imagej.nih.gov/ij/</w:t>
      </w:r>
      <w:r w:rsidRPr="00531789">
        <w:rPr>
          <w:rFonts w:ascii="Cambria" w:hAnsi="Cambria" w:cs="Arial"/>
        </w:rPr>
        <w:t>), and converted to mm</w:t>
      </w:r>
      <w:r w:rsidRPr="00531789">
        <w:rPr>
          <w:rFonts w:ascii="Cambria" w:hAnsi="Cambria" w:cs="Arial"/>
          <w:vertAlign w:val="superscript"/>
        </w:rPr>
        <w:t>2</w:t>
      </w:r>
      <w:r w:rsidRPr="00531789">
        <w:rPr>
          <w:rFonts w:ascii="Cambria" w:hAnsi="Cambria" w:cs="Arial"/>
        </w:rPr>
        <w:t xml:space="preserve"> using the area</w:t>
      </w:r>
      <w:r w:rsidRPr="00531789">
        <w:rPr>
          <w:rFonts w:ascii="Cambria" w:hAnsi="Cambria" w:cs="Courier New"/>
        </w:rPr>
        <w:t xml:space="preserve"> of the scale bar.  A batch of 29 additional plants, not used in the main study, was also photographed weekly.  At nine time points between 33 and 60 DAG, individuals from this batch were separated into leaf, leaf sheath and root, and oven-dried to provide a calibration curve for leaf area and dry mass for each species. These curves were then used to predict dry mass for each plant for each set of six photographs (Fig. S1; r</w:t>
      </w:r>
      <w:r w:rsidRPr="00531789">
        <w:rPr>
          <w:rFonts w:ascii="Cambria" w:hAnsi="Cambria" w:cs="Courier New"/>
          <w:vertAlign w:val="superscript"/>
        </w:rPr>
        <w:t>2</w:t>
      </w:r>
      <w:r w:rsidRPr="00531789">
        <w:rPr>
          <w:rFonts w:ascii="Cambria" w:hAnsi="Cambria" w:cs="Courier New"/>
        </w:rPr>
        <w:t xml:space="preserve"> = 0.97 for species-based calibration). Individual growth curves showing predicted dry mass over time were obtained for each plant using a nonlinear mixed-effects model obtained by stepwise selection and used to estimate RGR at multiple </w:t>
      </w:r>
      <w:proofErr w:type="spellStart"/>
      <w:r w:rsidRPr="00531789">
        <w:rPr>
          <w:rFonts w:ascii="Cambria" w:hAnsi="Cambria" w:cs="Courier New"/>
        </w:rPr>
        <w:t>timepoints</w:t>
      </w:r>
      <w:proofErr w:type="spellEnd"/>
      <w:r w:rsidRPr="00531789">
        <w:rPr>
          <w:rFonts w:ascii="Cambria" w:hAnsi="Cambria" w:cs="Courier New"/>
        </w:rPr>
        <w:t xml:space="preserve"> by differentiation, where more than three </w:t>
      </w:r>
      <w:proofErr w:type="spellStart"/>
      <w:r w:rsidRPr="00531789">
        <w:rPr>
          <w:rFonts w:ascii="Cambria" w:hAnsi="Cambria" w:cs="Courier New"/>
        </w:rPr>
        <w:t>timepoints</w:t>
      </w:r>
      <w:proofErr w:type="spellEnd"/>
      <w:r w:rsidRPr="00531789">
        <w:rPr>
          <w:rFonts w:ascii="Cambria" w:hAnsi="Cambria" w:cs="Courier New"/>
        </w:rPr>
        <w:t xml:space="preserve"> had been measured. </w:t>
      </w:r>
    </w:p>
    <w:p w14:paraId="0103C3DF" w14:textId="77777777" w:rsidR="00DF4522" w:rsidRPr="00531789" w:rsidRDefault="00DF4522" w:rsidP="00DF4522">
      <w:pPr>
        <w:spacing w:line="360" w:lineRule="auto"/>
        <w:jc w:val="both"/>
        <w:rPr>
          <w:rFonts w:ascii="Cambria" w:hAnsi="Cambria" w:cs="Courier New"/>
        </w:rPr>
      </w:pPr>
    </w:p>
    <w:p w14:paraId="087DE216"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 xml:space="preserve">The calibration was also used to predict </w:t>
      </w:r>
      <w:proofErr w:type="spellStart"/>
      <w:r w:rsidRPr="00531789">
        <w:rPr>
          <w:rFonts w:ascii="Cambria" w:hAnsi="Cambria" w:cs="Courier New"/>
        </w:rPr>
        <w:t>root:shoot</w:t>
      </w:r>
      <w:proofErr w:type="spellEnd"/>
      <w:r w:rsidRPr="00531789">
        <w:rPr>
          <w:rFonts w:ascii="Cambria" w:hAnsi="Cambria" w:cs="Courier New"/>
        </w:rPr>
        <w:t xml:space="preserve"> ratio for the plants in the main study.  For each of the oven-dried individuals, the relative contribution of shoot and root to whole plant mass was recorded and the mean fraction of root and shoot was calculated.  This was then applied to the plant mass predicted for the plants in the main study using calibration of image data, to give an estimate of </w:t>
      </w:r>
      <w:proofErr w:type="spellStart"/>
      <w:r w:rsidRPr="00531789">
        <w:rPr>
          <w:rFonts w:ascii="Cambria" w:hAnsi="Cambria" w:cs="Courier New"/>
        </w:rPr>
        <w:t>root:shoot</w:t>
      </w:r>
      <w:proofErr w:type="spellEnd"/>
      <w:r w:rsidRPr="00531789">
        <w:rPr>
          <w:rFonts w:ascii="Cambria" w:hAnsi="Cambria" w:cs="Courier New"/>
        </w:rPr>
        <w:t xml:space="preserve"> ratio for each individual.</w:t>
      </w:r>
    </w:p>
    <w:p w14:paraId="60570F94" w14:textId="77777777" w:rsidR="00DF4522" w:rsidRPr="00531789" w:rsidRDefault="00DF4522" w:rsidP="00DF4522">
      <w:pPr>
        <w:spacing w:line="360" w:lineRule="auto"/>
        <w:jc w:val="both"/>
        <w:rPr>
          <w:rFonts w:ascii="Cambria" w:hAnsi="Cambria" w:cs="Courier New"/>
        </w:rPr>
      </w:pPr>
    </w:p>
    <w:p w14:paraId="06FD7ED8"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Tillers were counted the day before metabolite harvests were carried out.</w:t>
      </w:r>
    </w:p>
    <w:p w14:paraId="45F7C6A3" w14:textId="77777777" w:rsidR="00DF4522" w:rsidRDefault="00DF4522" w:rsidP="00DF4522">
      <w:pPr>
        <w:spacing w:line="360" w:lineRule="auto"/>
        <w:jc w:val="both"/>
        <w:rPr>
          <w:rFonts w:ascii="Cambria" w:hAnsi="Cambria" w:cs="Courier New"/>
        </w:rPr>
      </w:pPr>
    </w:p>
    <w:p w14:paraId="4D8C2E76" w14:textId="77777777" w:rsidR="00DF4522" w:rsidRDefault="00DF4522" w:rsidP="00DF4522">
      <w:pPr>
        <w:spacing w:line="360" w:lineRule="auto"/>
        <w:jc w:val="both"/>
        <w:rPr>
          <w:rFonts w:ascii="Cambria" w:hAnsi="Cambria" w:cs="Courier New"/>
        </w:rPr>
      </w:pPr>
    </w:p>
    <w:p w14:paraId="15DF3724" w14:textId="77777777" w:rsidR="00DF4522" w:rsidRDefault="00DF4522" w:rsidP="00DF4522">
      <w:pPr>
        <w:spacing w:line="360" w:lineRule="auto"/>
        <w:jc w:val="both"/>
        <w:rPr>
          <w:rFonts w:ascii="Cambria" w:hAnsi="Cambria" w:cs="Courier New"/>
        </w:rPr>
      </w:pPr>
    </w:p>
    <w:p w14:paraId="2F53247D" w14:textId="77777777" w:rsidR="00DF4522" w:rsidRPr="00531789" w:rsidRDefault="00DF4522" w:rsidP="00DF4522">
      <w:pPr>
        <w:spacing w:line="360" w:lineRule="auto"/>
        <w:jc w:val="both"/>
        <w:rPr>
          <w:rFonts w:ascii="Cambria" w:hAnsi="Cambria" w:cs="Courier New"/>
        </w:rPr>
      </w:pPr>
    </w:p>
    <w:p w14:paraId="23ABA308" w14:textId="77777777" w:rsidR="00DF4522" w:rsidRPr="00531789" w:rsidRDefault="00DF4522" w:rsidP="00DF4522">
      <w:pPr>
        <w:spacing w:line="360" w:lineRule="auto"/>
        <w:jc w:val="both"/>
        <w:rPr>
          <w:rFonts w:ascii="Cambria" w:hAnsi="Cambria" w:cs="Courier New"/>
          <w:b/>
        </w:rPr>
      </w:pPr>
      <w:r w:rsidRPr="00531789">
        <w:rPr>
          <w:rFonts w:ascii="Cambria" w:hAnsi="Cambria" w:cs="Courier New"/>
          <w:b/>
        </w:rPr>
        <w:t>Photosynthesis</w:t>
      </w:r>
    </w:p>
    <w:p w14:paraId="0A9A38A9" w14:textId="77777777" w:rsidR="00DF4522" w:rsidRPr="00531789" w:rsidRDefault="00DF4522" w:rsidP="00DF4522">
      <w:pPr>
        <w:spacing w:line="360" w:lineRule="auto"/>
        <w:jc w:val="both"/>
        <w:rPr>
          <w:rFonts w:ascii="Cambria" w:hAnsi="Cambria" w:cs="Courier New"/>
          <w:b/>
        </w:rPr>
      </w:pPr>
    </w:p>
    <w:p w14:paraId="597C5B33"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 xml:space="preserve">Diurnal measurements of photosynthesis were made the day before plants were harvested for metabolite assays.  51 annual and 26 perennial individuals were measured (the remaining plants were too small for gas exchange measurements to be performed).  Instantaneous net photosynthetic rate was measured every 3.5 hours between 30 minutes after dawn and 30 minutes before dusk, using the LI-6400XT Portable Photosynthesis System (LI-COR Biosciences, Lincoln, NE, USA). Net photosynthetic rate was measured </w:t>
      </w:r>
      <w:r w:rsidRPr="00531789">
        <w:rPr>
          <w:rFonts w:ascii="Cambria" w:hAnsi="Cambria" w:cs="Courier New"/>
          <w:i/>
        </w:rPr>
        <w:t>in situ</w:t>
      </w:r>
      <w:r w:rsidRPr="00531789">
        <w:rPr>
          <w:rFonts w:ascii="Cambria" w:hAnsi="Cambria" w:cs="Courier New"/>
        </w:rPr>
        <w:t xml:space="preserve"> within growth chambers, under the ambient environmental conditions of each chamber described above. These measurements were used to obtain a curve of photosynthesis during the photoperiod for each plant, and the area underneath was integrated to give a daily rate of net carbon fixation per unit area. </w:t>
      </w:r>
    </w:p>
    <w:p w14:paraId="12C38906" w14:textId="77777777" w:rsidR="00DF4522" w:rsidRPr="00531789" w:rsidRDefault="00DF4522" w:rsidP="00DF4522">
      <w:pPr>
        <w:spacing w:line="360" w:lineRule="auto"/>
        <w:jc w:val="both"/>
        <w:rPr>
          <w:rFonts w:ascii="Cambria" w:hAnsi="Cambria" w:cs="Courier New"/>
        </w:rPr>
      </w:pPr>
    </w:p>
    <w:p w14:paraId="726C6852"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A/</w:t>
      </w:r>
      <w:proofErr w:type="spellStart"/>
      <w:r w:rsidRPr="00531789">
        <w:rPr>
          <w:rFonts w:ascii="Cambria" w:hAnsi="Cambria" w:cs="Courier New"/>
        </w:rPr>
        <w:t>C</w:t>
      </w:r>
      <w:r w:rsidRPr="00531789">
        <w:rPr>
          <w:rFonts w:ascii="Cambria" w:hAnsi="Cambria" w:cs="Courier New"/>
          <w:vertAlign w:val="subscript"/>
        </w:rPr>
        <w:t>i</w:t>
      </w:r>
      <w:proofErr w:type="spellEnd"/>
      <w:r w:rsidRPr="00531789">
        <w:rPr>
          <w:rFonts w:ascii="Cambria" w:hAnsi="Cambria" w:cs="Courier New"/>
        </w:rPr>
        <w:t xml:space="preserve"> curves were measured for 15 individuals (9 annuals and 6 perennials) when plants were 54 days old, using the LI-6400XT Portable Photosynthesis System with the following settings: PAR 2000 µ</w:t>
      </w:r>
      <w:proofErr w:type="spellStart"/>
      <w:r w:rsidRPr="00531789">
        <w:rPr>
          <w:rFonts w:ascii="Cambria" w:hAnsi="Cambria" w:cs="Courier New"/>
        </w:rPr>
        <w:t>mol</w:t>
      </w:r>
      <w:proofErr w:type="spellEnd"/>
      <w:r w:rsidRPr="00531789">
        <w:rPr>
          <w:rFonts w:ascii="Cambria" w:hAnsi="Cambria" w:cs="Courier New"/>
        </w:rPr>
        <w:t xml:space="preserve"> m</w:t>
      </w:r>
      <w:r w:rsidRPr="00531789">
        <w:rPr>
          <w:rFonts w:ascii="Cambria" w:hAnsi="Cambria" w:cs="Courier New"/>
          <w:vertAlign w:val="superscript"/>
        </w:rPr>
        <w:t>-2</w:t>
      </w:r>
      <w:r w:rsidRPr="00531789">
        <w:rPr>
          <w:rFonts w:ascii="Cambria" w:hAnsi="Cambria" w:cs="Courier New"/>
        </w:rPr>
        <w:t xml:space="preserve"> s</w:t>
      </w:r>
      <w:r w:rsidRPr="00531789">
        <w:rPr>
          <w:rFonts w:ascii="Cambria" w:hAnsi="Cambria" w:cs="Courier New"/>
          <w:vertAlign w:val="superscript"/>
        </w:rPr>
        <w:t>-1</w:t>
      </w:r>
      <w:r w:rsidRPr="00531789">
        <w:rPr>
          <w:rFonts w:ascii="Cambria" w:hAnsi="Cambria" w:cs="Courier New"/>
        </w:rPr>
        <w:t>; leaf temperature 20</w:t>
      </w:r>
      <w:r w:rsidRPr="00531789">
        <w:rPr>
          <w:rFonts w:ascii="Cambria" w:hAnsi="Cambria" w:cs="Arial"/>
        </w:rPr>
        <w:t>°</w:t>
      </w:r>
      <w:r w:rsidRPr="00531789">
        <w:rPr>
          <w:rFonts w:ascii="Cambria" w:hAnsi="Cambria" w:cs="Courier New"/>
        </w:rPr>
        <w:t>C; air flow 300 µ</w:t>
      </w:r>
      <w:proofErr w:type="spellStart"/>
      <w:r w:rsidRPr="00531789">
        <w:rPr>
          <w:rFonts w:ascii="Cambria" w:hAnsi="Cambria" w:cs="Courier New"/>
        </w:rPr>
        <w:t>mol</w:t>
      </w:r>
      <w:proofErr w:type="spellEnd"/>
      <w:r w:rsidRPr="00531789">
        <w:rPr>
          <w:rFonts w:ascii="Cambria" w:hAnsi="Cambria" w:cs="Courier New"/>
        </w:rPr>
        <w:t xml:space="preserve"> s</w:t>
      </w:r>
      <w:r w:rsidRPr="00531789">
        <w:rPr>
          <w:rFonts w:ascii="Cambria" w:hAnsi="Cambria" w:cs="Courier New"/>
          <w:vertAlign w:val="superscript"/>
        </w:rPr>
        <w:t>-1</w:t>
      </w:r>
      <w:r w:rsidRPr="00531789">
        <w:rPr>
          <w:rFonts w:ascii="Cambria" w:hAnsi="Cambria" w:cs="Courier New"/>
        </w:rPr>
        <w:t>.  Each plant was acclimated under growth [CO</w:t>
      </w:r>
      <w:r w:rsidRPr="00531789">
        <w:rPr>
          <w:rFonts w:ascii="Cambria" w:hAnsi="Cambria" w:cs="Courier New"/>
          <w:vertAlign w:val="subscript"/>
        </w:rPr>
        <w:t>2</w:t>
      </w:r>
      <w:r w:rsidRPr="00531789">
        <w:rPr>
          <w:rFonts w:ascii="Cambria" w:hAnsi="Cambria" w:cs="Courier New"/>
        </w:rPr>
        <w:t>] for approximately 20 minutes, then [CO</w:t>
      </w:r>
      <w:r w:rsidRPr="00531789">
        <w:rPr>
          <w:rFonts w:ascii="Cambria" w:hAnsi="Cambria" w:cs="Courier New"/>
          <w:vertAlign w:val="subscript"/>
        </w:rPr>
        <w:t>2</w:t>
      </w:r>
      <w:r w:rsidRPr="00531789">
        <w:rPr>
          <w:rFonts w:ascii="Cambria" w:hAnsi="Cambria" w:cs="Courier New"/>
        </w:rPr>
        <w:t>] was reduced stepwise to 50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vertAlign w:val="subscript"/>
        </w:rPr>
        <w:t>,</w:t>
      </w:r>
      <w:r w:rsidRPr="00531789">
        <w:rPr>
          <w:rFonts w:ascii="Cambria" w:hAnsi="Cambria" w:cs="Courier New"/>
        </w:rPr>
        <w:t xml:space="preserve"> and then increased stepwise to 1400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w:t>
      </w:r>
    </w:p>
    <w:p w14:paraId="43EAF405" w14:textId="77777777" w:rsidR="00DF4522" w:rsidRPr="00531789" w:rsidRDefault="00DF4522" w:rsidP="00DF4522">
      <w:pPr>
        <w:spacing w:line="360" w:lineRule="auto"/>
        <w:jc w:val="both"/>
        <w:rPr>
          <w:rFonts w:ascii="Cambria" w:hAnsi="Cambria" w:cs="Courier New"/>
        </w:rPr>
      </w:pPr>
    </w:p>
    <w:p w14:paraId="27A042C1" w14:textId="77777777" w:rsidR="00DF4522" w:rsidRPr="00531789" w:rsidRDefault="00DF4522" w:rsidP="00DF4522">
      <w:pPr>
        <w:spacing w:line="360" w:lineRule="auto"/>
        <w:jc w:val="both"/>
        <w:rPr>
          <w:rFonts w:ascii="Cambria" w:hAnsi="Cambria" w:cs="Courier New"/>
          <w:b/>
        </w:rPr>
      </w:pPr>
      <w:r w:rsidRPr="00531789">
        <w:rPr>
          <w:rFonts w:ascii="Cambria" w:hAnsi="Cambria" w:cs="Courier New"/>
          <w:b/>
        </w:rPr>
        <w:t xml:space="preserve">Metabolites </w:t>
      </w:r>
    </w:p>
    <w:p w14:paraId="4A2D9EE9" w14:textId="77777777" w:rsidR="00DF4522" w:rsidRPr="00531789" w:rsidRDefault="00DF4522" w:rsidP="00DF4522">
      <w:pPr>
        <w:spacing w:line="360" w:lineRule="auto"/>
        <w:jc w:val="both"/>
        <w:rPr>
          <w:rFonts w:ascii="Cambria" w:hAnsi="Cambria" w:cs="Courier New"/>
          <w:b/>
        </w:rPr>
      </w:pPr>
    </w:p>
    <w:p w14:paraId="53361E58"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 xml:space="preserve">Plants were harvested from 47 to 61 DAG, within one hour before dawn and one hour before dusk. Samples were flash frozen in liquid nitrogen, stored at -80°C, and freeze-dried prior to analysis.  For small plants, the entire plant was harvested; for larger plants, representative samples of leaf, leaf sheath and root from both young and old tissue were harvested.  In the first week, plants were harvested at 47, 48 and 49 DAG.  In the second week, plants were harvested at 52, 53 and 54 DAG.  In the third week, plants were harvested at 59, 60 and 61 DAG.  Three replicates from each species from one chamber were harvested on each date, with the exception of the second week when only annuals were harvested.  The order of chambers was randomised in each of the three harvest weeks. </w:t>
      </w:r>
    </w:p>
    <w:p w14:paraId="5E36FDAB" w14:textId="77777777" w:rsidR="00DF4522" w:rsidRPr="00531789" w:rsidRDefault="00DF4522" w:rsidP="00DF4522">
      <w:pPr>
        <w:spacing w:line="360" w:lineRule="auto"/>
        <w:jc w:val="both"/>
        <w:rPr>
          <w:rFonts w:ascii="Cambria" w:hAnsi="Cambria" w:cs="Courier New"/>
        </w:rPr>
      </w:pPr>
    </w:p>
    <w:p w14:paraId="7EAE71F1"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 xml:space="preserve">Metabolite analysis was carried out at Brookhaven National Laboratory. Metabolites were extracted from the freeze-dried ground tissue using sequential ethanol extractions. </w:t>
      </w:r>
    </w:p>
    <w:p w14:paraId="05562F2E" w14:textId="77777777" w:rsidR="00DF4522" w:rsidRPr="00531789" w:rsidRDefault="00DF4522" w:rsidP="00DF4522">
      <w:pPr>
        <w:spacing w:before="240" w:line="360" w:lineRule="auto"/>
        <w:jc w:val="both"/>
        <w:rPr>
          <w:rFonts w:ascii="Cambria" w:hAnsi="Cambria" w:cs="Courier New"/>
        </w:rPr>
      </w:pPr>
      <w:r w:rsidRPr="00531789">
        <w:rPr>
          <w:rFonts w:ascii="Cambria" w:hAnsi="Cambria" w:cs="Courier New"/>
        </w:rPr>
        <w:t xml:space="preserve">Ethanol soluble carbohydrates (glucose, fructose, sucrose, low degree of polymerisation (LDP) </w:t>
      </w:r>
      <w:proofErr w:type="spellStart"/>
      <w:r w:rsidRPr="00531789">
        <w:rPr>
          <w:rFonts w:ascii="Cambria" w:hAnsi="Cambria" w:cs="Courier New"/>
        </w:rPr>
        <w:t>fructan</w:t>
      </w:r>
      <w:proofErr w:type="spellEnd"/>
      <w:r w:rsidRPr="00531789">
        <w:rPr>
          <w:rFonts w:ascii="Cambria" w:hAnsi="Cambria" w:cs="Courier New"/>
        </w:rPr>
        <w:t xml:space="preserve">), starch, high degree of polymerisation (HDP) </w:t>
      </w:r>
      <w:proofErr w:type="spellStart"/>
      <w:r w:rsidRPr="00531789">
        <w:rPr>
          <w:rFonts w:ascii="Cambria" w:hAnsi="Cambria" w:cs="Courier New"/>
        </w:rPr>
        <w:t>fructan</w:t>
      </w:r>
      <w:proofErr w:type="spellEnd"/>
      <w:r w:rsidRPr="00531789">
        <w:rPr>
          <w:rFonts w:ascii="Cambria" w:hAnsi="Cambria" w:cs="Courier New"/>
        </w:rPr>
        <w:t xml:space="preserve"> and protein were analysed as described in Chapter 3 of this thesis. </w:t>
      </w:r>
    </w:p>
    <w:p w14:paraId="565C984E" w14:textId="77777777" w:rsidR="00DF4522" w:rsidRPr="00531789" w:rsidRDefault="00DF4522" w:rsidP="00DF4522">
      <w:pPr>
        <w:spacing w:before="240" w:line="360" w:lineRule="auto"/>
        <w:jc w:val="both"/>
        <w:rPr>
          <w:rFonts w:ascii="Cambria" w:hAnsi="Cambria" w:cs="Courier New"/>
        </w:rPr>
      </w:pPr>
      <w:r w:rsidRPr="00531789">
        <w:rPr>
          <w:rFonts w:ascii="Cambria" w:hAnsi="Cambria" w:cs="Courier New"/>
        </w:rPr>
        <w:t xml:space="preserve">Total free amino acids were quantified using </w:t>
      </w:r>
      <w:proofErr w:type="spellStart"/>
      <w:r w:rsidRPr="00531789">
        <w:rPr>
          <w:rFonts w:ascii="Cambria" w:hAnsi="Cambria" w:cs="Courier New"/>
        </w:rPr>
        <w:t>fluorescamine</w:t>
      </w:r>
      <w:proofErr w:type="spellEnd"/>
      <w:r w:rsidRPr="00531789">
        <w:rPr>
          <w:rFonts w:ascii="Cambria" w:hAnsi="Cambria" w:cs="Courier New"/>
        </w:rPr>
        <w:t xml:space="preserve">. 15µl 0.1M sodium borate buffer, 90µl </w:t>
      </w:r>
      <w:proofErr w:type="spellStart"/>
      <w:r w:rsidRPr="00531789">
        <w:rPr>
          <w:rFonts w:ascii="Cambria" w:hAnsi="Cambria" w:cs="Courier New"/>
        </w:rPr>
        <w:t>fluorescamine</w:t>
      </w:r>
      <w:proofErr w:type="spellEnd"/>
      <w:r w:rsidRPr="00531789">
        <w:rPr>
          <w:rFonts w:ascii="Cambria" w:hAnsi="Cambria" w:cs="Courier New"/>
        </w:rPr>
        <w:t xml:space="preserve"> and 100µl water were combined with 2µl of ethanol extract in a black 96-well </w:t>
      </w:r>
      <w:proofErr w:type="spellStart"/>
      <w:r w:rsidRPr="00531789">
        <w:rPr>
          <w:rFonts w:ascii="Cambria" w:hAnsi="Cambria" w:cs="Courier New"/>
        </w:rPr>
        <w:t>microplate</w:t>
      </w:r>
      <w:proofErr w:type="spellEnd"/>
      <w:r w:rsidRPr="00531789">
        <w:rPr>
          <w:rFonts w:ascii="Cambria" w:hAnsi="Cambria" w:cs="Courier New"/>
        </w:rPr>
        <w:t xml:space="preserve"> (</w:t>
      </w:r>
      <w:proofErr w:type="spellStart"/>
      <w:r w:rsidRPr="00531789">
        <w:rPr>
          <w:rFonts w:ascii="Cambria" w:hAnsi="Cambria" w:cs="Courier New"/>
        </w:rPr>
        <w:t>Nunc</w:t>
      </w:r>
      <w:proofErr w:type="spellEnd"/>
      <w:r w:rsidRPr="00531789">
        <w:rPr>
          <w:rFonts w:ascii="Cambria" w:hAnsi="Cambria" w:cs="Courier New"/>
        </w:rPr>
        <w:t xml:space="preserve"> </w:t>
      </w:r>
      <w:proofErr w:type="spellStart"/>
      <w:r w:rsidRPr="00531789">
        <w:rPr>
          <w:rFonts w:ascii="Cambria" w:hAnsi="Cambria" w:cs="Courier New"/>
        </w:rPr>
        <w:t>MicroWell</w:t>
      </w:r>
      <w:proofErr w:type="spellEnd"/>
      <w:r w:rsidRPr="00531789">
        <w:rPr>
          <w:rFonts w:ascii="Cambria" w:hAnsi="Cambria" w:cs="Courier New"/>
        </w:rPr>
        <w:t xml:space="preserve">, Thermo Fisher Scientific, Waltham, MA, USA). Following a 5 minute dark incubation, fluorescence (360nm excitation, 460nm emission, 40 nm bandwidth) was measured (Synergy HT, </w:t>
      </w:r>
      <w:proofErr w:type="spellStart"/>
      <w:r w:rsidRPr="00531789">
        <w:rPr>
          <w:rFonts w:ascii="Cambria" w:hAnsi="Cambria" w:cs="Courier New"/>
        </w:rPr>
        <w:t>BioTex</w:t>
      </w:r>
      <w:proofErr w:type="spellEnd"/>
      <w:r w:rsidRPr="00531789">
        <w:rPr>
          <w:rFonts w:ascii="Cambria" w:hAnsi="Cambria" w:cs="Courier New"/>
        </w:rPr>
        <w:t xml:space="preserve">, Winooski, VT, USA) and converted into </w:t>
      </w:r>
      <w:proofErr w:type="spellStart"/>
      <w:r w:rsidRPr="00531789">
        <w:rPr>
          <w:rFonts w:ascii="Cambria" w:hAnsi="Cambria" w:cs="Courier New"/>
        </w:rPr>
        <w:t>nmol</w:t>
      </w:r>
      <w:proofErr w:type="spellEnd"/>
      <w:r w:rsidRPr="00531789">
        <w:rPr>
          <w:rFonts w:ascii="Cambria" w:hAnsi="Cambria" w:cs="Courier New"/>
        </w:rPr>
        <w:t xml:space="preserve"> amino groups using a standard glutamate curve loaded on each plate. </w:t>
      </w:r>
    </w:p>
    <w:p w14:paraId="394BC2B3" w14:textId="77777777" w:rsidR="00DF4522" w:rsidRPr="00531789" w:rsidRDefault="00DF4522" w:rsidP="00DF4522">
      <w:pPr>
        <w:spacing w:before="240" w:line="360" w:lineRule="auto"/>
        <w:jc w:val="both"/>
        <w:rPr>
          <w:rFonts w:ascii="Cambria" w:hAnsi="Cambria"/>
        </w:rPr>
      </w:pPr>
      <w:r w:rsidRPr="00531789">
        <w:rPr>
          <w:rFonts w:ascii="Cambria" w:hAnsi="Cambria"/>
        </w:rPr>
        <w:t xml:space="preserve">The </w:t>
      </w:r>
      <w:proofErr w:type="spellStart"/>
      <w:r w:rsidRPr="00531789">
        <w:rPr>
          <w:rFonts w:ascii="Cambria" w:hAnsi="Cambria"/>
        </w:rPr>
        <w:t>Griess</w:t>
      </w:r>
      <w:proofErr w:type="spellEnd"/>
      <w:r w:rsidRPr="00531789">
        <w:rPr>
          <w:rFonts w:ascii="Cambria" w:hAnsi="Cambria"/>
        </w:rPr>
        <w:t xml:space="preserve"> reaction was used to quantify free nitrate. First, </w:t>
      </w:r>
      <w:r w:rsidRPr="00531789">
        <w:rPr>
          <w:rFonts w:ascii="Cambria" w:hAnsi="Cambria" w:cs="Courier New"/>
        </w:rPr>
        <w:t>0.005U well</w:t>
      </w:r>
      <w:r w:rsidRPr="00531789">
        <w:rPr>
          <w:rFonts w:ascii="Cambria" w:hAnsi="Cambria" w:cs="Courier New"/>
          <w:vertAlign w:val="superscript"/>
        </w:rPr>
        <w:t xml:space="preserve">-1 </w:t>
      </w:r>
      <w:r w:rsidRPr="00531789">
        <w:rPr>
          <w:rFonts w:ascii="Cambria" w:hAnsi="Cambria"/>
        </w:rPr>
        <w:t xml:space="preserve">nitrate </w:t>
      </w:r>
      <w:proofErr w:type="spellStart"/>
      <w:r w:rsidRPr="00531789">
        <w:rPr>
          <w:rFonts w:ascii="Cambria" w:hAnsi="Cambria"/>
        </w:rPr>
        <w:t>reductase</w:t>
      </w:r>
      <w:proofErr w:type="spellEnd"/>
      <w:r w:rsidRPr="00531789">
        <w:rPr>
          <w:rFonts w:ascii="Cambria" w:hAnsi="Cambria"/>
        </w:rPr>
        <w:t xml:space="preserve"> (EC 1.7.1.3) and 50 </w:t>
      </w:r>
      <w:proofErr w:type="spellStart"/>
      <w:r w:rsidRPr="00531789">
        <w:rPr>
          <w:rFonts w:ascii="Cambria" w:hAnsi="Cambria"/>
        </w:rPr>
        <w:t>nmol</w:t>
      </w:r>
      <w:proofErr w:type="spellEnd"/>
      <w:r w:rsidRPr="00531789">
        <w:rPr>
          <w:rFonts w:ascii="Cambria" w:hAnsi="Cambria"/>
        </w:rPr>
        <w:t xml:space="preserve"> NADPH in 0.11M potassium phosphate buffer were added to a 10µl aliquot of the ethanol extract.  Each </w:t>
      </w:r>
      <w:proofErr w:type="spellStart"/>
      <w:r w:rsidRPr="00531789">
        <w:rPr>
          <w:rFonts w:ascii="Cambria" w:hAnsi="Cambria"/>
        </w:rPr>
        <w:t>microplate</w:t>
      </w:r>
      <w:proofErr w:type="spellEnd"/>
      <w:r w:rsidRPr="00531789">
        <w:rPr>
          <w:rFonts w:ascii="Cambria" w:hAnsi="Cambria"/>
        </w:rPr>
        <w:t xml:space="preserve"> was shaken.  Following a 30 minute incubation (dark, room temperature), 20µl 0.25mM </w:t>
      </w:r>
      <w:proofErr w:type="spellStart"/>
      <w:r w:rsidRPr="00531789">
        <w:rPr>
          <w:rFonts w:ascii="Cambria" w:hAnsi="Cambria"/>
        </w:rPr>
        <w:t>phenazine</w:t>
      </w:r>
      <w:proofErr w:type="spellEnd"/>
      <w:r w:rsidRPr="00531789">
        <w:rPr>
          <w:rFonts w:ascii="Cambria" w:hAnsi="Cambria"/>
        </w:rPr>
        <w:t xml:space="preserve"> </w:t>
      </w:r>
      <w:proofErr w:type="spellStart"/>
      <w:r w:rsidRPr="00531789">
        <w:rPr>
          <w:rFonts w:ascii="Cambria" w:hAnsi="Cambria"/>
        </w:rPr>
        <w:t>methosulfate</w:t>
      </w:r>
      <w:proofErr w:type="spellEnd"/>
      <w:r w:rsidRPr="00531789">
        <w:rPr>
          <w:rFonts w:ascii="Cambria" w:hAnsi="Cambria"/>
        </w:rPr>
        <w:t xml:space="preserve"> was added to each well.  Plates were shaken again and incubated for a further 20 minutes.  45µl 1% w/v </w:t>
      </w:r>
      <w:proofErr w:type="spellStart"/>
      <w:r w:rsidRPr="00531789">
        <w:rPr>
          <w:rFonts w:ascii="Cambria" w:hAnsi="Cambria"/>
        </w:rPr>
        <w:t>sulfanilamide</w:t>
      </w:r>
      <w:proofErr w:type="spellEnd"/>
      <w:r w:rsidRPr="00531789">
        <w:rPr>
          <w:rFonts w:ascii="Cambria" w:hAnsi="Cambria"/>
        </w:rPr>
        <w:t xml:space="preserve"> in 5% phosphoric acid followed by 45µl 0.02% N(1-Napthyl)</w:t>
      </w:r>
      <w:proofErr w:type="spellStart"/>
      <w:r w:rsidRPr="00531789">
        <w:rPr>
          <w:rFonts w:ascii="Cambria" w:hAnsi="Cambria"/>
        </w:rPr>
        <w:t>ethylendiamine</w:t>
      </w:r>
      <w:proofErr w:type="spellEnd"/>
      <w:r w:rsidRPr="00531789">
        <w:rPr>
          <w:rFonts w:ascii="Cambria" w:hAnsi="Cambria"/>
        </w:rPr>
        <w:t xml:space="preserve"> </w:t>
      </w:r>
      <w:proofErr w:type="spellStart"/>
      <w:r w:rsidRPr="00531789">
        <w:rPr>
          <w:rFonts w:ascii="Cambria" w:hAnsi="Cambria"/>
        </w:rPr>
        <w:t>dihydrochloride</w:t>
      </w:r>
      <w:proofErr w:type="spellEnd"/>
      <w:r w:rsidRPr="00531789">
        <w:rPr>
          <w:rFonts w:ascii="Cambria" w:hAnsi="Cambria"/>
        </w:rPr>
        <w:t xml:space="preserve"> was added to each well. Following another shake and a 5 minute incubation</w:t>
      </w:r>
      <w:r>
        <w:rPr>
          <w:rFonts w:ascii="Cambria" w:hAnsi="Cambria"/>
        </w:rPr>
        <w:t>,</w:t>
      </w:r>
      <w:r w:rsidRPr="00531789">
        <w:rPr>
          <w:rFonts w:ascii="Cambria" w:hAnsi="Cambria"/>
        </w:rPr>
        <w:t xml:space="preserve"> A</w:t>
      </w:r>
      <w:r w:rsidRPr="00531789">
        <w:rPr>
          <w:rFonts w:ascii="Cambria" w:hAnsi="Cambria"/>
          <w:vertAlign w:val="subscript"/>
        </w:rPr>
        <w:t xml:space="preserve">540 </w:t>
      </w:r>
      <w:r w:rsidRPr="00531789">
        <w:rPr>
          <w:rFonts w:ascii="Cambria" w:hAnsi="Cambria"/>
        </w:rPr>
        <w:t xml:space="preserve">was measured (ELx808, </w:t>
      </w:r>
      <w:proofErr w:type="spellStart"/>
      <w:r w:rsidRPr="00531789">
        <w:rPr>
          <w:rFonts w:ascii="Cambria" w:hAnsi="Cambria"/>
        </w:rPr>
        <w:t>BioTex</w:t>
      </w:r>
      <w:proofErr w:type="spellEnd"/>
      <w:r w:rsidRPr="00531789">
        <w:rPr>
          <w:rFonts w:ascii="Cambria" w:hAnsi="Cambria"/>
        </w:rPr>
        <w:t xml:space="preserve">, Winooski, VT, USA) and converted into </w:t>
      </w:r>
      <w:proofErr w:type="spellStart"/>
      <w:r w:rsidRPr="00531789">
        <w:rPr>
          <w:rFonts w:ascii="Cambria" w:hAnsi="Cambria"/>
        </w:rPr>
        <w:t>nmol</w:t>
      </w:r>
      <w:proofErr w:type="spellEnd"/>
      <w:r w:rsidRPr="00531789">
        <w:rPr>
          <w:rFonts w:ascii="Cambria" w:hAnsi="Cambria"/>
        </w:rPr>
        <w:t xml:space="preserve"> nitrate using a standard nitrate curve loaded on each plate.</w:t>
      </w:r>
    </w:p>
    <w:p w14:paraId="2A79291E" w14:textId="77777777" w:rsidR="00DF4522" w:rsidRPr="00531789" w:rsidRDefault="00DF4522" w:rsidP="00DF4522">
      <w:pPr>
        <w:spacing w:line="360" w:lineRule="auto"/>
        <w:jc w:val="both"/>
        <w:rPr>
          <w:rFonts w:ascii="Cambria" w:hAnsi="Cambria" w:cs="Courier New"/>
        </w:rPr>
      </w:pPr>
    </w:p>
    <w:p w14:paraId="052B2072"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 xml:space="preserve">Metabolite data were expressed per g carbohydrate-corrected dry weight, obtained by subtracting the mass of total non-structural carbohydrate from the dry mass of each sample.  Technical and analytical replicates were </w:t>
      </w:r>
      <w:r>
        <w:rPr>
          <w:rFonts w:ascii="Cambria" w:hAnsi="Cambria" w:cs="Courier New"/>
        </w:rPr>
        <w:t>run</w:t>
      </w:r>
      <w:r w:rsidRPr="00531789">
        <w:rPr>
          <w:rFonts w:ascii="Cambria" w:hAnsi="Cambria" w:cs="Courier New"/>
        </w:rPr>
        <w:t xml:space="preserve"> for all assays </w:t>
      </w:r>
      <w:r w:rsidRPr="00531789">
        <w:rPr>
          <w:rFonts w:ascii="Cambria" w:hAnsi="Cambria" w:cs="Courier New"/>
        </w:rPr>
        <w:fldChar w:fldCharType="begin" w:fldLock="1"/>
      </w:r>
      <w:r>
        <w:rPr>
          <w:rFonts w:ascii="Cambria" w:hAnsi="Cambria" w:cs="Courier New"/>
        </w:rPr>
        <w:instrText>ADDIN CSL_CITATION { "citationItems" : [ { "id" : "ITEM-1", "itemData" : { "DOI" : "10.1105/tpc.111.086272", "ISSN" : "1532-298X", "PMID" : "21771932", "author" : [ { "dropping-particle" : "", "family" : "Fernie", "given" : "Alisdair R", "non-dropping-particle" : "", "parse-names" : false, "suffix" : "" }, { "dropping-particle" : "", "family" : "Aharoni", "given" : "Asaph", "non-dropping-particle" : "", "parse-names" : false, "suffix" : "" }, { "dropping-particle" : "", "family" : "Willmitzer", "given" : "Lothar", "non-dropping-particle" : "", "parse-names" : false, "suffix" : "" }, { "dropping-particle" : "", "family" : "Stitt", "given" : "Mark", "non-dropping-particle" : "", "parse-names" : false, "suffix" : "" }, { "dropping-particle" : "", "family" : "Tohge", "given" : "Takayuki", "non-dropping-particle" : "", "parse-names" : false, "suffix" : "" }, { "dropping-particle" : "", "family" : "Kopka", "given" : "Joachim", "non-dropping-particle" : "", "parse-names" : false, "suffix" : "" }, { "dropping-particle" : "", "family" : "Carroll", "given" : "Adam J", "non-dropping-particle" : "", "parse-names" : false, "suffix" : "" }, { "dropping-particle" : "", "family" : "Saito", "given" : "Kazuki", "non-dropping-particle" : "", "parse-names" : false, "suffix" : "" }, { "dropping-particle" : "", "family" : "Fraser", "given" : "Paul D", "non-dropping-particle" : "", "parse-names" : false, "suffix" : "" }, { "dropping-particle" : "", "family" : "DeLuca", "given" : "Vincenzo", "non-dropping-particle" : "", "parse-names" : false, "suffix" : "" } ], "container-title" : "The Plant Cell", "id" : "ITEM-1", "issue" : "7", "issued" : { "date-parts" : [ [ "2011", "7" ] ] }, "page" : "2477-82", "title" : "Recommendations for reporting metabolite data.", "type" : "article-journal", "volume" : "23" }, "uris" : [ "http://www.mendeley.com/documents/?uuid=f19b7fc3-452a-4f9d-955c-a72371677f75" ] } ], "mendeley" : { "formattedCitation" : "(Fernie &lt;i&gt;et al.&lt;/i&gt;, 2011)", "plainTextFormattedCitation" : "(Fernie et al., 2011)", "previouslyFormattedCitation" : "(Fernie &lt;i&gt;et al.&lt;/i&gt;, 2011)" }, "properties" : { "noteIndex" : 0 }, "schema" : "https://github.com/citation-style-language/schema/raw/master/csl-citation.json" }</w:instrText>
      </w:r>
      <w:r w:rsidRPr="00531789">
        <w:rPr>
          <w:rFonts w:ascii="Cambria" w:hAnsi="Cambria" w:cs="Courier New"/>
        </w:rPr>
        <w:fldChar w:fldCharType="separate"/>
      </w:r>
      <w:r w:rsidRPr="002C5907">
        <w:rPr>
          <w:rFonts w:ascii="Cambria" w:hAnsi="Cambria" w:cs="Courier New"/>
          <w:noProof/>
        </w:rPr>
        <w:t xml:space="preserve">(Fernie </w:t>
      </w:r>
      <w:r w:rsidRPr="002C5907">
        <w:rPr>
          <w:rFonts w:ascii="Cambria" w:hAnsi="Cambria" w:cs="Courier New"/>
          <w:i/>
          <w:noProof/>
        </w:rPr>
        <w:t>et al.</w:t>
      </w:r>
      <w:r w:rsidRPr="002C5907">
        <w:rPr>
          <w:rFonts w:ascii="Cambria" w:hAnsi="Cambria" w:cs="Courier New"/>
          <w:noProof/>
        </w:rPr>
        <w:t>, 2011)</w:t>
      </w:r>
      <w:r w:rsidRPr="00531789">
        <w:rPr>
          <w:rFonts w:ascii="Cambria" w:hAnsi="Cambria" w:cs="Courier New"/>
        </w:rPr>
        <w:fldChar w:fldCharType="end"/>
      </w:r>
      <w:r w:rsidRPr="00531789">
        <w:rPr>
          <w:rFonts w:ascii="Cambria" w:hAnsi="Cambria" w:cs="Courier New"/>
        </w:rPr>
        <w:t xml:space="preserve">. </w:t>
      </w:r>
    </w:p>
    <w:p w14:paraId="62885FE6" w14:textId="77777777" w:rsidR="00DF4522" w:rsidRPr="00531789" w:rsidRDefault="00DF4522" w:rsidP="00DF4522">
      <w:pPr>
        <w:spacing w:line="360" w:lineRule="auto"/>
        <w:jc w:val="both"/>
        <w:rPr>
          <w:rFonts w:ascii="Cambria" w:hAnsi="Cambria" w:cs="Courier New"/>
          <w:b/>
        </w:rPr>
      </w:pPr>
      <w:r w:rsidRPr="00531789">
        <w:rPr>
          <w:rFonts w:ascii="Cambria" w:hAnsi="Cambria" w:cs="Courier New"/>
          <w:b/>
        </w:rPr>
        <w:t>Statistical Methods</w:t>
      </w:r>
    </w:p>
    <w:p w14:paraId="24D3D405" w14:textId="77777777" w:rsidR="00DF4522" w:rsidRPr="00531789" w:rsidRDefault="00DF4522" w:rsidP="00DF4522">
      <w:pPr>
        <w:spacing w:line="360" w:lineRule="auto"/>
        <w:jc w:val="both"/>
        <w:rPr>
          <w:rFonts w:ascii="Cambria" w:hAnsi="Cambria" w:cs="Courier New"/>
          <w:b/>
        </w:rPr>
      </w:pPr>
    </w:p>
    <w:p w14:paraId="4700B88F" w14:textId="6A0D1424" w:rsidR="00DF4522" w:rsidRPr="00531789" w:rsidRDefault="00DF4522" w:rsidP="00DF4522">
      <w:pPr>
        <w:spacing w:line="360" w:lineRule="auto"/>
        <w:jc w:val="both"/>
        <w:rPr>
          <w:rFonts w:ascii="Cambria" w:hAnsi="Cambria" w:cs="Courier New"/>
        </w:rPr>
      </w:pPr>
      <w:r w:rsidRPr="00531789">
        <w:rPr>
          <w:rFonts w:ascii="Cambria" w:hAnsi="Cambria" w:cs="Courier New"/>
        </w:rPr>
        <w:t>Analysis was performed using R</w:t>
      </w:r>
      <w:r w:rsidR="00906E41">
        <w:rPr>
          <w:rFonts w:ascii="Cambria" w:hAnsi="Cambria" w:cs="Courier New"/>
        </w:rPr>
        <w:t xml:space="preserve"> </w:t>
      </w:r>
      <w:r w:rsidR="00906E41">
        <w:rPr>
          <w:rFonts w:ascii="Cambria" w:hAnsi="Cambria" w:cs="Courier New"/>
        </w:rPr>
        <w:fldChar w:fldCharType="begin" w:fldLock="1"/>
      </w:r>
      <w:r w:rsidR="009909A4">
        <w:rPr>
          <w:rFonts w:ascii="Cambria" w:hAnsi="Cambria" w:cs="Courier New"/>
        </w:rPr>
        <w:instrText>ADDIN CSL_CITATION { "citationItems" : [ { "id" : "ITEM-1", "itemData" : { "author" : [ { "dropping-particle" : "", "family" : "R Core Team", "given" : "", "non-dropping-particle" : "", "parse-names" : false, "suffix" : "" } ], "id" : "ITEM-1", "issued" : { "date-parts" : [ [ "2015" ] ] }, "title" : "R: A language and environment for statistical computing. R Foundation for Statistical Computing, Vienna, Austria.", "type" : "article" }, "uris" : [ "http://www.mendeley.com/documents/?uuid=a608e39a-fdde-4a93-9c56-23ffc4c2abca" ] } ], "mendeley" : { "formattedCitation" : "(R Core Team, 2015)", "plainTextFormattedCitation" : "(R Core Team, 2015)", "previouslyFormattedCitation" : "(R Core Team, 2015)" }, "properties" : { "noteIndex" : 0 }, "schema" : "https://github.com/citation-style-language/schema/raw/master/csl-citation.json" }</w:instrText>
      </w:r>
      <w:r w:rsidR="00906E41">
        <w:rPr>
          <w:rFonts w:ascii="Cambria" w:hAnsi="Cambria" w:cs="Courier New"/>
        </w:rPr>
        <w:fldChar w:fldCharType="separate"/>
      </w:r>
      <w:r w:rsidR="00906E41" w:rsidRPr="00906E41">
        <w:rPr>
          <w:rFonts w:ascii="Cambria" w:hAnsi="Cambria" w:cs="Courier New"/>
          <w:noProof/>
        </w:rPr>
        <w:t>(R Core Team, 2015)</w:t>
      </w:r>
      <w:r w:rsidR="00906E41">
        <w:rPr>
          <w:rFonts w:ascii="Cambria" w:hAnsi="Cambria" w:cs="Courier New"/>
        </w:rPr>
        <w:fldChar w:fldCharType="end"/>
      </w:r>
      <w:r w:rsidRPr="00531789">
        <w:rPr>
          <w:rFonts w:ascii="Cambria" w:hAnsi="Cambria" w:cs="Courier New"/>
        </w:rPr>
        <w:t>. Analysis of variance models incorporating error terms reflecting the split-split plot design of the experiment were carried out for each variable measured.  Logarithmic transformations were performed on all data prior to analysis to improve the fit of the models.</w:t>
      </w:r>
      <w:r w:rsidR="00906E41">
        <w:rPr>
          <w:rFonts w:ascii="Cambria" w:hAnsi="Cambria" w:cs="Courier New"/>
        </w:rPr>
        <w:t xml:space="preserve">  </w:t>
      </w:r>
      <w:r w:rsidRPr="00531789">
        <w:rPr>
          <w:rFonts w:ascii="Cambria" w:hAnsi="Cambria" w:cs="Courier New"/>
        </w:rPr>
        <w:t xml:space="preserve">For photosynthesis, TNC, amino acids and amino </w:t>
      </w:r>
      <w:proofErr w:type="spellStart"/>
      <w:r w:rsidRPr="00531789">
        <w:rPr>
          <w:rFonts w:ascii="Cambria" w:hAnsi="Cambria" w:cs="Courier New"/>
        </w:rPr>
        <w:t>acid:sucrose</w:t>
      </w:r>
      <w:proofErr w:type="spellEnd"/>
      <w:r w:rsidRPr="00531789">
        <w:rPr>
          <w:rFonts w:ascii="Cambria" w:hAnsi="Cambria" w:cs="Courier New"/>
        </w:rPr>
        <w:t xml:space="preserve"> (Figs. 2, 4, 6, 7), small error bars are present but are obscured by symbols.</w:t>
      </w:r>
    </w:p>
    <w:p w14:paraId="01B52364" w14:textId="77777777" w:rsidR="00DF4522" w:rsidRPr="00531789" w:rsidRDefault="00DF4522" w:rsidP="00DF4522">
      <w:pPr>
        <w:spacing w:line="360" w:lineRule="auto"/>
        <w:jc w:val="both"/>
        <w:rPr>
          <w:rFonts w:ascii="Cambria" w:hAnsi="Cambria" w:cs="Courier New"/>
          <w:b/>
        </w:rPr>
      </w:pPr>
    </w:p>
    <w:p w14:paraId="1D1B53D9" w14:textId="77777777" w:rsidR="00DF4522" w:rsidRPr="00531789" w:rsidRDefault="00DF4522" w:rsidP="00DF4522">
      <w:pPr>
        <w:pStyle w:val="Heading2"/>
        <w:rPr>
          <w:rFonts w:ascii="Cambria" w:hAnsi="Cambria"/>
          <w:color w:val="auto"/>
        </w:rPr>
      </w:pPr>
      <w:bookmarkStart w:id="102" w:name="_Toc322267597"/>
      <w:bookmarkStart w:id="103" w:name="_Toc322267719"/>
      <w:bookmarkStart w:id="104" w:name="_Toc322267883"/>
      <w:bookmarkStart w:id="105" w:name="_Toc331253024"/>
      <w:r w:rsidRPr="00531789">
        <w:rPr>
          <w:rFonts w:ascii="Cambria" w:hAnsi="Cambria"/>
          <w:color w:val="auto"/>
        </w:rPr>
        <w:t>RESULTS</w:t>
      </w:r>
      <w:bookmarkEnd w:id="102"/>
      <w:bookmarkEnd w:id="103"/>
      <w:bookmarkEnd w:id="104"/>
      <w:bookmarkEnd w:id="105"/>
    </w:p>
    <w:p w14:paraId="3C6C7F3B" w14:textId="77777777" w:rsidR="00DF4522" w:rsidRPr="00531789" w:rsidRDefault="00DF4522" w:rsidP="00DF4522">
      <w:pPr>
        <w:spacing w:line="360" w:lineRule="auto"/>
        <w:jc w:val="both"/>
        <w:rPr>
          <w:rFonts w:ascii="Cambria" w:hAnsi="Cambria" w:cs="Courier New"/>
        </w:rPr>
      </w:pPr>
    </w:p>
    <w:p w14:paraId="2959CB48" w14:textId="77777777" w:rsidR="00DF4522" w:rsidRPr="00531789" w:rsidRDefault="00DF4522" w:rsidP="00DF4522">
      <w:pPr>
        <w:spacing w:line="360" w:lineRule="auto"/>
        <w:jc w:val="both"/>
        <w:rPr>
          <w:rFonts w:ascii="Cambria" w:hAnsi="Cambria" w:cs="Courier New"/>
          <w:b/>
        </w:rPr>
      </w:pPr>
      <w:r w:rsidRPr="00531789">
        <w:rPr>
          <w:rFonts w:ascii="Cambria" w:hAnsi="Cambria" w:cs="Courier New"/>
          <w:b/>
        </w:rPr>
        <w:t>Perennial barley shows greater developmental plasticity in response to elevated [CO</w:t>
      </w:r>
      <w:r w:rsidRPr="00531789">
        <w:rPr>
          <w:rFonts w:ascii="Cambria" w:hAnsi="Cambria" w:cs="Courier New"/>
          <w:b/>
          <w:vertAlign w:val="subscript"/>
        </w:rPr>
        <w:t>2</w:t>
      </w:r>
      <w:r w:rsidRPr="00531789">
        <w:rPr>
          <w:rFonts w:ascii="Cambria" w:hAnsi="Cambria" w:cs="Courier New"/>
          <w:b/>
        </w:rPr>
        <w:t>] than the annual species</w:t>
      </w:r>
    </w:p>
    <w:p w14:paraId="74D8629E" w14:textId="77777777" w:rsidR="00DF4522" w:rsidRPr="00531789" w:rsidRDefault="00DF4522" w:rsidP="00DF4522">
      <w:pPr>
        <w:spacing w:line="360" w:lineRule="auto"/>
        <w:jc w:val="both"/>
        <w:rPr>
          <w:rFonts w:ascii="Cambria" w:hAnsi="Cambria" w:cs="Courier New"/>
        </w:rPr>
      </w:pPr>
    </w:p>
    <w:p w14:paraId="2C4C42F5" w14:textId="77777777" w:rsidR="00DF4522" w:rsidRPr="00531789" w:rsidRDefault="00DF4522" w:rsidP="00DF4522">
      <w:pPr>
        <w:spacing w:line="360" w:lineRule="auto"/>
        <w:jc w:val="both"/>
        <w:rPr>
          <w:rFonts w:ascii="Cambria" w:hAnsi="Cambria" w:cs="Courier New"/>
        </w:rPr>
      </w:pPr>
      <w:r>
        <w:rPr>
          <w:rFonts w:ascii="Cambria" w:hAnsi="Cambria" w:cs="Courier New"/>
        </w:rPr>
        <w:t>Repeated imaging measurements of p</w:t>
      </w:r>
      <w:r w:rsidRPr="00531789">
        <w:rPr>
          <w:rFonts w:ascii="Cambria" w:hAnsi="Cambria" w:cs="Courier New"/>
        </w:rPr>
        <w:t>rojected shoot area</w:t>
      </w:r>
      <w:r>
        <w:rPr>
          <w:rFonts w:ascii="Cambria" w:hAnsi="Cambria" w:cs="Courier New"/>
        </w:rPr>
        <w:t xml:space="preserve"> </w:t>
      </w:r>
      <w:r w:rsidRPr="00531789">
        <w:rPr>
          <w:rFonts w:ascii="Cambria" w:hAnsi="Cambria" w:cs="Courier New"/>
        </w:rPr>
        <w:t xml:space="preserve">enabled multiple, non-invasive and non-destructive measurements to be made for each plant in the main study. Additional plants, grown purely for calibration of the image data, were harvested destructively throughout the duration of the study to calibrate shoot area against plant mass and </w:t>
      </w:r>
      <w:proofErr w:type="spellStart"/>
      <w:r w:rsidRPr="00531789">
        <w:rPr>
          <w:rFonts w:ascii="Cambria" w:hAnsi="Cambria" w:cs="Courier New"/>
        </w:rPr>
        <w:t>root:shoot</w:t>
      </w:r>
      <w:proofErr w:type="spellEnd"/>
      <w:r w:rsidRPr="00531789">
        <w:rPr>
          <w:rFonts w:ascii="Cambria" w:hAnsi="Cambria" w:cs="Courier New"/>
        </w:rPr>
        <w:t xml:space="preserve"> ratio for each species (Fig. S1).  This calibration was applied to the plants in the main study, to generate a growth curve of mass against time for each individual (Fig. S2), enabling growth rate to be estimated for each individual at the time when it was destructively sampled for metabolite analysis. </w:t>
      </w:r>
    </w:p>
    <w:p w14:paraId="04B178B7" w14:textId="77777777" w:rsidR="00DF4522" w:rsidRPr="00531789" w:rsidRDefault="00DF4522" w:rsidP="00DF4522">
      <w:pPr>
        <w:spacing w:line="360" w:lineRule="auto"/>
        <w:jc w:val="both"/>
        <w:rPr>
          <w:rFonts w:ascii="Cambria" w:hAnsi="Cambria" w:cs="Courier New"/>
        </w:rPr>
      </w:pPr>
    </w:p>
    <w:p w14:paraId="2770B170" w14:textId="77777777" w:rsidR="00DF4522" w:rsidRDefault="00DF4522" w:rsidP="00DF4522">
      <w:pPr>
        <w:spacing w:line="360" w:lineRule="auto"/>
        <w:jc w:val="both"/>
        <w:rPr>
          <w:rFonts w:ascii="Cambria" w:hAnsi="Cambria" w:cs="Courier New"/>
        </w:rPr>
      </w:pPr>
      <w:r w:rsidRPr="00531789">
        <w:rPr>
          <w:rFonts w:ascii="Cambria" w:hAnsi="Cambria" w:cs="Courier New"/>
        </w:rPr>
        <w:t>Relative growth rate (RGR; the efficiency of whole plant dry mass increase obtained from calibration of shoot area, and measured in g g</w:t>
      </w:r>
      <w:r w:rsidRPr="00531789">
        <w:rPr>
          <w:rFonts w:ascii="Cambria" w:hAnsi="Cambria" w:cs="Courier New"/>
          <w:vertAlign w:val="superscript"/>
        </w:rPr>
        <w:t>-1</w:t>
      </w:r>
      <w:r w:rsidRPr="00531789">
        <w:rPr>
          <w:rFonts w:ascii="Cambria" w:hAnsi="Cambria" w:cs="Courier New"/>
        </w:rPr>
        <w:t xml:space="preserve"> day</w:t>
      </w:r>
      <w:r w:rsidRPr="00531789">
        <w:rPr>
          <w:rFonts w:ascii="Cambria" w:hAnsi="Cambria" w:cs="Courier New"/>
          <w:vertAlign w:val="superscript"/>
        </w:rPr>
        <w:t>-1</w:t>
      </w:r>
      <w:r w:rsidRPr="00531789">
        <w:rPr>
          <w:rFonts w:ascii="Cambria" w:hAnsi="Cambria" w:cs="Courier New"/>
        </w:rPr>
        <w:t>) was obtained from individual growth curves by differentiation. RGR was higher in the annual than perennial plants</w:t>
      </w:r>
      <w:r>
        <w:rPr>
          <w:rFonts w:ascii="Cambria" w:hAnsi="Cambria" w:cs="Courier New"/>
        </w:rPr>
        <w:t>,</w:t>
      </w:r>
      <w:r w:rsidRPr="00531789">
        <w:rPr>
          <w:rFonts w:ascii="Cambria" w:hAnsi="Cambria" w:cs="Courier New"/>
        </w:rPr>
        <w:t xml:space="preserve"> and greater at higher CO</w:t>
      </w:r>
      <w:r w:rsidRPr="00531789">
        <w:rPr>
          <w:rFonts w:ascii="Cambria" w:hAnsi="Cambria" w:cs="Courier New"/>
          <w:vertAlign w:val="subscript"/>
        </w:rPr>
        <w:t xml:space="preserve">2 </w:t>
      </w:r>
      <w:r w:rsidRPr="00531789">
        <w:rPr>
          <w:rFonts w:ascii="Cambria" w:hAnsi="Cambria" w:cs="Courier New"/>
        </w:rPr>
        <w:t>levels (Fig. 1).  Stepwise model selection was used to choose fixed effects, and the effects of species and [CO</w:t>
      </w:r>
      <w:r w:rsidRPr="00531789">
        <w:rPr>
          <w:rFonts w:ascii="Cambria" w:hAnsi="Cambria" w:cs="Courier New"/>
          <w:vertAlign w:val="subscript"/>
        </w:rPr>
        <w:t>2</w:t>
      </w:r>
      <w:r w:rsidRPr="00531789">
        <w:rPr>
          <w:rFonts w:ascii="Cambria" w:hAnsi="Cambria" w:cs="Courier New"/>
        </w:rPr>
        <w:t>] on the maximum plant size and the time to reach half size were each highly significant (p&lt;0.001) – although these are additive effects with no significant interaction between [CO</w:t>
      </w:r>
      <w:r w:rsidRPr="00531789">
        <w:rPr>
          <w:rFonts w:ascii="Cambria" w:hAnsi="Cambria" w:cs="Courier New"/>
          <w:vertAlign w:val="subscript"/>
        </w:rPr>
        <w:t>2</w:t>
      </w:r>
      <w:r w:rsidRPr="00531789">
        <w:rPr>
          <w:rFonts w:ascii="Cambria" w:hAnsi="Cambria" w:cs="Courier New"/>
        </w:rPr>
        <w:t xml:space="preserve">] and species.  </w:t>
      </w:r>
    </w:p>
    <w:p w14:paraId="2953EEEE" w14:textId="77777777" w:rsidR="00DF4522" w:rsidRDefault="00DF4522" w:rsidP="00DF4522">
      <w:pPr>
        <w:spacing w:line="360" w:lineRule="auto"/>
        <w:jc w:val="both"/>
        <w:rPr>
          <w:rFonts w:ascii="Cambria" w:hAnsi="Cambria" w:cs="Courier New"/>
        </w:rPr>
      </w:pPr>
      <w:r>
        <w:rPr>
          <w:rFonts w:ascii="Cambria" w:hAnsi="Cambria" w:cs="Courier New"/>
        </w:rPr>
        <w:t xml:space="preserve">               </w:t>
      </w:r>
      <w:r>
        <w:rPr>
          <w:rFonts w:ascii="Cambria" w:hAnsi="Cambria" w:cs="Courier New"/>
          <w:noProof/>
          <w:lang w:val="en-US"/>
        </w:rPr>
        <w:drawing>
          <wp:inline distT="0" distB="0" distL="0" distR="0" wp14:anchorId="2D27EA3B" wp14:editId="6F51B1EC">
            <wp:extent cx="3314700" cy="2388631"/>
            <wp:effectExtent l="0" t="0" r="0" b="0"/>
            <wp:docPr id="2" name="Picture 2" descr="Macintosh HD:Users:angelawhite:Dropbox:University of Sheffield:Publishing:CO2 Barley 2014 Research Paper:Final Figures:Fig. 1 RGR Panel:A 150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gelawhite:Dropbox:University of Sheffield:Publishing:CO2 Barley 2014 Research Paper:Final Figures:Fig. 1 RGR Panel:A 1500.pd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14700" cy="2388631"/>
                    </a:xfrm>
                    <a:prstGeom prst="rect">
                      <a:avLst/>
                    </a:prstGeom>
                    <a:noFill/>
                    <a:ln>
                      <a:noFill/>
                    </a:ln>
                  </pic:spPr>
                </pic:pic>
              </a:graphicData>
            </a:graphic>
          </wp:inline>
        </w:drawing>
      </w:r>
    </w:p>
    <w:p w14:paraId="1401E0C1" w14:textId="77777777" w:rsidR="00DF4522" w:rsidRDefault="00DF4522" w:rsidP="00DF4522">
      <w:pPr>
        <w:spacing w:line="360" w:lineRule="auto"/>
        <w:jc w:val="both"/>
        <w:rPr>
          <w:rFonts w:ascii="Cambria" w:hAnsi="Cambria" w:cs="Courier New"/>
        </w:rPr>
      </w:pPr>
      <w:r>
        <w:rPr>
          <w:rFonts w:ascii="Cambria" w:hAnsi="Cambria" w:cs="Courier New"/>
        </w:rPr>
        <w:t xml:space="preserve">                </w:t>
      </w:r>
      <w:r>
        <w:rPr>
          <w:rFonts w:ascii="Cambria" w:hAnsi="Cambria" w:cs="Courier New"/>
          <w:noProof/>
          <w:lang w:val="en-US"/>
        </w:rPr>
        <w:drawing>
          <wp:inline distT="0" distB="0" distL="0" distR="0" wp14:anchorId="2C23986E" wp14:editId="6C9B8ACD">
            <wp:extent cx="3314700" cy="2587551"/>
            <wp:effectExtent l="0" t="0" r="0" b="3810"/>
            <wp:docPr id="3" name="Picture 3" descr="Macintosh HD:Users:angelawhite:Dropbox:University of Sheffield:Publishing:CO2 Barley 2014 Research Paper:Final Figures:Fig. 1 RGR Panel:B 40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gelawhite:Dropbox:University of Sheffield:Publishing:CO2 Barley 2014 Research Paper:Final Figures:Fig. 1 RGR Panel:B 400.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15903" cy="2588490"/>
                    </a:xfrm>
                    <a:prstGeom prst="rect">
                      <a:avLst/>
                    </a:prstGeom>
                    <a:noFill/>
                    <a:ln>
                      <a:noFill/>
                    </a:ln>
                  </pic:spPr>
                </pic:pic>
              </a:graphicData>
            </a:graphic>
          </wp:inline>
        </w:drawing>
      </w:r>
    </w:p>
    <w:p w14:paraId="2717F9BF" w14:textId="77777777" w:rsidR="00DF4522" w:rsidRDefault="00DF4522" w:rsidP="00DF4522">
      <w:pPr>
        <w:spacing w:line="360" w:lineRule="auto"/>
        <w:jc w:val="both"/>
        <w:rPr>
          <w:rFonts w:ascii="Cambria" w:hAnsi="Cambria" w:cs="Courier New"/>
        </w:rPr>
      </w:pPr>
      <w:r>
        <w:rPr>
          <w:rFonts w:ascii="Cambria" w:hAnsi="Cambria" w:cs="Courier New"/>
        </w:rPr>
        <w:t xml:space="preserve">               </w:t>
      </w:r>
      <w:r w:rsidRPr="00721D56">
        <w:rPr>
          <w:rFonts w:ascii="Cambria" w:hAnsi="Cambria" w:cs="Courier New"/>
          <w:noProof/>
          <w:lang w:val="en-US"/>
        </w:rPr>
        <w:drawing>
          <wp:inline distT="0" distB="0" distL="0" distR="0" wp14:anchorId="2628C852" wp14:editId="0599B05C">
            <wp:extent cx="3314700" cy="2486125"/>
            <wp:effectExtent l="0" t="0" r="0" b="3175"/>
            <wp:docPr id="4" name="Picture 4" descr="Macintosh HD:Users:angelawhite:Dropbox:University of Sheffield:Publishing:CO2 Barley 2014 Research Paper:Final Figures:Fig. 1 RGR Panel:C 18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gelawhite:Dropbox:University of Sheffield:Publishing:CO2 Barley 2014 Research Paper:Final Figures:Fig. 1 RGR Panel:C 180.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14834" cy="2486225"/>
                    </a:xfrm>
                    <a:prstGeom prst="rect">
                      <a:avLst/>
                    </a:prstGeom>
                    <a:noFill/>
                    <a:ln>
                      <a:noFill/>
                    </a:ln>
                  </pic:spPr>
                </pic:pic>
              </a:graphicData>
            </a:graphic>
          </wp:inline>
        </w:drawing>
      </w:r>
    </w:p>
    <w:p w14:paraId="5DD4DF9D" w14:textId="77777777" w:rsidR="00DF4522" w:rsidRDefault="00DF4522" w:rsidP="00DF4522">
      <w:pPr>
        <w:spacing w:line="360" w:lineRule="auto"/>
        <w:jc w:val="both"/>
        <w:rPr>
          <w:rFonts w:ascii="Cambria" w:hAnsi="Cambria" w:cs="Courier New"/>
        </w:rPr>
      </w:pPr>
    </w:p>
    <w:p w14:paraId="4A9371F6" w14:textId="77777777" w:rsidR="00DF4522" w:rsidRPr="00C84FC3" w:rsidRDefault="00DF4522" w:rsidP="00DF4522">
      <w:pPr>
        <w:jc w:val="both"/>
        <w:rPr>
          <w:rFonts w:ascii="Cambria" w:hAnsi="Cambria" w:cs="Courier New"/>
          <w:sz w:val="20"/>
          <w:szCs w:val="20"/>
        </w:rPr>
      </w:pPr>
      <w:r w:rsidRPr="00C84FC3">
        <w:rPr>
          <w:rFonts w:ascii="Cambria" w:hAnsi="Cambria" w:cs="Courier New"/>
          <w:b/>
          <w:sz w:val="20"/>
          <w:szCs w:val="20"/>
        </w:rPr>
        <w:t>Figure 1.</w:t>
      </w:r>
      <w:r w:rsidRPr="00C84FC3">
        <w:rPr>
          <w:rFonts w:ascii="Cambria" w:hAnsi="Cambria" w:cs="Courier New"/>
          <w:sz w:val="20"/>
          <w:szCs w:val="20"/>
        </w:rPr>
        <w:t xml:space="preserve"> Relative growth rate (RGR; daily gain in dry mass relative to whole plant dry mass, g g</w:t>
      </w:r>
      <w:r w:rsidRPr="00C84FC3">
        <w:rPr>
          <w:rFonts w:ascii="Cambria" w:hAnsi="Cambria" w:cs="Courier New"/>
          <w:sz w:val="20"/>
          <w:szCs w:val="20"/>
          <w:vertAlign w:val="superscript"/>
        </w:rPr>
        <w:t>-1</w:t>
      </w:r>
      <w:r w:rsidRPr="00C84FC3">
        <w:rPr>
          <w:rFonts w:ascii="Cambria" w:hAnsi="Cambria" w:cs="Courier New"/>
          <w:sz w:val="20"/>
          <w:szCs w:val="20"/>
        </w:rPr>
        <w:t xml:space="preserve"> day</w:t>
      </w:r>
      <w:r w:rsidRPr="00C84FC3">
        <w:rPr>
          <w:rFonts w:ascii="Cambria" w:hAnsi="Cambria" w:cs="Courier New"/>
          <w:sz w:val="20"/>
          <w:szCs w:val="20"/>
          <w:vertAlign w:val="superscript"/>
        </w:rPr>
        <w:t>-1</w:t>
      </w:r>
      <w:r w:rsidRPr="00C84FC3">
        <w:rPr>
          <w:rFonts w:ascii="Cambria" w:hAnsi="Cambria" w:cs="Courier New"/>
          <w:sz w:val="20"/>
          <w:szCs w:val="20"/>
        </w:rPr>
        <w:t>) is higher in annual (solid line) than perennial (dashed line) barley, and is greater at higher [CO</w:t>
      </w:r>
      <w:r w:rsidRPr="00C84FC3">
        <w:rPr>
          <w:rFonts w:ascii="Cambria" w:hAnsi="Cambria" w:cs="Courier New"/>
          <w:sz w:val="20"/>
          <w:szCs w:val="20"/>
          <w:vertAlign w:val="subscript"/>
        </w:rPr>
        <w:t>2</w:t>
      </w:r>
      <w:r w:rsidRPr="00C84FC3">
        <w:rPr>
          <w:rFonts w:ascii="Cambria" w:hAnsi="Cambria" w:cs="Courier New"/>
          <w:sz w:val="20"/>
          <w:szCs w:val="20"/>
        </w:rPr>
        <w:t>].  A, elevated [CO</w:t>
      </w:r>
      <w:r w:rsidRPr="00C84FC3">
        <w:rPr>
          <w:rFonts w:ascii="Cambria" w:hAnsi="Cambria" w:cs="Courier New"/>
          <w:sz w:val="20"/>
          <w:szCs w:val="20"/>
          <w:vertAlign w:val="subscript"/>
        </w:rPr>
        <w:t>2</w:t>
      </w:r>
      <w:r w:rsidRPr="00C84FC3">
        <w:rPr>
          <w:rFonts w:ascii="Cambria" w:hAnsi="Cambria" w:cs="Courier New"/>
          <w:sz w:val="20"/>
          <w:szCs w:val="20"/>
        </w:rPr>
        <w:t>]: 1500 µ</w:t>
      </w:r>
      <w:proofErr w:type="spellStart"/>
      <w:r w:rsidRPr="00C84FC3">
        <w:rPr>
          <w:rFonts w:ascii="Cambria" w:hAnsi="Cambria" w:cs="Courier New"/>
          <w:sz w:val="20"/>
          <w:szCs w:val="20"/>
        </w:rPr>
        <w:t>mol</w:t>
      </w:r>
      <w:proofErr w:type="spellEnd"/>
      <w:r w:rsidRPr="00C84FC3">
        <w:rPr>
          <w:rFonts w:ascii="Cambria" w:hAnsi="Cambria" w:cs="Courier New"/>
          <w:sz w:val="20"/>
          <w:szCs w:val="20"/>
        </w:rPr>
        <w:t xml:space="preserve"> mol</w:t>
      </w:r>
      <w:r w:rsidRPr="00C84FC3">
        <w:rPr>
          <w:rFonts w:ascii="Cambria" w:hAnsi="Cambria" w:cs="Courier New"/>
          <w:sz w:val="20"/>
          <w:szCs w:val="20"/>
          <w:vertAlign w:val="superscript"/>
        </w:rPr>
        <w:t>-1</w:t>
      </w:r>
      <w:r w:rsidRPr="00C84FC3">
        <w:rPr>
          <w:rFonts w:ascii="Cambria" w:hAnsi="Cambria" w:cs="Courier New"/>
          <w:sz w:val="20"/>
          <w:szCs w:val="20"/>
        </w:rPr>
        <w:t>; B, current [CO</w:t>
      </w:r>
      <w:r w:rsidRPr="00C84FC3">
        <w:rPr>
          <w:rFonts w:ascii="Cambria" w:hAnsi="Cambria" w:cs="Courier New"/>
          <w:sz w:val="20"/>
          <w:szCs w:val="20"/>
          <w:vertAlign w:val="subscript"/>
        </w:rPr>
        <w:t>2</w:t>
      </w:r>
      <w:r w:rsidRPr="00C84FC3">
        <w:rPr>
          <w:rFonts w:ascii="Cambria" w:hAnsi="Cambria" w:cs="Courier New"/>
          <w:sz w:val="20"/>
          <w:szCs w:val="20"/>
        </w:rPr>
        <w:t>]: 400 µ</w:t>
      </w:r>
      <w:proofErr w:type="spellStart"/>
      <w:r w:rsidRPr="00C84FC3">
        <w:rPr>
          <w:rFonts w:ascii="Cambria" w:hAnsi="Cambria" w:cs="Courier New"/>
          <w:sz w:val="20"/>
          <w:szCs w:val="20"/>
        </w:rPr>
        <w:t>mol</w:t>
      </w:r>
      <w:proofErr w:type="spellEnd"/>
      <w:r w:rsidRPr="00C84FC3">
        <w:rPr>
          <w:rFonts w:ascii="Cambria" w:hAnsi="Cambria" w:cs="Courier New"/>
          <w:sz w:val="20"/>
          <w:szCs w:val="20"/>
        </w:rPr>
        <w:t xml:space="preserve"> mol</w:t>
      </w:r>
      <w:r w:rsidRPr="00C84FC3">
        <w:rPr>
          <w:rFonts w:ascii="Cambria" w:hAnsi="Cambria" w:cs="Courier New"/>
          <w:sz w:val="20"/>
          <w:szCs w:val="20"/>
          <w:vertAlign w:val="superscript"/>
        </w:rPr>
        <w:t>-1</w:t>
      </w:r>
      <w:r w:rsidRPr="00C84FC3">
        <w:rPr>
          <w:rFonts w:ascii="Cambria" w:hAnsi="Cambria" w:cs="Courier New"/>
          <w:sz w:val="20"/>
          <w:szCs w:val="20"/>
        </w:rPr>
        <w:t>; C, sub-ambient [CO</w:t>
      </w:r>
      <w:r w:rsidRPr="00C84FC3">
        <w:rPr>
          <w:rFonts w:ascii="Cambria" w:hAnsi="Cambria" w:cs="Courier New"/>
          <w:sz w:val="20"/>
          <w:szCs w:val="20"/>
          <w:vertAlign w:val="subscript"/>
        </w:rPr>
        <w:t>2</w:t>
      </w:r>
      <w:r w:rsidRPr="00C84FC3">
        <w:rPr>
          <w:rFonts w:ascii="Cambria" w:hAnsi="Cambria" w:cs="Courier New"/>
          <w:sz w:val="20"/>
          <w:szCs w:val="20"/>
        </w:rPr>
        <w:t>]: 180 µ</w:t>
      </w:r>
      <w:proofErr w:type="spellStart"/>
      <w:r w:rsidRPr="00C84FC3">
        <w:rPr>
          <w:rFonts w:ascii="Cambria" w:hAnsi="Cambria" w:cs="Courier New"/>
          <w:sz w:val="20"/>
          <w:szCs w:val="20"/>
        </w:rPr>
        <w:t>mol</w:t>
      </w:r>
      <w:proofErr w:type="spellEnd"/>
      <w:r w:rsidRPr="00C84FC3">
        <w:rPr>
          <w:rFonts w:ascii="Cambria" w:hAnsi="Cambria" w:cs="Courier New"/>
          <w:sz w:val="20"/>
          <w:szCs w:val="20"/>
        </w:rPr>
        <w:t xml:space="preserve"> mol</w:t>
      </w:r>
      <w:r w:rsidRPr="00C84FC3">
        <w:rPr>
          <w:rFonts w:ascii="Cambria" w:hAnsi="Cambria" w:cs="Courier New"/>
          <w:sz w:val="20"/>
          <w:szCs w:val="20"/>
          <w:vertAlign w:val="superscript"/>
        </w:rPr>
        <w:t>-1</w:t>
      </w:r>
      <w:r w:rsidRPr="00C84FC3">
        <w:rPr>
          <w:rFonts w:ascii="Cambria" w:hAnsi="Cambria" w:cs="Courier New"/>
          <w:sz w:val="20"/>
          <w:szCs w:val="20"/>
        </w:rPr>
        <w:t xml:space="preserve">. </w:t>
      </w:r>
    </w:p>
    <w:p w14:paraId="1587C1BD" w14:textId="77777777" w:rsidR="00DF4522" w:rsidRDefault="00DF4522" w:rsidP="00DF4522">
      <w:pPr>
        <w:spacing w:line="360" w:lineRule="auto"/>
        <w:jc w:val="both"/>
        <w:rPr>
          <w:rFonts w:ascii="Cambria" w:hAnsi="Cambria" w:cs="Courier New"/>
        </w:rPr>
      </w:pPr>
    </w:p>
    <w:p w14:paraId="14201B32"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In both species, the increase in RGR was greater between 180 and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 xml:space="preserve">2 </w:t>
      </w:r>
      <w:r w:rsidRPr="00531789">
        <w:rPr>
          <w:rFonts w:ascii="Cambria" w:hAnsi="Cambria" w:cs="Courier New"/>
        </w:rPr>
        <w:t>than between 400 and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Peak RGR</w:t>
      </w:r>
      <w:r>
        <w:rPr>
          <w:rFonts w:ascii="Cambria" w:hAnsi="Cambria" w:cs="Courier New"/>
        </w:rPr>
        <w:t xml:space="preserve"> in the annual increased by 17</w:t>
      </w:r>
      <w:r w:rsidRPr="00531789">
        <w:rPr>
          <w:rFonts w:ascii="Cambria" w:hAnsi="Cambria" w:cs="Courier New"/>
        </w:rPr>
        <w:t>% between 180 and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Pr>
          <w:rFonts w:ascii="Cambria" w:hAnsi="Cambria" w:cs="Courier New"/>
        </w:rPr>
        <w:t>, but only 5</w:t>
      </w:r>
      <w:r w:rsidRPr="00531789">
        <w:rPr>
          <w:rFonts w:ascii="Cambria" w:hAnsi="Cambria" w:cs="Courier New"/>
        </w:rPr>
        <w:t>% between 400 and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Peak RGR in the perennial increased by 2</w:t>
      </w:r>
      <w:r>
        <w:rPr>
          <w:rFonts w:ascii="Cambria" w:hAnsi="Cambria" w:cs="Courier New"/>
        </w:rPr>
        <w:t>1</w:t>
      </w:r>
      <w:r w:rsidRPr="00531789">
        <w:rPr>
          <w:rFonts w:ascii="Cambria" w:hAnsi="Cambria" w:cs="Courier New"/>
        </w:rPr>
        <w:t>% between 180 and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Pr>
          <w:rFonts w:ascii="Cambria" w:hAnsi="Cambria" w:cs="Courier New"/>
        </w:rPr>
        <w:t>, but only 6</w:t>
      </w:r>
      <w:r w:rsidRPr="00531789">
        <w:rPr>
          <w:rFonts w:ascii="Cambria" w:hAnsi="Cambria" w:cs="Courier New"/>
        </w:rPr>
        <w:t>% between 400 and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However the difference between annual and perennial remained relatively consistent: peak RGR in the annual was 21</w:t>
      </w:r>
      <w:r>
        <w:rPr>
          <w:rFonts w:ascii="Cambria" w:hAnsi="Cambria" w:cs="Courier New"/>
        </w:rPr>
        <w:t>%, 18% and 1</w:t>
      </w:r>
      <w:r w:rsidRPr="00531789">
        <w:rPr>
          <w:rFonts w:ascii="Cambria" w:hAnsi="Cambria" w:cs="Courier New"/>
        </w:rPr>
        <w:t>7% higher than in the perennial, at 180, 400 and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 xml:space="preserve">2 </w:t>
      </w:r>
      <w:r w:rsidRPr="00531789">
        <w:rPr>
          <w:rFonts w:ascii="Cambria" w:hAnsi="Cambria" w:cs="Courier New"/>
        </w:rPr>
        <w:t>respectively.</w:t>
      </w:r>
    </w:p>
    <w:p w14:paraId="2EC01519" w14:textId="77777777" w:rsidR="00DF4522" w:rsidRPr="00531789" w:rsidRDefault="00DF4522" w:rsidP="00DF4522">
      <w:pPr>
        <w:spacing w:line="360" w:lineRule="auto"/>
        <w:jc w:val="both"/>
        <w:rPr>
          <w:rFonts w:ascii="Cambria" w:hAnsi="Cambria" w:cs="Courier New"/>
        </w:rPr>
      </w:pPr>
    </w:p>
    <w:p w14:paraId="19F621F2" w14:textId="77777777" w:rsidR="00DF4522" w:rsidRDefault="00DF4522" w:rsidP="00DF4522">
      <w:pPr>
        <w:spacing w:line="360" w:lineRule="auto"/>
        <w:jc w:val="both"/>
        <w:rPr>
          <w:rFonts w:ascii="Cambria" w:hAnsi="Cambria" w:cs="Courier New"/>
        </w:rPr>
      </w:pPr>
      <w:r w:rsidRPr="00531789">
        <w:rPr>
          <w:rFonts w:ascii="Cambria" w:hAnsi="Cambria" w:cs="Courier New"/>
        </w:rPr>
        <w:t>The modular nature of plant body plans means that, in order for RGR to increase, plants must either increase the biomass of existing organs, or initiate new structures through branching (tillering, in the case of grasses).  Tillering in the perennial increased by 163% between 180 and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whereas the number of tillers in the annual increased by just 15% across the same CO</w:t>
      </w:r>
      <w:r w:rsidRPr="00531789">
        <w:rPr>
          <w:rFonts w:ascii="Cambria" w:hAnsi="Cambria" w:cs="Courier New"/>
          <w:vertAlign w:val="subscript"/>
        </w:rPr>
        <w:t>2</w:t>
      </w:r>
      <w:r w:rsidRPr="00531789">
        <w:rPr>
          <w:rFonts w:ascii="Cambria" w:hAnsi="Cambria" w:cs="Courier New"/>
        </w:rPr>
        <w:t xml:space="preserve"> range (Table 1). This highly significant species x [CO</w:t>
      </w:r>
      <w:r w:rsidRPr="00531789">
        <w:rPr>
          <w:rFonts w:ascii="Cambria" w:hAnsi="Cambria" w:cs="Courier New"/>
          <w:vertAlign w:val="subscript"/>
        </w:rPr>
        <w:t>2</w:t>
      </w:r>
      <w:r w:rsidRPr="00531789">
        <w:rPr>
          <w:rFonts w:ascii="Cambria" w:hAnsi="Cambria" w:cs="Courier New"/>
        </w:rPr>
        <w:t>] interaction (F</w:t>
      </w:r>
      <w:r w:rsidRPr="00531789">
        <w:rPr>
          <w:rFonts w:ascii="Cambria" w:hAnsi="Cambria" w:cs="Courier New"/>
          <w:vertAlign w:val="subscript"/>
        </w:rPr>
        <w:t>(1,80)</w:t>
      </w:r>
      <w:r w:rsidRPr="00531789">
        <w:rPr>
          <w:rFonts w:ascii="Cambria" w:hAnsi="Cambria" w:cs="Courier New"/>
        </w:rPr>
        <w:t xml:space="preserve"> = 56 p&lt;0.001) indicates greater developmental plasticity in the perennial. </w:t>
      </w:r>
    </w:p>
    <w:p w14:paraId="12810DCB" w14:textId="77777777" w:rsidR="00DF4522" w:rsidRDefault="00DF4522" w:rsidP="00DF4522">
      <w:pPr>
        <w:widowControl w:val="0"/>
        <w:autoSpaceDE w:val="0"/>
        <w:autoSpaceDN w:val="0"/>
        <w:adjustRightInd w:val="0"/>
        <w:ind w:left="480" w:hanging="480"/>
        <w:rPr>
          <w:rFonts w:ascii="Cambria" w:hAnsi="Cambria" w:cs="Courier New"/>
          <w:b/>
          <w:sz w:val="20"/>
          <w:szCs w:val="20"/>
        </w:rPr>
      </w:pPr>
    </w:p>
    <w:p w14:paraId="7BFAE628" w14:textId="77777777" w:rsidR="00DF4522" w:rsidRDefault="00DF4522" w:rsidP="00DF4522">
      <w:pPr>
        <w:widowControl w:val="0"/>
        <w:autoSpaceDE w:val="0"/>
        <w:autoSpaceDN w:val="0"/>
        <w:adjustRightInd w:val="0"/>
        <w:ind w:left="480" w:hanging="480"/>
        <w:rPr>
          <w:rFonts w:ascii="Cambria" w:hAnsi="Cambria" w:cs="Courier New"/>
          <w:b/>
          <w:sz w:val="20"/>
          <w:szCs w:val="20"/>
        </w:rPr>
      </w:pPr>
    </w:p>
    <w:p w14:paraId="635C7C53" w14:textId="77777777" w:rsidR="00DF4522" w:rsidRPr="00C84FC3" w:rsidRDefault="00DF4522" w:rsidP="00DF4522">
      <w:pPr>
        <w:widowControl w:val="0"/>
        <w:autoSpaceDE w:val="0"/>
        <w:autoSpaceDN w:val="0"/>
        <w:adjustRightInd w:val="0"/>
        <w:ind w:left="480" w:hanging="480"/>
        <w:rPr>
          <w:rFonts w:ascii="Cambria" w:hAnsi="Cambria" w:cs="Courier New"/>
          <w:b/>
          <w:sz w:val="20"/>
          <w:szCs w:val="20"/>
        </w:rPr>
      </w:pPr>
    </w:p>
    <w:p w14:paraId="6E1A564A" w14:textId="77777777" w:rsidR="00DF4522" w:rsidRPr="00C84FC3" w:rsidRDefault="00DF4522" w:rsidP="00DF4522">
      <w:pPr>
        <w:jc w:val="both"/>
        <w:rPr>
          <w:rFonts w:ascii="Cambria" w:hAnsi="Cambria" w:cs="Courier New"/>
          <w:sz w:val="20"/>
          <w:szCs w:val="20"/>
        </w:rPr>
      </w:pPr>
      <w:r w:rsidRPr="00C84FC3">
        <w:rPr>
          <w:rFonts w:ascii="Cambria" w:hAnsi="Cambria" w:cs="Courier New"/>
          <w:b/>
          <w:sz w:val="20"/>
          <w:szCs w:val="20"/>
        </w:rPr>
        <w:t>Table 1.</w:t>
      </w:r>
      <w:r w:rsidRPr="00C84FC3">
        <w:rPr>
          <w:rFonts w:ascii="Cambria" w:hAnsi="Cambria" w:cs="Courier New"/>
          <w:sz w:val="20"/>
          <w:szCs w:val="20"/>
        </w:rPr>
        <w:t xml:space="preserve">  Responses of tillering and </w:t>
      </w:r>
      <w:proofErr w:type="spellStart"/>
      <w:r w:rsidRPr="00C84FC3">
        <w:rPr>
          <w:rFonts w:ascii="Cambria" w:hAnsi="Cambria" w:cs="Courier New"/>
          <w:sz w:val="20"/>
          <w:szCs w:val="20"/>
        </w:rPr>
        <w:t>root:shoot</w:t>
      </w:r>
      <w:proofErr w:type="spellEnd"/>
      <w:r w:rsidRPr="00C84FC3">
        <w:rPr>
          <w:rFonts w:ascii="Cambria" w:hAnsi="Cambria" w:cs="Courier New"/>
          <w:sz w:val="20"/>
          <w:szCs w:val="20"/>
        </w:rPr>
        <w:t xml:space="preserve"> ratio to increasing [CO</w:t>
      </w:r>
      <w:r w:rsidRPr="00C84FC3">
        <w:rPr>
          <w:rFonts w:ascii="Cambria" w:hAnsi="Cambria" w:cs="Courier New"/>
          <w:sz w:val="20"/>
          <w:szCs w:val="20"/>
          <w:vertAlign w:val="subscript"/>
        </w:rPr>
        <w:t>2</w:t>
      </w:r>
      <w:r w:rsidRPr="00C84FC3">
        <w:rPr>
          <w:rFonts w:ascii="Cambria" w:hAnsi="Cambria" w:cs="Courier New"/>
          <w:sz w:val="20"/>
          <w:szCs w:val="20"/>
        </w:rPr>
        <w:t xml:space="preserve">]. Annual barley shows very limited tillering and </w:t>
      </w:r>
      <w:proofErr w:type="spellStart"/>
      <w:r w:rsidRPr="00C84FC3">
        <w:rPr>
          <w:rFonts w:ascii="Cambria" w:hAnsi="Cambria" w:cs="Courier New"/>
          <w:sz w:val="20"/>
          <w:szCs w:val="20"/>
        </w:rPr>
        <w:t>root:shoot</w:t>
      </w:r>
      <w:proofErr w:type="spellEnd"/>
      <w:r w:rsidRPr="00C84FC3">
        <w:rPr>
          <w:rFonts w:ascii="Cambria" w:hAnsi="Cambria" w:cs="Courier New"/>
          <w:sz w:val="20"/>
          <w:szCs w:val="20"/>
        </w:rPr>
        <w:t xml:space="preserve"> ratio responses to increasing CO</w:t>
      </w:r>
      <w:r w:rsidRPr="00C84FC3">
        <w:rPr>
          <w:rFonts w:ascii="Cambria" w:hAnsi="Cambria" w:cs="Courier New"/>
          <w:sz w:val="20"/>
          <w:szCs w:val="20"/>
          <w:vertAlign w:val="subscript"/>
        </w:rPr>
        <w:t>2</w:t>
      </w:r>
      <w:r w:rsidRPr="00C84FC3">
        <w:rPr>
          <w:rFonts w:ascii="Cambria" w:hAnsi="Cambria" w:cs="Courier New"/>
          <w:sz w:val="20"/>
          <w:szCs w:val="20"/>
        </w:rPr>
        <w:t xml:space="preserve"> concentration, whilst the perennial shows a dramatic increase in tillering and a significant increase in </w:t>
      </w:r>
      <w:proofErr w:type="spellStart"/>
      <w:r w:rsidRPr="00C84FC3">
        <w:rPr>
          <w:rFonts w:ascii="Cambria" w:hAnsi="Cambria" w:cs="Courier New"/>
          <w:sz w:val="20"/>
          <w:szCs w:val="20"/>
        </w:rPr>
        <w:t>root:shoot</w:t>
      </w:r>
      <w:proofErr w:type="spellEnd"/>
      <w:r w:rsidRPr="00C84FC3">
        <w:rPr>
          <w:rFonts w:ascii="Cambria" w:hAnsi="Cambria" w:cs="Courier New"/>
          <w:sz w:val="20"/>
          <w:szCs w:val="20"/>
        </w:rPr>
        <w:t xml:space="preserve"> ratio.  Data shown are obtained from 54 annual and 36 perennial individuals across the three treatments.  Tillers were counted directly, whilst </w:t>
      </w:r>
      <w:proofErr w:type="spellStart"/>
      <w:r w:rsidRPr="00C84FC3">
        <w:rPr>
          <w:rFonts w:ascii="Cambria" w:hAnsi="Cambria" w:cs="Courier New"/>
          <w:sz w:val="20"/>
          <w:szCs w:val="20"/>
        </w:rPr>
        <w:t>root:shoot</w:t>
      </w:r>
      <w:proofErr w:type="spellEnd"/>
      <w:r w:rsidRPr="00C84FC3">
        <w:rPr>
          <w:rFonts w:ascii="Cambria" w:hAnsi="Cambria" w:cs="Courier New"/>
          <w:sz w:val="20"/>
          <w:szCs w:val="20"/>
        </w:rPr>
        <w:t xml:space="preserve"> ratio was estimated non-destructively using imaging.  </w:t>
      </w:r>
      <w:r>
        <w:rPr>
          <w:rFonts w:ascii="Cambria" w:hAnsi="Cambria" w:cs="Courier New"/>
          <w:sz w:val="20"/>
          <w:szCs w:val="20"/>
        </w:rPr>
        <w:t xml:space="preserve">Data show mean </w:t>
      </w:r>
      <w:r w:rsidRPr="00D74B32">
        <w:rPr>
          <w:rFonts w:ascii="Cambria" w:hAnsi="Cambria" w:cs="font652"/>
          <w:sz w:val="20"/>
          <w:szCs w:val="20"/>
          <w:lang w:val="en-US"/>
        </w:rPr>
        <w:t xml:space="preserve">± </w:t>
      </w:r>
      <w:r>
        <w:rPr>
          <w:rFonts w:ascii="Cambria" w:hAnsi="Cambria" w:cs="Courier New"/>
          <w:sz w:val="20"/>
          <w:szCs w:val="20"/>
        </w:rPr>
        <w:t>SE,</w:t>
      </w:r>
      <w:r w:rsidRPr="00C84FC3">
        <w:rPr>
          <w:rFonts w:ascii="Cambria" w:hAnsi="Cambria" w:cs="Courier New"/>
          <w:sz w:val="20"/>
          <w:szCs w:val="20"/>
        </w:rPr>
        <w:t xml:space="preserve"> reported to three significant figures (annual n=18, perennial n=12). </w:t>
      </w:r>
    </w:p>
    <w:p w14:paraId="036D426F" w14:textId="77777777" w:rsidR="00DF4522" w:rsidRPr="00550834" w:rsidRDefault="00DF4522" w:rsidP="00DF4522">
      <w:pPr>
        <w:spacing w:line="360" w:lineRule="auto"/>
        <w:jc w:val="both"/>
        <w:rPr>
          <w:rFonts w:ascii="Cambria" w:hAnsi="Cambria" w:cs="Courier New"/>
        </w:rPr>
      </w:pPr>
    </w:p>
    <w:tbl>
      <w:tblPr>
        <w:tblStyle w:val="TableGrid"/>
        <w:tblW w:w="9924"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60"/>
        <w:gridCol w:w="1418"/>
        <w:gridCol w:w="1276"/>
        <w:gridCol w:w="1417"/>
        <w:gridCol w:w="1418"/>
        <w:gridCol w:w="1417"/>
        <w:gridCol w:w="1418"/>
      </w:tblGrid>
      <w:tr w:rsidR="00DF4522" w:rsidRPr="00550834" w14:paraId="7801AD85" w14:textId="77777777" w:rsidTr="00FB53C0">
        <w:tc>
          <w:tcPr>
            <w:tcW w:w="1560" w:type="dxa"/>
          </w:tcPr>
          <w:p w14:paraId="119A3F05" w14:textId="77777777" w:rsidR="00DF4522" w:rsidRPr="00550834" w:rsidRDefault="00DF4522" w:rsidP="00FB53C0">
            <w:pPr>
              <w:spacing w:line="360" w:lineRule="auto"/>
              <w:jc w:val="center"/>
              <w:rPr>
                <w:rFonts w:ascii="Cambria" w:hAnsi="Cambria" w:cs="Courier New"/>
                <w:b/>
                <w:sz w:val="24"/>
                <w:szCs w:val="24"/>
              </w:rPr>
            </w:pPr>
          </w:p>
        </w:tc>
        <w:tc>
          <w:tcPr>
            <w:tcW w:w="1418" w:type="dxa"/>
          </w:tcPr>
          <w:p w14:paraId="65705A1D" w14:textId="77777777" w:rsidR="00DF4522" w:rsidRPr="00550834" w:rsidRDefault="00DF4522" w:rsidP="00FB53C0">
            <w:pPr>
              <w:spacing w:line="360" w:lineRule="auto"/>
              <w:jc w:val="center"/>
              <w:rPr>
                <w:rFonts w:ascii="Cambria" w:hAnsi="Cambria" w:cs="Courier New"/>
                <w:b/>
                <w:sz w:val="24"/>
                <w:szCs w:val="24"/>
              </w:rPr>
            </w:pPr>
            <w:r w:rsidRPr="00550834">
              <w:rPr>
                <w:rFonts w:ascii="Cambria" w:hAnsi="Cambria" w:cs="Courier New"/>
                <w:b/>
                <w:sz w:val="24"/>
                <w:szCs w:val="24"/>
              </w:rPr>
              <w:t>Annual, 180 µ</w:t>
            </w:r>
            <w:proofErr w:type="spellStart"/>
            <w:r w:rsidRPr="00550834">
              <w:rPr>
                <w:rFonts w:ascii="Cambria" w:hAnsi="Cambria" w:cs="Courier New"/>
                <w:b/>
                <w:sz w:val="24"/>
                <w:szCs w:val="24"/>
              </w:rPr>
              <w:t>mol</w:t>
            </w:r>
            <w:proofErr w:type="spellEnd"/>
            <w:r w:rsidRPr="00550834">
              <w:rPr>
                <w:rFonts w:ascii="Cambria" w:hAnsi="Cambria" w:cs="Courier New"/>
                <w:b/>
                <w:sz w:val="24"/>
                <w:szCs w:val="24"/>
              </w:rPr>
              <w:t xml:space="preserve"> mol</w:t>
            </w:r>
            <w:r w:rsidRPr="00550834">
              <w:rPr>
                <w:rFonts w:ascii="Cambria" w:hAnsi="Cambria" w:cs="Courier New"/>
                <w:b/>
                <w:sz w:val="24"/>
                <w:szCs w:val="24"/>
                <w:vertAlign w:val="superscript"/>
              </w:rPr>
              <w:t xml:space="preserve">-1 </w:t>
            </w:r>
            <w:r w:rsidRPr="00550834">
              <w:rPr>
                <w:rFonts w:ascii="Cambria" w:hAnsi="Cambria" w:cs="Courier New"/>
                <w:b/>
                <w:sz w:val="24"/>
                <w:szCs w:val="24"/>
              </w:rPr>
              <w:t>CO</w:t>
            </w:r>
            <w:r w:rsidRPr="00550834">
              <w:rPr>
                <w:rFonts w:ascii="Cambria" w:hAnsi="Cambria" w:cs="Courier New"/>
                <w:b/>
                <w:sz w:val="24"/>
                <w:szCs w:val="24"/>
                <w:vertAlign w:val="subscript"/>
              </w:rPr>
              <w:t>2</w:t>
            </w:r>
          </w:p>
        </w:tc>
        <w:tc>
          <w:tcPr>
            <w:tcW w:w="1276" w:type="dxa"/>
          </w:tcPr>
          <w:p w14:paraId="223DE653" w14:textId="77777777" w:rsidR="00DF4522" w:rsidRPr="00550834" w:rsidRDefault="00DF4522" w:rsidP="00FB53C0">
            <w:pPr>
              <w:spacing w:line="360" w:lineRule="auto"/>
              <w:jc w:val="center"/>
              <w:rPr>
                <w:rFonts w:ascii="Cambria" w:hAnsi="Cambria" w:cs="Courier New"/>
                <w:b/>
                <w:sz w:val="24"/>
                <w:szCs w:val="24"/>
              </w:rPr>
            </w:pPr>
            <w:r w:rsidRPr="00550834">
              <w:rPr>
                <w:rFonts w:ascii="Cambria" w:hAnsi="Cambria" w:cs="Courier New"/>
                <w:b/>
                <w:sz w:val="24"/>
                <w:szCs w:val="24"/>
              </w:rPr>
              <w:t>Annual, 400 µ</w:t>
            </w:r>
            <w:proofErr w:type="spellStart"/>
            <w:r w:rsidRPr="00550834">
              <w:rPr>
                <w:rFonts w:ascii="Cambria" w:hAnsi="Cambria" w:cs="Courier New"/>
                <w:b/>
                <w:sz w:val="24"/>
                <w:szCs w:val="24"/>
              </w:rPr>
              <w:t>mol</w:t>
            </w:r>
            <w:proofErr w:type="spellEnd"/>
            <w:r w:rsidRPr="00550834">
              <w:rPr>
                <w:rFonts w:ascii="Cambria" w:hAnsi="Cambria" w:cs="Courier New"/>
                <w:b/>
                <w:sz w:val="24"/>
                <w:szCs w:val="24"/>
              </w:rPr>
              <w:t xml:space="preserve"> mol</w:t>
            </w:r>
            <w:r w:rsidRPr="00550834">
              <w:rPr>
                <w:rFonts w:ascii="Cambria" w:hAnsi="Cambria" w:cs="Courier New"/>
                <w:b/>
                <w:sz w:val="24"/>
                <w:szCs w:val="24"/>
                <w:vertAlign w:val="superscript"/>
              </w:rPr>
              <w:t xml:space="preserve">-1 </w:t>
            </w:r>
            <w:r w:rsidRPr="00550834">
              <w:rPr>
                <w:rFonts w:ascii="Cambria" w:hAnsi="Cambria" w:cs="Courier New"/>
                <w:b/>
                <w:sz w:val="24"/>
                <w:szCs w:val="24"/>
              </w:rPr>
              <w:t>CO</w:t>
            </w:r>
            <w:r w:rsidRPr="00550834">
              <w:rPr>
                <w:rFonts w:ascii="Cambria" w:hAnsi="Cambria" w:cs="Courier New"/>
                <w:b/>
                <w:sz w:val="24"/>
                <w:szCs w:val="24"/>
                <w:vertAlign w:val="subscript"/>
              </w:rPr>
              <w:t>2</w:t>
            </w:r>
          </w:p>
        </w:tc>
        <w:tc>
          <w:tcPr>
            <w:tcW w:w="1417" w:type="dxa"/>
          </w:tcPr>
          <w:p w14:paraId="3BB9C52F" w14:textId="77777777" w:rsidR="00DF4522" w:rsidRPr="00550834" w:rsidRDefault="00DF4522" w:rsidP="00FB53C0">
            <w:pPr>
              <w:spacing w:line="360" w:lineRule="auto"/>
              <w:jc w:val="center"/>
              <w:rPr>
                <w:rFonts w:ascii="Cambria" w:hAnsi="Cambria" w:cs="Courier New"/>
                <w:b/>
                <w:sz w:val="24"/>
                <w:szCs w:val="24"/>
              </w:rPr>
            </w:pPr>
            <w:r w:rsidRPr="00550834">
              <w:rPr>
                <w:rFonts w:ascii="Cambria" w:hAnsi="Cambria" w:cs="Courier New"/>
                <w:b/>
                <w:sz w:val="24"/>
                <w:szCs w:val="24"/>
              </w:rPr>
              <w:t>Annual, 1500 µ</w:t>
            </w:r>
            <w:proofErr w:type="spellStart"/>
            <w:r w:rsidRPr="00550834">
              <w:rPr>
                <w:rFonts w:ascii="Cambria" w:hAnsi="Cambria" w:cs="Courier New"/>
                <w:b/>
                <w:sz w:val="24"/>
                <w:szCs w:val="24"/>
              </w:rPr>
              <w:t>mol</w:t>
            </w:r>
            <w:proofErr w:type="spellEnd"/>
            <w:r w:rsidRPr="00550834">
              <w:rPr>
                <w:rFonts w:ascii="Cambria" w:hAnsi="Cambria" w:cs="Courier New"/>
                <w:b/>
                <w:sz w:val="24"/>
                <w:szCs w:val="24"/>
              </w:rPr>
              <w:t xml:space="preserve"> mol</w:t>
            </w:r>
            <w:r w:rsidRPr="00550834">
              <w:rPr>
                <w:rFonts w:ascii="Cambria" w:hAnsi="Cambria" w:cs="Courier New"/>
                <w:b/>
                <w:sz w:val="24"/>
                <w:szCs w:val="24"/>
                <w:vertAlign w:val="superscript"/>
              </w:rPr>
              <w:t>-1</w:t>
            </w:r>
            <w:r w:rsidRPr="00550834">
              <w:rPr>
                <w:rFonts w:ascii="Cambria" w:hAnsi="Cambria" w:cs="Courier New"/>
                <w:b/>
                <w:sz w:val="24"/>
                <w:szCs w:val="24"/>
              </w:rPr>
              <w:t xml:space="preserve"> CO</w:t>
            </w:r>
            <w:r w:rsidRPr="00550834">
              <w:rPr>
                <w:rFonts w:ascii="Cambria" w:hAnsi="Cambria" w:cs="Courier New"/>
                <w:b/>
                <w:sz w:val="24"/>
                <w:szCs w:val="24"/>
                <w:vertAlign w:val="subscript"/>
              </w:rPr>
              <w:t>2</w:t>
            </w:r>
          </w:p>
        </w:tc>
        <w:tc>
          <w:tcPr>
            <w:tcW w:w="1418" w:type="dxa"/>
          </w:tcPr>
          <w:p w14:paraId="60CE7D68" w14:textId="77777777" w:rsidR="00DF4522" w:rsidRPr="00550834" w:rsidRDefault="00DF4522" w:rsidP="00FB53C0">
            <w:pPr>
              <w:spacing w:line="360" w:lineRule="auto"/>
              <w:jc w:val="center"/>
              <w:rPr>
                <w:rFonts w:ascii="Cambria" w:hAnsi="Cambria" w:cs="Courier New"/>
                <w:b/>
                <w:sz w:val="24"/>
                <w:szCs w:val="24"/>
              </w:rPr>
            </w:pPr>
            <w:r w:rsidRPr="00550834">
              <w:rPr>
                <w:rFonts w:ascii="Cambria" w:hAnsi="Cambria" w:cs="Courier New"/>
                <w:b/>
                <w:sz w:val="24"/>
                <w:szCs w:val="24"/>
              </w:rPr>
              <w:t>Perennial, 180 µ</w:t>
            </w:r>
            <w:proofErr w:type="spellStart"/>
            <w:r w:rsidRPr="00550834">
              <w:rPr>
                <w:rFonts w:ascii="Cambria" w:hAnsi="Cambria" w:cs="Courier New"/>
                <w:b/>
                <w:sz w:val="24"/>
                <w:szCs w:val="24"/>
              </w:rPr>
              <w:t>mol</w:t>
            </w:r>
            <w:proofErr w:type="spellEnd"/>
            <w:r w:rsidRPr="00550834">
              <w:rPr>
                <w:rFonts w:ascii="Cambria" w:hAnsi="Cambria" w:cs="Courier New"/>
                <w:b/>
                <w:sz w:val="24"/>
                <w:szCs w:val="24"/>
              </w:rPr>
              <w:t xml:space="preserve"> mol</w:t>
            </w:r>
            <w:r w:rsidRPr="00550834">
              <w:rPr>
                <w:rFonts w:ascii="Cambria" w:hAnsi="Cambria" w:cs="Courier New"/>
                <w:b/>
                <w:sz w:val="24"/>
                <w:szCs w:val="24"/>
                <w:vertAlign w:val="superscript"/>
              </w:rPr>
              <w:t xml:space="preserve">-1 </w:t>
            </w:r>
            <w:r w:rsidRPr="00550834">
              <w:rPr>
                <w:rFonts w:ascii="Cambria" w:hAnsi="Cambria" w:cs="Courier New"/>
                <w:b/>
                <w:sz w:val="24"/>
                <w:szCs w:val="24"/>
              </w:rPr>
              <w:t>CO</w:t>
            </w:r>
            <w:r w:rsidRPr="00550834">
              <w:rPr>
                <w:rFonts w:ascii="Cambria" w:hAnsi="Cambria" w:cs="Courier New"/>
                <w:b/>
                <w:sz w:val="24"/>
                <w:szCs w:val="24"/>
                <w:vertAlign w:val="subscript"/>
              </w:rPr>
              <w:t>2</w:t>
            </w:r>
          </w:p>
        </w:tc>
        <w:tc>
          <w:tcPr>
            <w:tcW w:w="1417" w:type="dxa"/>
          </w:tcPr>
          <w:p w14:paraId="6CADD6BF" w14:textId="77777777" w:rsidR="00DF4522" w:rsidRPr="00550834" w:rsidRDefault="00DF4522" w:rsidP="00FB53C0">
            <w:pPr>
              <w:spacing w:line="360" w:lineRule="auto"/>
              <w:jc w:val="center"/>
              <w:rPr>
                <w:rFonts w:ascii="Cambria" w:hAnsi="Cambria" w:cs="Courier New"/>
                <w:b/>
                <w:sz w:val="24"/>
                <w:szCs w:val="24"/>
              </w:rPr>
            </w:pPr>
            <w:r w:rsidRPr="00550834">
              <w:rPr>
                <w:rFonts w:ascii="Cambria" w:hAnsi="Cambria" w:cs="Courier New"/>
                <w:b/>
                <w:sz w:val="24"/>
                <w:szCs w:val="24"/>
              </w:rPr>
              <w:t>Perennial, 400 µ</w:t>
            </w:r>
            <w:proofErr w:type="spellStart"/>
            <w:r w:rsidRPr="00550834">
              <w:rPr>
                <w:rFonts w:ascii="Cambria" w:hAnsi="Cambria" w:cs="Courier New"/>
                <w:b/>
                <w:sz w:val="24"/>
                <w:szCs w:val="24"/>
              </w:rPr>
              <w:t>mol</w:t>
            </w:r>
            <w:proofErr w:type="spellEnd"/>
            <w:r w:rsidRPr="00550834">
              <w:rPr>
                <w:rFonts w:ascii="Cambria" w:hAnsi="Cambria" w:cs="Courier New"/>
                <w:b/>
                <w:sz w:val="24"/>
                <w:szCs w:val="24"/>
              </w:rPr>
              <w:t xml:space="preserve"> mol</w:t>
            </w:r>
            <w:r w:rsidRPr="00550834">
              <w:rPr>
                <w:rFonts w:ascii="Cambria" w:hAnsi="Cambria" w:cs="Courier New"/>
                <w:b/>
                <w:sz w:val="24"/>
                <w:szCs w:val="24"/>
                <w:vertAlign w:val="superscript"/>
              </w:rPr>
              <w:t xml:space="preserve">-1 </w:t>
            </w:r>
            <w:r w:rsidRPr="00550834">
              <w:rPr>
                <w:rFonts w:ascii="Cambria" w:hAnsi="Cambria" w:cs="Courier New"/>
                <w:b/>
                <w:sz w:val="24"/>
                <w:szCs w:val="24"/>
              </w:rPr>
              <w:t>CO</w:t>
            </w:r>
            <w:r w:rsidRPr="00550834">
              <w:rPr>
                <w:rFonts w:ascii="Cambria" w:hAnsi="Cambria" w:cs="Courier New"/>
                <w:b/>
                <w:sz w:val="24"/>
                <w:szCs w:val="24"/>
                <w:vertAlign w:val="subscript"/>
              </w:rPr>
              <w:t>2</w:t>
            </w:r>
          </w:p>
        </w:tc>
        <w:tc>
          <w:tcPr>
            <w:tcW w:w="1418" w:type="dxa"/>
          </w:tcPr>
          <w:p w14:paraId="641440AA" w14:textId="77777777" w:rsidR="00DF4522" w:rsidRPr="00550834" w:rsidRDefault="00DF4522" w:rsidP="00FB53C0">
            <w:pPr>
              <w:spacing w:line="360" w:lineRule="auto"/>
              <w:jc w:val="center"/>
              <w:rPr>
                <w:rFonts w:ascii="Cambria" w:hAnsi="Cambria" w:cs="Courier New"/>
                <w:b/>
                <w:sz w:val="24"/>
                <w:szCs w:val="24"/>
              </w:rPr>
            </w:pPr>
            <w:r w:rsidRPr="00550834">
              <w:rPr>
                <w:rFonts w:ascii="Cambria" w:hAnsi="Cambria" w:cs="Courier New"/>
                <w:b/>
                <w:sz w:val="24"/>
                <w:szCs w:val="24"/>
              </w:rPr>
              <w:t>Perennial, 1500 µ</w:t>
            </w:r>
            <w:proofErr w:type="spellStart"/>
            <w:r w:rsidRPr="00550834">
              <w:rPr>
                <w:rFonts w:ascii="Cambria" w:hAnsi="Cambria" w:cs="Courier New"/>
                <w:b/>
                <w:sz w:val="24"/>
                <w:szCs w:val="24"/>
              </w:rPr>
              <w:t>mol</w:t>
            </w:r>
            <w:proofErr w:type="spellEnd"/>
            <w:r w:rsidRPr="00550834">
              <w:rPr>
                <w:rFonts w:ascii="Cambria" w:hAnsi="Cambria" w:cs="Courier New"/>
                <w:b/>
                <w:sz w:val="24"/>
                <w:szCs w:val="24"/>
              </w:rPr>
              <w:t xml:space="preserve"> mol</w:t>
            </w:r>
            <w:r w:rsidRPr="00550834">
              <w:rPr>
                <w:rFonts w:ascii="Cambria" w:hAnsi="Cambria" w:cs="Courier New"/>
                <w:b/>
                <w:sz w:val="24"/>
                <w:szCs w:val="24"/>
                <w:vertAlign w:val="superscript"/>
              </w:rPr>
              <w:t xml:space="preserve">-1 </w:t>
            </w:r>
            <w:r w:rsidRPr="00550834">
              <w:rPr>
                <w:rFonts w:ascii="Cambria" w:hAnsi="Cambria" w:cs="Courier New"/>
                <w:b/>
                <w:sz w:val="24"/>
                <w:szCs w:val="24"/>
              </w:rPr>
              <w:t>CO</w:t>
            </w:r>
            <w:r w:rsidRPr="00550834">
              <w:rPr>
                <w:rFonts w:ascii="Cambria" w:hAnsi="Cambria" w:cs="Courier New"/>
                <w:b/>
                <w:sz w:val="24"/>
                <w:szCs w:val="24"/>
                <w:vertAlign w:val="subscript"/>
              </w:rPr>
              <w:t>2</w:t>
            </w:r>
          </w:p>
        </w:tc>
      </w:tr>
      <w:tr w:rsidR="00DF4522" w:rsidRPr="00550834" w14:paraId="450BCD6D" w14:textId="77777777" w:rsidTr="00FB53C0">
        <w:tc>
          <w:tcPr>
            <w:tcW w:w="1560" w:type="dxa"/>
          </w:tcPr>
          <w:p w14:paraId="736AB981" w14:textId="77777777" w:rsidR="00DF4522" w:rsidRPr="00550834" w:rsidRDefault="00DF4522" w:rsidP="00FB53C0">
            <w:pPr>
              <w:spacing w:line="360" w:lineRule="auto"/>
              <w:jc w:val="center"/>
              <w:rPr>
                <w:rFonts w:ascii="Cambria" w:hAnsi="Cambria" w:cs="Courier New"/>
                <w:b/>
                <w:sz w:val="24"/>
                <w:szCs w:val="24"/>
              </w:rPr>
            </w:pPr>
            <w:r w:rsidRPr="00550834">
              <w:rPr>
                <w:rFonts w:ascii="Cambria" w:hAnsi="Cambria" w:cs="Courier New"/>
                <w:b/>
                <w:sz w:val="24"/>
                <w:szCs w:val="24"/>
              </w:rPr>
              <w:t xml:space="preserve">Tillers </w:t>
            </w:r>
          </w:p>
        </w:tc>
        <w:tc>
          <w:tcPr>
            <w:tcW w:w="1418" w:type="dxa"/>
          </w:tcPr>
          <w:p w14:paraId="605B832C" w14:textId="77777777" w:rsidR="00DF4522" w:rsidRDefault="00DF4522" w:rsidP="00FB53C0">
            <w:pPr>
              <w:spacing w:line="360" w:lineRule="auto"/>
              <w:jc w:val="center"/>
              <w:rPr>
                <w:rFonts w:ascii="Cambria" w:hAnsi="Cambria" w:cs="Courier New"/>
                <w:b/>
                <w:sz w:val="24"/>
                <w:szCs w:val="24"/>
              </w:rPr>
            </w:pPr>
            <w:r w:rsidRPr="00550834">
              <w:rPr>
                <w:rFonts w:ascii="Cambria" w:hAnsi="Cambria" w:cs="Courier New"/>
                <w:b/>
                <w:sz w:val="24"/>
                <w:szCs w:val="24"/>
              </w:rPr>
              <w:t>13.3</w:t>
            </w:r>
            <w:r>
              <w:rPr>
                <w:rFonts w:ascii="Cambria" w:hAnsi="Cambria" w:cs="Courier New"/>
                <w:b/>
                <w:sz w:val="24"/>
                <w:szCs w:val="24"/>
              </w:rPr>
              <w:t xml:space="preserve"> </w:t>
            </w:r>
          </w:p>
          <w:p w14:paraId="31C40BD2" w14:textId="77777777" w:rsidR="00DF4522" w:rsidRPr="00550834" w:rsidRDefault="00DF4522" w:rsidP="00FB53C0">
            <w:pPr>
              <w:spacing w:line="360" w:lineRule="auto"/>
              <w:jc w:val="center"/>
              <w:rPr>
                <w:rFonts w:ascii="Cambria" w:hAnsi="Cambria" w:cs="Courier New"/>
                <w:b/>
                <w:sz w:val="24"/>
                <w:szCs w:val="24"/>
              </w:rPr>
            </w:pPr>
            <w:r w:rsidRPr="00D74B32">
              <w:rPr>
                <w:rFonts w:ascii="Cambria" w:hAnsi="Cambria" w:cs="font652"/>
                <w:lang w:val="en-US"/>
              </w:rPr>
              <w:t>±</w:t>
            </w:r>
            <w:r>
              <w:rPr>
                <w:rFonts w:ascii="Cambria" w:hAnsi="Cambria" w:cs="font652"/>
                <w:lang w:val="en-US"/>
              </w:rPr>
              <w:t xml:space="preserve"> </w:t>
            </w:r>
            <w:r w:rsidRPr="00550834">
              <w:rPr>
                <w:rFonts w:ascii="Cambria" w:hAnsi="Cambria" w:cs="Courier New"/>
                <w:sz w:val="24"/>
                <w:szCs w:val="24"/>
              </w:rPr>
              <w:t>0.753</w:t>
            </w:r>
          </w:p>
        </w:tc>
        <w:tc>
          <w:tcPr>
            <w:tcW w:w="1276" w:type="dxa"/>
          </w:tcPr>
          <w:p w14:paraId="49065327" w14:textId="77777777" w:rsidR="00DF4522" w:rsidRPr="0011317F" w:rsidRDefault="00DF4522" w:rsidP="00FB53C0">
            <w:pPr>
              <w:spacing w:line="360" w:lineRule="auto"/>
              <w:jc w:val="center"/>
              <w:rPr>
                <w:rFonts w:ascii="Cambria" w:hAnsi="Cambria" w:cs="Courier New"/>
                <w:b/>
                <w:sz w:val="24"/>
                <w:szCs w:val="24"/>
              </w:rPr>
            </w:pPr>
            <w:r w:rsidRPr="0011317F">
              <w:rPr>
                <w:rFonts w:ascii="Cambria" w:hAnsi="Cambria" w:cs="Courier New"/>
                <w:b/>
                <w:sz w:val="24"/>
                <w:szCs w:val="24"/>
              </w:rPr>
              <w:t>13.4</w:t>
            </w:r>
          </w:p>
          <w:p w14:paraId="12B0CD2C" w14:textId="77777777" w:rsidR="00DF4522" w:rsidRPr="003D19AF" w:rsidRDefault="00DF4522" w:rsidP="00FB53C0">
            <w:pPr>
              <w:spacing w:line="360" w:lineRule="auto"/>
              <w:jc w:val="center"/>
              <w:rPr>
                <w:rFonts w:ascii="Cambria" w:hAnsi="Cambria" w:cs="Courier New"/>
                <w:b/>
                <w:sz w:val="24"/>
                <w:szCs w:val="24"/>
              </w:rPr>
            </w:pPr>
            <w:r>
              <w:rPr>
                <w:rFonts w:ascii="Cambria" w:hAnsi="Cambria" w:cs="Courier New"/>
                <w:b/>
                <w:sz w:val="24"/>
                <w:szCs w:val="24"/>
              </w:rPr>
              <w:t xml:space="preserve"> </w:t>
            </w:r>
            <w:r w:rsidRPr="00D74B32">
              <w:rPr>
                <w:rFonts w:ascii="Cambria" w:hAnsi="Cambria" w:cs="font652"/>
                <w:lang w:val="en-US"/>
              </w:rPr>
              <w:t>±</w:t>
            </w:r>
            <w:r>
              <w:rPr>
                <w:rFonts w:ascii="Cambria" w:hAnsi="Cambria" w:cs="font652"/>
                <w:lang w:val="en-US"/>
              </w:rPr>
              <w:t xml:space="preserve"> </w:t>
            </w:r>
            <w:r w:rsidRPr="00550834">
              <w:rPr>
                <w:rFonts w:ascii="Cambria" w:hAnsi="Cambria" w:cs="Courier New"/>
                <w:sz w:val="24"/>
                <w:szCs w:val="24"/>
              </w:rPr>
              <w:t>0.506</w:t>
            </w:r>
          </w:p>
        </w:tc>
        <w:tc>
          <w:tcPr>
            <w:tcW w:w="1417" w:type="dxa"/>
          </w:tcPr>
          <w:p w14:paraId="23BBC7D5" w14:textId="77777777" w:rsidR="00DF4522" w:rsidRDefault="00DF4522" w:rsidP="00FB53C0">
            <w:pPr>
              <w:spacing w:line="360" w:lineRule="auto"/>
              <w:jc w:val="center"/>
              <w:rPr>
                <w:rFonts w:ascii="Cambria" w:hAnsi="Cambria" w:cs="Courier New"/>
                <w:b/>
                <w:sz w:val="24"/>
                <w:szCs w:val="24"/>
              </w:rPr>
            </w:pPr>
            <w:r w:rsidRPr="00550834">
              <w:rPr>
                <w:rFonts w:ascii="Cambria" w:hAnsi="Cambria" w:cs="Courier New"/>
                <w:b/>
                <w:sz w:val="24"/>
                <w:szCs w:val="24"/>
              </w:rPr>
              <w:t>15.3</w:t>
            </w:r>
            <w:r>
              <w:rPr>
                <w:rFonts w:ascii="Cambria" w:hAnsi="Cambria" w:cs="Courier New"/>
                <w:b/>
                <w:sz w:val="24"/>
                <w:szCs w:val="24"/>
              </w:rPr>
              <w:t xml:space="preserve"> </w:t>
            </w:r>
          </w:p>
          <w:p w14:paraId="75EE0EB7" w14:textId="77777777" w:rsidR="00DF4522" w:rsidRPr="00550834" w:rsidRDefault="00DF4522" w:rsidP="00FB53C0">
            <w:pPr>
              <w:spacing w:line="360" w:lineRule="auto"/>
              <w:jc w:val="center"/>
              <w:rPr>
                <w:rFonts w:ascii="Cambria" w:hAnsi="Cambria" w:cs="Courier New"/>
                <w:b/>
                <w:sz w:val="24"/>
                <w:szCs w:val="24"/>
              </w:rPr>
            </w:pPr>
            <w:r w:rsidRPr="00D74B32">
              <w:rPr>
                <w:rFonts w:ascii="Cambria" w:hAnsi="Cambria" w:cs="font652"/>
                <w:lang w:val="en-US"/>
              </w:rPr>
              <w:t>±</w:t>
            </w:r>
            <w:r>
              <w:rPr>
                <w:rFonts w:ascii="Cambria" w:hAnsi="Cambria" w:cs="font652"/>
                <w:lang w:val="en-US"/>
              </w:rPr>
              <w:t xml:space="preserve"> </w:t>
            </w:r>
            <w:r w:rsidRPr="00550834">
              <w:rPr>
                <w:rFonts w:ascii="Cambria" w:hAnsi="Cambria" w:cs="Courier New"/>
                <w:sz w:val="24"/>
                <w:szCs w:val="24"/>
              </w:rPr>
              <w:t>0.676</w:t>
            </w:r>
          </w:p>
        </w:tc>
        <w:tc>
          <w:tcPr>
            <w:tcW w:w="1418" w:type="dxa"/>
          </w:tcPr>
          <w:p w14:paraId="48B7889A" w14:textId="77777777" w:rsidR="00DF4522" w:rsidRDefault="00DF4522" w:rsidP="00FB53C0">
            <w:pPr>
              <w:spacing w:line="360" w:lineRule="auto"/>
              <w:jc w:val="center"/>
              <w:rPr>
                <w:rFonts w:ascii="Cambria" w:hAnsi="Cambria" w:cs="Courier New"/>
                <w:b/>
                <w:sz w:val="24"/>
                <w:szCs w:val="24"/>
              </w:rPr>
            </w:pPr>
            <w:r w:rsidRPr="00550834">
              <w:rPr>
                <w:rFonts w:ascii="Cambria" w:hAnsi="Cambria" w:cs="Courier New"/>
                <w:b/>
                <w:sz w:val="24"/>
                <w:szCs w:val="24"/>
              </w:rPr>
              <w:t>12.4</w:t>
            </w:r>
          </w:p>
          <w:p w14:paraId="44005B2E" w14:textId="77777777" w:rsidR="00DF4522" w:rsidRPr="00550834" w:rsidRDefault="00DF4522" w:rsidP="00FB53C0">
            <w:pPr>
              <w:spacing w:line="360" w:lineRule="auto"/>
              <w:jc w:val="center"/>
              <w:rPr>
                <w:rFonts w:ascii="Cambria" w:hAnsi="Cambria" w:cs="Courier New"/>
                <w:b/>
                <w:sz w:val="24"/>
                <w:szCs w:val="24"/>
              </w:rPr>
            </w:pPr>
            <w:r w:rsidRPr="00D74B32">
              <w:rPr>
                <w:rFonts w:ascii="Cambria" w:hAnsi="Cambria" w:cs="font652"/>
                <w:lang w:val="en-US"/>
              </w:rPr>
              <w:t>±</w:t>
            </w:r>
            <w:r>
              <w:rPr>
                <w:rFonts w:ascii="Cambria" w:hAnsi="Cambria" w:cs="font652"/>
                <w:lang w:val="en-US"/>
              </w:rPr>
              <w:t xml:space="preserve"> </w:t>
            </w:r>
            <w:r w:rsidRPr="00550834">
              <w:rPr>
                <w:rFonts w:ascii="Cambria" w:hAnsi="Cambria" w:cs="Courier New"/>
                <w:sz w:val="24"/>
                <w:szCs w:val="24"/>
              </w:rPr>
              <w:t>1.275</w:t>
            </w:r>
          </w:p>
        </w:tc>
        <w:tc>
          <w:tcPr>
            <w:tcW w:w="1417" w:type="dxa"/>
          </w:tcPr>
          <w:p w14:paraId="5CB6C861" w14:textId="77777777" w:rsidR="00DF4522" w:rsidRDefault="00DF4522" w:rsidP="00FB53C0">
            <w:pPr>
              <w:spacing w:line="360" w:lineRule="auto"/>
              <w:jc w:val="center"/>
              <w:rPr>
                <w:rFonts w:ascii="Cambria" w:hAnsi="Cambria" w:cs="Courier New"/>
                <w:b/>
                <w:sz w:val="24"/>
                <w:szCs w:val="24"/>
              </w:rPr>
            </w:pPr>
            <w:r w:rsidRPr="00550834">
              <w:rPr>
                <w:rFonts w:ascii="Cambria" w:hAnsi="Cambria" w:cs="Courier New"/>
                <w:b/>
                <w:sz w:val="24"/>
                <w:szCs w:val="24"/>
              </w:rPr>
              <w:t>17.4</w:t>
            </w:r>
            <w:r>
              <w:rPr>
                <w:rFonts w:ascii="Cambria" w:hAnsi="Cambria" w:cs="Courier New"/>
                <w:b/>
                <w:sz w:val="24"/>
                <w:szCs w:val="24"/>
              </w:rPr>
              <w:t xml:space="preserve"> </w:t>
            </w:r>
          </w:p>
          <w:p w14:paraId="6B3214D1" w14:textId="77777777" w:rsidR="00DF4522" w:rsidRPr="00550834" w:rsidRDefault="00DF4522" w:rsidP="00FB53C0">
            <w:pPr>
              <w:spacing w:line="360" w:lineRule="auto"/>
              <w:jc w:val="center"/>
              <w:rPr>
                <w:rFonts w:ascii="Cambria" w:hAnsi="Cambria" w:cs="Courier New"/>
                <w:b/>
                <w:sz w:val="24"/>
                <w:szCs w:val="24"/>
              </w:rPr>
            </w:pPr>
            <w:r w:rsidRPr="00D74B32">
              <w:rPr>
                <w:rFonts w:ascii="Cambria" w:hAnsi="Cambria" w:cs="font652"/>
                <w:lang w:val="en-US"/>
              </w:rPr>
              <w:t>±</w:t>
            </w:r>
            <w:r>
              <w:rPr>
                <w:rFonts w:ascii="Cambria" w:hAnsi="Cambria" w:cs="font652"/>
                <w:lang w:val="en-US"/>
              </w:rPr>
              <w:t xml:space="preserve"> </w:t>
            </w:r>
            <w:r w:rsidRPr="00550834">
              <w:rPr>
                <w:rFonts w:ascii="Cambria" w:hAnsi="Cambria" w:cs="Courier New"/>
                <w:sz w:val="24"/>
                <w:szCs w:val="24"/>
              </w:rPr>
              <w:t>1.341</w:t>
            </w:r>
          </w:p>
        </w:tc>
        <w:tc>
          <w:tcPr>
            <w:tcW w:w="1418" w:type="dxa"/>
          </w:tcPr>
          <w:p w14:paraId="7B557F1F" w14:textId="77777777" w:rsidR="00DF4522" w:rsidRDefault="00DF4522" w:rsidP="00FB53C0">
            <w:pPr>
              <w:spacing w:line="360" w:lineRule="auto"/>
              <w:jc w:val="center"/>
              <w:rPr>
                <w:rFonts w:ascii="Cambria" w:hAnsi="Cambria" w:cs="Courier New"/>
                <w:b/>
                <w:sz w:val="24"/>
                <w:szCs w:val="24"/>
              </w:rPr>
            </w:pPr>
            <w:r w:rsidRPr="00550834">
              <w:rPr>
                <w:rFonts w:ascii="Cambria" w:hAnsi="Cambria" w:cs="Courier New"/>
                <w:b/>
                <w:sz w:val="24"/>
                <w:szCs w:val="24"/>
              </w:rPr>
              <w:t>32.6</w:t>
            </w:r>
          </w:p>
          <w:p w14:paraId="19FAC95E" w14:textId="77777777" w:rsidR="00DF4522" w:rsidRPr="00550834" w:rsidRDefault="00DF4522" w:rsidP="00FB53C0">
            <w:pPr>
              <w:spacing w:line="360" w:lineRule="auto"/>
              <w:jc w:val="center"/>
              <w:rPr>
                <w:rFonts w:ascii="Cambria" w:hAnsi="Cambria" w:cs="Courier New"/>
                <w:b/>
                <w:sz w:val="24"/>
                <w:szCs w:val="24"/>
              </w:rPr>
            </w:pPr>
            <w:r>
              <w:rPr>
                <w:rFonts w:ascii="Cambria" w:hAnsi="Cambria" w:cs="Courier New"/>
                <w:b/>
                <w:sz w:val="24"/>
                <w:szCs w:val="24"/>
              </w:rPr>
              <w:t xml:space="preserve"> </w:t>
            </w:r>
            <w:r w:rsidRPr="00D74B32">
              <w:rPr>
                <w:rFonts w:ascii="Cambria" w:hAnsi="Cambria" w:cs="font652"/>
                <w:lang w:val="en-US"/>
              </w:rPr>
              <w:t>±</w:t>
            </w:r>
            <w:r>
              <w:rPr>
                <w:rFonts w:ascii="Cambria" w:hAnsi="Cambria" w:cs="font652"/>
                <w:lang w:val="en-US"/>
              </w:rPr>
              <w:t xml:space="preserve"> </w:t>
            </w:r>
            <w:r w:rsidRPr="00550834">
              <w:rPr>
                <w:rFonts w:ascii="Cambria" w:hAnsi="Cambria" w:cs="Courier New"/>
                <w:sz w:val="24"/>
                <w:szCs w:val="24"/>
              </w:rPr>
              <w:t>2.464</w:t>
            </w:r>
          </w:p>
        </w:tc>
      </w:tr>
      <w:tr w:rsidR="00DF4522" w:rsidRPr="00550834" w14:paraId="1033D091" w14:textId="77777777" w:rsidTr="00FB53C0">
        <w:tc>
          <w:tcPr>
            <w:tcW w:w="1560" w:type="dxa"/>
          </w:tcPr>
          <w:p w14:paraId="70D4A3DD" w14:textId="77777777" w:rsidR="00DF4522" w:rsidRPr="00550834" w:rsidRDefault="00DF4522" w:rsidP="00FB53C0">
            <w:pPr>
              <w:spacing w:line="360" w:lineRule="auto"/>
              <w:jc w:val="center"/>
              <w:rPr>
                <w:rFonts w:ascii="Cambria" w:hAnsi="Cambria" w:cs="Courier New"/>
                <w:b/>
                <w:sz w:val="24"/>
                <w:szCs w:val="24"/>
              </w:rPr>
            </w:pPr>
            <w:proofErr w:type="spellStart"/>
            <w:r w:rsidRPr="00550834">
              <w:rPr>
                <w:rFonts w:ascii="Cambria" w:hAnsi="Cambria" w:cs="Courier New"/>
                <w:b/>
                <w:sz w:val="24"/>
                <w:szCs w:val="24"/>
              </w:rPr>
              <w:t>Root:Shoot</w:t>
            </w:r>
            <w:proofErr w:type="spellEnd"/>
            <w:r w:rsidRPr="00550834">
              <w:rPr>
                <w:rFonts w:ascii="Cambria" w:hAnsi="Cambria" w:cs="Courier New"/>
                <w:b/>
                <w:sz w:val="24"/>
                <w:szCs w:val="24"/>
              </w:rPr>
              <w:t xml:space="preserve"> Ratio </w:t>
            </w:r>
          </w:p>
        </w:tc>
        <w:tc>
          <w:tcPr>
            <w:tcW w:w="1418" w:type="dxa"/>
          </w:tcPr>
          <w:p w14:paraId="289F4A40" w14:textId="77777777" w:rsidR="00DF4522" w:rsidRDefault="00DF4522" w:rsidP="00FB53C0">
            <w:pPr>
              <w:spacing w:line="360" w:lineRule="auto"/>
              <w:jc w:val="center"/>
              <w:rPr>
                <w:rFonts w:ascii="Cambria" w:hAnsi="Cambria" w:cs="Courier New"/>
                <w:b/>
                <w:sz w:val="24"/>
                <w:szCs w:val="24"/>
              </w:rPr>
            </w:pPr>
            <w:r w:rsidRPr="00550834">
              <w:rPr>
                <w:rFonts w:ascii="Cambria" w:hAnsi="Cambria" w:cs="Courier New"/>
                <w:b/>
                <w:sz w:val="24"/>
                <w:szCs w:val="24"/>
              </w:rPr>
              <w:t>0.529</w:t>
            </w:r>
            <w:r>
              <w:rPr>
                <w:rFonts w:ascii="Cambria" w:hAnsi="Cambria" w:cs="Courier New"/>
                <w:b/>
                <w:sz w:val="24"/>
                <w:szCs w:val="24"/>
              </w:rPr>
              <w:t xml:space="preserve"> </w:t>
            </w:r>
          </w:p>
          <w:p w14:paraId="01F0418F" w14:textId="77777777" w:rsidR="00DF4522" w:rsidRPr="00550834" w:rsidRDefault="00DF4522" w:rsidP="00FB53C0">
            <w:pPr>
              <w:spacing w:line="360" w:lineRule="auto"/>
              <w:jc w:val="center"/>
              <w:rPr>
                <w:rFonts w:ascii="Cambria" w:hAnsi="Cambria" w:cs="Courier New"/>
                <w:b/>
                <w:sz w:val="24"/>
                <w:szCs w:val="24"/>
              </w:rPr>
            </w:pPr>
            <w:r w:rsidRPr="00D74B32">
              <w:rPr>
                <w:rFonts w:ascii="Cambria" w:hAnsi="Cambria" w:cs="font652"/>
                <w:lang w:val="en-US"/>
              </w:rPr>
              <w:t>±</w:t>
            </w:r>
            <w:r>
              <w:rPr>
                <w:rFonts w:ascii="Cambria" w:hAnsi="Cambria" w:cs="font652"/>
                <w:lang w:val="en-US"/>
              </w:rPr>
              <w:t xml:space="preserve"> </w:t>
            </w:r>
            <w:r w:rsidRPr="00550834">
              <w:rPr>
                <w:rFonts w:ascii="Cambria" w:hAnsi="Cambria" w:cs="Courier New"/>
                <w:sz w:val="24"/>
                <w:szCs w:val="24"/>
              </w:rPr>
              <w:t>0.00321</w:t>
            </w:r>
          </w:p>
        </w:tc>
        <w:tc>
          <w:tcPr>
            <w:tcW w:w="1276" w:type="dxa"/>
          </w:tcPr>
          <w:p w14:paraId="790FC949" w14:textId="77777777" w:rsidR="00DF4522" w:rsidRDefault="00DF4522" w:rsidP="00FB53C0">
            <w:pPr>
              <w:spacing w:line="360" w:lineRule="auto"/>
              <w:jc w:val="center"/>
              <w:rPr>
                <w:rFonts w:ascii="Cambria" w:hAnsi="Cambria" w:cs="Courier New"/>
                <w:b/>
                <w:sz w:val="24"/>
                <w:szCs w:val="24"/>
              </w:rPr>
            </w:pPr>
            <w:r w:rsidRPr="00550834">
              <w:rPr>
                <w:rFonts w:ascii="Cambria" w:hAnsi="Cambria" w:cs="Courier New"/>
                <w:b/>
                <w:sz w:val="24"/>
                <w:szCs w:val="24"/>
              </w:rPr>
              <w:t>0.544</w:t>
            </w:r>
            <w:r>
              <w:rPr>
                <w:rFonts w:ascii="Cambria" w:hAnsi="Cambria" w:cs="Courier New"/>
                <w:b/>
                <w:sz w:val="24"/>
                <w:szCs w:val="24"/>
              </w:rPr>
              <w:t xml:space="preserve"> </w:t>
            </w:r>
          </w:p>
          <w:p w14:paraId="6DA9FA84" w14:textId="77777777" w:rsidR="00DF4522" w:rsidRPr="00550834" w:rsidRDefault="00DF4522" w:rsidP="00FB53C0">
            <w:pPr>
              <w:spacing w:line="360" w:lineRule="auto"/>
              <w:jc w:val="center"/>
              <w:rPr>
                <w:rFonts w:ascii="Cambria" w:hAnsi="Cambria" w:cs="Courier New"/>
                <w:b/>
                <w:sz w:val="24"/>
                <w:szCs w:val="24"/>
              </w:rPr>
            </w:pPr>
            <w:r w:rsidRPr="00D74B32">
              <w:rPr>
                <w:rFonts w:ascii="Cambria" w:hAnsi="Cambria" w:cs="font652"/>
                <w:lang w:val="en-US"/>
              </w:rPr>
              <w:t>±</w:t>
            </w:r>
            <w:r>
              <w:rPr>
                <w:rFonts w:ascii="Cambria" w:hAnsi="Cambria" w:cs="font652"/>
                <w:lang w:val="en-US"/>
              </w:rPr>
              <w:t xml:space="preserve"> </w:t>
            </w:r>
            <w:r w:rsidRPr="00550834">
              <w:rPr>
                <w:rFonts w:ascii="Cambria" w:hAnsi="Cambria" w:cs="Courier New"/>
                <w:sz w:val="24"/>
                <w:szCs w:val="24"/>
              </w:rPr>
              <w:t>0.00190</w:t>
            </w:r>
          </w:p>
        </w:tc>
        <w:tc>
          <w:tcPr>
            <w:tcW w:w="1417" w:type="dxa"/>
          </w:tcPr>
          <w:p w14:paraId="2CFC9A9B" w14:textId="77777777" w:rsidR="00DF4522" w:rsidRDefault="00DF4522" w:rsidP="00FB53C0">
            <w:pPr>
              <w:spacing w:line="360" w:lineRule="auto"/>
              <w:jc w:val="center"/>
              <w:rPr>
                <w:rFonts w:ascii="Cambria" w:hAnsi="Cambria" w:cs="Courier New"/>
                <w:b/>
                <w:sz w:val="24"/>
                <w:szCs w:val="24"/>
              </w:rPr>
            </w:pPr>
            <w:r w:rsidRPr="00550834">
              <w:rPr>
                <w:rFonts w:ascii="Cambria" w:hAnsi="Cambria" w:cs="Courier New"/>
                <w:b/>
                <w:sz w:val="24"/>
                <w:szCs w:val="24"/>
              </w:rPr>
              <w:t>0.547</w:t>
            </w:r>
            <w:r>
              <w:rPr>
                <w:rFonts w:ascii="Cambria" w:hAnsi="Cambria" w:cs="Courier New"/>
                <w:b/>
                <w:sz w:val="24"/>
                <w:szCs w:val="24"/>
              </w:rPr>
              <w:t xml:space="preserve"> </w:t>
            </w:r>
          </w:p>
          <w:p w14:paraId="71C40180" w14:textId="77777777" w:rsidR="00DF4522" w:rsidRPr="00550834" w:rsidRDefault="00DF4522" w:rsidP="00FB53C0">
            <w:pPr>
              <w:spacing w:line="360" w:lineRule="auto"/>
              <w:jc w:val="center"/>
              <w:rPr>
                <w:rFonts w:ascii="Cambria" w:hAnsi="Cambria" w:cs="Courier New"/>
                <w:b/>
                <w:sz w:val="24"/>
                <w:szCs w:val="24"/>
              </w:rPr>
            </w:pPr>
            <w:r w:rsidRPr="00D74B32">
              <w:rPr>
                <w:rFonts w:ascii="Cambria" w:hAnsi="Cambria" w:cs="font652"/>
                <w:lang w:val="en-US"/>
              </w:rPr>
              <w:t>±</w:t>
            </w:r>
            <w:r>
              <w:rPr>
                <w:rFonts w:ascii="Cambria" w:hAnsi="Cambria" w:cs="font652"/>
                <w:lang w:val="en-US"/>
              </w:rPr>
              <w:t xml:space="preserve"> </w:t>
            </w:r>
            <w:r w:rsidRPr="00550834">
              <w:rPr>
                <w:rFonts w:ascii="Cambria" w:hAnsi="Cambria" w:cs="Courier New"/>
                <w:sz w:val="24"/>
                <w:szCs w:val="24"/>
              </w:rPr>
              <w:t>0.00187</w:t>
            </w:r>
          </w:p>
        </w:tc>
        <w:tc>
          <w:tcPr>
            <w:tcW w:w="1418" w:type="dxa"/>
          </w:tcPr>
          <w:p w14:paraId="077A7980" w14:textId="77777777" w:rsidR="00DF4522" w:rsidRDefault="00DF4522" w:rsidP="00FB53C0">
            <w:pPr>
              <w:spacing w:line="360" w:lineRule="auto"/>
              <w:jc w:val="center"/>
              <w:rPr>
                <w:rFonts w:ascii="Cambria" w:hAnsi="Cambria" w:cs="Courier New"/>
                <w:b/>
                <w:sz w:val="24"/>
                <w:szCs w:val="24"/>
              </w:rPr>
            </w:pPr>
            <w:r w:rsidRPr="00550834">
              <w:rPr>
                <w:rFonts w:ascii="Cambria" w:hAnsi="Cambria" w:cs="Courier New"/>
                <w:b/>
                <w:sz w:val="24"/>
                <w:szCs w:val="24"/>
              </w:rPr>
              <w:t>0.466</w:t>
            </w:r>
          </w:p>
          <w:p w14:paraId="0093C97E" w14:textId="77777777" w:rsidR="00DF4522" w:rsidRPr="00550834" w:rsidRDefault="00DF4522" w:rsidP="00FB53C0">
            <w:pPr>
              <w:spacing w:line="360" w:lineRule="auto"/>
              <w:jc w:val="center"/>
              <w:rPr>
                <w:rFonts w:ascii="Cambria" w:hAnsi="Cambria" w:cs="Courier New"/>
                <w:b/>
                <w:sz w:val="24"/>
                <w:szCs w:val="24"/>
              </w:rPr>
            </w:pPr>
            <w:r w:rsidRPr="00D74B32">
              <w:rPr>
                <w:rFonts w:ascii="Cambria" w:hAnsi="Cambria" w:cs="font652"/>
                <w:lang w:val="en-US"/>
              </w:rPr>
              <w:t>±</w:t>
            </w:r>
            <w:r>
              <w:rPr>
                <w:rFonts w:ascii="Cambria" w:hAnsi="Cambria" w:cs="font652"/>
                <w:lang w:val="en-US"/>
              </w:rPr>
              <w:t xml:space="preserve"> </w:t>
            </w:r>
            <w:r w:rsidRPr="00550834">
              <w:rPr>
                <w:rFonts w:ascii="Cambria" w:hAnsi="Cambria" w:cs="Courier New"/>
                <w:sz w:val="24"/>
                <w:szCs w:val="24"/>
              </w:rPr>
              <w:t>0.0174</w:t>
            </w:r>
          </w:p>
        </w:tc>
        <w:tc>
          <w:tcPr>
            <w:tcW w:w="1417" w:type="dxa"/>
          </w:tcPr>
          <w:p w14:paraId="40A59DC5" w14:textId="77777777" w:rsidR="00DF4522" w:rsidRDefault="00DF4522" w:rsidP="00FB53C0">
            <w:pPr>
              <w:spacing w:line="360" w:lineRule="auto"/>
              <w:jc w:val="center"/>
              <w:rPr>
                <w:rFonts w:ascii="Cambria" w:hAnsi="Cambria" w:cs="Courier New"/>
                <w:b/>
                <w:sz w:val="24"/>
                <w:szCs w:val="24"/>
              </w:rPr>
            </w:pPr>
            <w:r w:rsidRPr="00550834">
              <w:rPr>
                <w:rFonts w:ascii="Cambria" w:hAnsi="Cambria" w:cs="Courier New"/>
                <w:b/>
                <w:sz w:val="24"/>
                <w:szCs w:val="24"/>
              </w:rPr>
              <w:t>0.520</w:t>
            </w:r>
            <w:r>
              <w:rPr>
                <w:rFonts w:ascii="Cambria" w:hAnsi="Cambria" w:cs="Courier New"/>
                <w:b/>
                <w:sz w:val="24"/>
                <w:szCs w:val="24"/>
              </w:rPr>
              <w:t xml:space="preserve"> </w:t>
            </w:r>
          </w:p>
          <w:p w14:paraId="2CA274D9" w14:textId="77777777" w:rsidR="00DF4522" w:rsidRPr="00550834" w:rsidRDefault="00DF4522" w:rsidP="00FB53C0">
            <w:pPr>
              <w:spacing w:line="360" w:lineRule="auto"/>
              <w:jc w:val="center"/>
              <w:rPr>
                <w:rFonts w:ascii="Cambria" w:hAnsi="Cambria" w:cs="Courier New"/>
                <w:b/>
                <w:sz w:val="24"/>
                <w:szCs w:val="24"/>
              </w:rPr>
            </w:pPr>
            <w:r w:rsidRPr="00D74B32">
              <w:rPr>
                <w:rFonts w:ascii="Cambria" w:hAnsi="Cambria" w:cs="font652"/>
                <w:lang w:val="en-US"/>
              </w:rPr>
              <w:t>±</w:t>
            </w:r>
            <w:r>
              <w:rPr>
                <w:rFonts w:ascii="Cambria" w:hAnsi="Cambria" w:cs="font652"/>
                <w:lang w:val="en-US"/>
              </w:rPr>
              <w:t xml:space="preserve"> </w:t>
            </w:r>
            <w:r w:rsidRPr="00550834">
              <w:rPr>
                <w:rFonts w:ascii="Cambria" w:hAnsi="Cambria" w:cs="Courier New"/>
                <w:sz w:val="24"/>
                <w:szCs w:val="24"/>
              </w:rPr>
              <w:t>0.00768</w:t>
            </w:r>
          </w:p>
        </w:tc>
        <w:tc>
          <w:tcPr>
            <w:tcW w:w="1418" w:type="dxa"/>
          </w:tcPr>
          <w:p w14:paraId="6F696572" w14:textId="77777777" w:rsidR="00DF4522" w:rsidRDefault="00DF4522" w:rsidP="00FB53C0">
            <w:pPr>
              <w:spacing w:line="360" w:lineRule="auto"/>
              <w:jc w:val="center"/>
              <w:rPr>
                <w:rFonts w:ascii="Cambria" w:hAnsi="Cambria" w:cs="Courier New"/>
                <w:b/>
                <w:sz w:val="24"/>
                <w:szCs w:val="24"/>
              </w:rPr>
            </w:pPr>
            <w:r w:rsidRPr="00550834">
              <w:rPr>
                <w:rFonts w:ascii="Cambria" w:hAnsi="Cambria" w:cs="Courier New"/>
                <w:b/>
                <w:sz w:val="24"/>
                <w:szCs w:val="24"/>
              </w:rPr>
              <w:t>0.542</w:t>
            </w:r>
            <w:r>
              <w:rPr>
                <w:rFonts w:ascii="Cambria" w:hAnsi="Cambria" w:cs="Courier New"/>
                <w:b/>
                <w:sz w:val="24"/>
                <w:szCs w:val="24"/>
              </w:rPr>
              <w:t xml:space="preserve"> </w:t>
            </w:r>
          </w:p>
          <w:p w14:paraId="3965C498" w14:textId="77777777" w:rsidR="00DF4522" w:rsidRPr="00550834" w:rsidRDefault="00DF4522" w:rsidP="00FB53C0">
            <w:pPr>
              <w:spacing w:line="360" w:lineRule="auto"/>
              <w:jc w:val="center"/>
              <w:rPr>
                <w:rFonts w:ascii="Cambria" w:hAnsi="Cambria" w:cs="Courier New"/>
                <w:b/>
                <w:sz w:val="24"/>
                <w:szCs w:val="24"/>
              </w:rPr>
            </w:pPr>
            <w:r w:rsidRPr="00D74B32">
              <w:rPr>
                <w:rFonts w:ascii="Cambria" w:hAnsi="Cambria" w:cs="font652"/>
                <w:lang w:val="en-US"/>
              </w:rPr>
              <w:t>±</w:t>
            </w:r>
            <w:r>
              <w:rPr>
                <w:rFonts w:ascii="Cambria" w:hAnsi="Cambria" w:cs="font652"/>
                <w:lang w:val="en-US"/>
              </w:rPr>
              <w:t xml:space="preserve"> </w:t>
            </w:r>
            <w:r w:rsidRPr="00550834">
              <w:rPr>
                <w:rFonts w:ascii="Cambria" w:hAnsi="Cambria" w:cs="Courier New"/>
                <w:sz w:val="24"/>
                <w:szCs w:val="24"/>
              </w:rPr>
              <w:t>0.00309</w:t>
            </w:r>
          </w:p>
        </w:tc>
      </w:tr>
    </w:tbl>
    <w:p w14:paraId="2ED4F9E2" w14:textId="77777777" w:rsidR="00DF4522" w:rsidRPr="00550834" w:rsidRDefault="00DF4522" w:rsidP="00DF4522">
      <w:pPr>
        <w:spacing w:line="360" w:lineRule="auto"/>
        <w:jc w:val="both"/>
        <w:rPr>
          <w:rFonts w:ascii="Arial" w:hAnsi="Arial" w:cs="Courier New"/>
        </w:rPr>
      </w:pPr>
    </w:p>
    <w:p w14:paraId="3B831736" w14:textId="77777777" w:rsidR="00DF4522" w:rsidRPr="00550834" w:rsidRDefault="00DF4522" w:rsidP="00DF4522">
      <w:pPr>
        <w:spacing w:line="360" w:lineRule="auto"/>
        <w:jc w:val="both"/>
        <w:rPr>
          <w:rFonts w:ascii="Cambria" w:hAnsi="Cambria" w:cs="Courier New"/>
        </w:rPr>
      </w:pPr>
    </w:p>
    <w:p w14:paraId="2F1E50BA" w14:textId="77777777" w:rsidR="00DF4522" w:rsidRPr="00531789" w:rsidRDefault="00DF4522" w:rsidP="00DF4522">
      <w:pPr>
        <w:spacing w:line="360" w:lineRule="auto"/>
        <w:jc w:val="both"/>
        <w:rPr>
          <w:rFonts w:ascii="Cambria" w:hAnsi="Cambria" w:cs="Courier New"/>
        </w:rPr>
      </w:pPr>
      <w:proofErr w:type="spellStart"/>
      <w:r w:rsidRPr="00531789">
        <w:rPr>
          <w:rFonts w:ascii="Cambria" w:hAnsi="Cambria" w:cs="Courier New"/>
        </w:rPr>
        <w:t>Root:shoot</w:t>
      </w:r>
      <w:proofErr w:type="spellEnd"/>
      <w:r w:rsidRPr="00531789">
        <w:rPr>
          <w:rFonts w:ascii="Cambria" w:hAnsi="Cambria" w:cs="Courier New"/>
        </w:rPr>
        <w:t xml:space="preserve"> ratio also showed a larger response to increasing [CO</w:t>
      </w:r>
      <w:r w:rsidRPr="00531789">
        <w:rPr>
          <w:rFonts w:ascii="Cambria" w:hAnsi="Cambria" w:cs="Courier New"/>
          <w:vertAlign w:val="subscript"/>
        </w:rPr>
        <w:t>2</w:t>
      </w:r>
      <w:r w:rsidRPr="00531789">
        <w:rPr>
          <w:rFonts w:ascii="Cambria" w:hAnsi="Cambria" w:cs="Courier New"/>
        </w:rPr>
        <w:t xml:space="preserve">] in perennial than annual barley.  In the annual, the </w:t>
      </w:r>
      <w:proofErr w:type="spellStart"/>
      <w:r w:rsidRPr="00531789">
        <w:rPr>
          <w:rFonts w:ascii="Cambria" w:hAnsi="Cambria" w:cs="Courier New"/>
        </w:rPr>
        <w:t>root:shoot</w:t>
      </w:r>
      <w:proofErr w:type="spellEnd"/>
      <w:r w:rsidRPr="00531789">
        <w:rPr>
          <w:rFonts w:ascii="Cambria" w:hAnsi="Cambria" w:cs="Courier New"/>
        </w:rPr>
        <w:t xml:space="preserve"> ratio increased by only 2.8% between 180 and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whilst in the perennial it increased 11.6% between 180 and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and 4.2% between 400 and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(Table 1).  This highly significant species x [CO</w:t>
      </w:r>
      <w:r w:rsidRPr="00531789">
        <w:rPr>
          <w:rFonts w:ascii="Cambria" w:hAnsi="Cambria" w:cs="Courier New"/>
          <w:vertAlign w:val="subscript"/>
        </w:rPr>
        <w:t>2</w:t>
      </w:r>
      <w:r w:rsidRPr="00531789">
        <w:rPr>
          <w:rFonts w:ascii="Cambria" w:hAnsi="Cambria" w:cs="Courier New"/>
        </w:rPr>
        <w:t>] interaction (F</w:t>
      </w:r>
      <w:r w:rsidRPr="00531789">
        <w:rPr>
          <w:rFonts w:ascii="Cambria" w:hAnsi="Cambria" w:cs="Courier New"/>
          <w:vertAlign w:val="subscript"/>
        </w:rPr>
        <w:t>(1,77)</w:t>
      </w:r>
      <w:r w:rsidRPr="00531789">
        <w:rPr>
          <w:rFonts w:ascii="Cambria" w:hAnsi="Cambria" w:cs="Courier New"/>
        </w:rPr>
        <w:t xml:space="preserve"> = 24, p&lt;0.001) provides further evidence of greater developmental plasticity in the perennial.</w:t>
      </w:r>
    </w:p>
    <w:p w14:paraId="390BCECE" w14:textId="77777777" w:rsidR="00DF4522" w:rsidRPr="00531789" w:rsidRDefault="00DF4522" w:rsidP="00DF4522">
      <w:pPr>
        <w:spacing w:line="360" w:lineRule="auto"/>
        <w:jc w:val="both"/>
        <w:rPr>
          <w:rFonts w:ascii="Cambria" w:hAnsi="Cambria" w:cs="Courier New"/>
          <w:b/>
        </w:rPr>
      </w:pPr>
    </w:p>
    <w:p w14:paraId="15098982" w14:textId="77777777" w:rsidR="00DF4522" w:rsidRPr="00531789" w:rsidRDefault="00DF4522" w:rsidP="00DF4522">
      <w:pPr>
        <w:spacing w:line="360" w:lineRule="auto"/>
        <w:jc w:val="both"/>
        <w:rPr>
          <w:rFonts w:ascii="Cambria" w:hAnsi="Cambria" w:cs="Courier New"/>
          <w:b/>
        </w:rPr>
      </w:pPr>
      <w:r w:rsidRPr="00531789">
        <w:rPr>
          <w:rFonts w:ascii="Cambria" w:hAnsi="Cambria" w:cs="Courier New"/>
          <w:b/>
        </w:rPr>
        <w:t>Perennial barley also shows a greater photosynthetic response to elevated [CO</w:t>
      </w:r>
      <w:r w:rsidRPr="00531789">
        <w:rPr>
          <w:rFonts w:ascii="Cambria" w:hAnsi="Cambria" w:cs="Courier New"/>
          <w:b/>
          <w:vertAlign w:val="subscript"/>
        </w:rPr>
        <w:t>2</w:t>
      </w:r>
      <w:r w:rsidRPr="00531789">
        <w:rPr>
          <w:rFonts w:ascii="Cambria" w:hAnsi="Cambria" w:cs="Courier New"/>
          <w:b/>
        </w:rPr>
        <w:t>] than the annual species</w:t>
      </w:r>
    </w:p>
    <w:p w14:paraId="29ECFD72" w14:textId="77777777" w:rsidR="00DF4522" w:rsidRPr="00531789" w:rsidRDefault="00DF4522" w:rsidP="00DF4522">
      <w:pPr>
        <w:spacing w:line="360" w:lineRule="auto"/>
        <w:rPr>
          <w:rFonts w:ascii="Cambria" w:hAnsi="Cambria" w:cs="Courier New"/>
          <w:b/>
        </w:rPr>
      </w:pPr>
    </w:p>
    <w:p w14:paraId="03C3C141" w14:textId="77777777" w:rsidR="00DF4522" w:rsidRDefault="00DF4522" w:rsidP="00DF4522">
      <w:pPr>
        <w:spacing w:line="360" w:lineRule="auto"/>
        <w:jc w:val="both"/>
        <w:rPr>
          <w:rFonts w:ascii="Cambria" w:hAnsi="Cambria" w:cs="Courier New"/>
          <w:b/>
        </w:rPr>
      </w:pPr>
      <w:r w:rsidRPr="00531789">
        <w:rPr>
          <w:rFonts w:ascii="Cambria" w:hAnsi="Cambria" w:cs="Courier New"/>
        </w:rPr>
        <w:t>Net leaf photosynthetic CO</w:t>
      </w:r>
      <w:r w:rsidRPr="00531789">
        <w:rPr>
          <w:rFonts w:ascii="Cambria" w:hAnsi="Cambria" w:cs="Courier New"/>
          <w:vertAlign w:val="subscript"/>
        </w:rPr>
        <w:t>2</w:t>
      </w:r>
      <w:r w:rsidRPr="00531789">
        <w:rPr>
          <w:rFonts w:ascii="Cambria" w:hAnsi="Cambria" w:cs="Courier New"/>
        </w:rPr>
        <w:t xml:space="preserve"> assimilation, measured under growth conditions, was recorded at four </w:t>
      </w:r>
      <w:proofErr w:type="spellStart"/>
      <w:r w:rsidRPr="00531789">
        <w:rPr>
          <w:rFonts w:ascii="Cambria" w:hAnsi="Cambria" w:cs="Courier New"/>
        </w:rPr>
        <w:t>timepoints</w:t>
      </w:r>
      <w:proofErr w:type="spellEnd"/>
      <w:r w:rsidRPr="00531789">
        <w:rPr>
          <w:rFonts w:ascii="Cambria" w:hAnsi="Cambria" w:cs="Courier New"/>
        </w:rPr>
        <w:t xml:space="preserve"> throughout the day before each harvest to obtain a daily </w:t>
      </w:r>
      <w:proofErr w:type="spellStart"/>
      <w:r w:rsidRPr="00531789">
        <w:rPr>
          <w:rFonts w:ascii="Cambria" w:hAnsi="Cambria" w:cs="Courier New"/>
        </w:rPr>
        <w:t>timecourse</w:t>
      </w:r>
      <w:proofErr w:type="spellEnd"/>
      <w:r w:rsidRPr="00531789">
        <w:rPr>
          <w:rFonts w:ascii="Cambria" w:hAnsi="Cambria" w:cs="Courier New"/>
        </w:rPr>
        <w:t xml:space="preserve"> of leaf photosynthesis for each individual.  For illustration, means of these </w:t>
      </w:r>
      <w:proofErr w:type="spellStart"/>
      <w:r w:rsidRPr="00531789">
        <w:rPr>
          <w:rFonts w:ascii="Cambria" w:hAnsi="Cambria" w:cs="Courier New"/>
        </w:rPr>
        <w:t>timecourses</w:t>
      </w:r>
      <w:proofErr w:type="spellEnd"/>
      <w:r w:rsidRPr="00531789">
        <w:rPr>
          <w:rFonts w:ascii="Cambria" w:hAnsi="Cambria" w:cs="Courier New"/>
        </w:rPr>
        <w:t xml:space="preserve"> at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xml:space="preserve"> are shown in Fig. 2A.  The area under each curve was integrated to give the daily rate of net leaf photosynthesis per unit leaf area (Fig. 2B). This value was multiplied by the projected shoot area to estimate the total daily photosynthesis in the whole shoot – i.e. the carbon source strength (Fig. 2C). Annual barley generally has a higher photosynthetic rate than the perennial, but the photosynthetic rate in the perennial shows a much stronger response to [CO</w:t>
      </w:r>
      <w:r w:rsidRPr="00531789">
        <w:rPr>
          <w:rFonts w:ascii="Cambria" w:hAnsi="Cambria" w:cs="Courier New"/>
          <w:vertAlign w:val="subscript"/>
        </w:rPr>
        <w:t>2</w:t>
      </w:r>
      <w:r w:rsidRPr="00531789">
        <w:rPr>
          <w:rFonts w:ascii="Cambria" w:hAnsi="Cambria" w:cs="Courier New"/>
        </w:rPr>
        <w:t>] (Fig. 2B). In the annual plants, the daily photosynthetic rate increased by 87% between 180 and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but only by 13% between 400 and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In contrast, in the perennial it increased 58% between 180 and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but 75% between 400 and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This led to a significant species x [CO</w:t>
      </w:r>
      <w:r w:rsidRPr="00531789">
        <w:rPr>
          <w:rFonts w:ascii="Cambria" w:hAnsi="Cambria" w:cs="Courier New"/>
          <w:vertAlign w:val="subscript"/>
        </w:rPr>
        <w:t>2</w:t>
      </w:r>
      <w:r w:rsidRPr="00531789">
        <w:rPr>
          <w:rFonts w:ascii="Cambria" w:hAnsi="Cambria" w:cs="Courier New"/>
        </w:rPr>
        <w:t>] interaction: F</w:t>
      </w:r>
      <w:r w:rsidRPr="00531789">
        <w:rPr>
          <w:rFonts w:ascii="Cambria" w:hAnsi="Cambria" w:cs="Courier New"/>
          <w:vertAlign w:val="subscript"/>
        </w:rPr>
        <w:t>(1,67)</w:t>
      </w:r>
      <w:r w:rsidRPr="00531789">
        <w:rPr>
          <w:rFonts w:ascii="Cambria" w:hAnsi="Cambria" w:cs="Courier New"/>
        </w:rPr>
        <w:t xml:space="preserve"> = 4.9, p&lt;0.05; Fig. 2B.  Because the annual is </w:t>
      </w:r>
      <w:r>
        <w:rPr>
          <w:rFonts w:ascii="Cambria" w:hAnsi="Cambria" w:cs="Courier New"/>
        </w:rPr>
        <w:t xml:space="preserve">a </w:t>
      </w:r>
      <w:r w:rsidRPr="00531789">
        <w:rPr>
          <w:rFonts w:ascii="Cambria" w:hAnsi="Cambria" w:cs="Courier New"/>
        </w:rPr>
        <w:t xml:space="preserve">larger </w:t>
      </w:r>
      <w:r>
        <w:rPr>
          <w:rFonts w:ascii="Cambria" w:hAnsi="Cambria" w:cs="Courier New"/>
        </w:rPr>
        <w:t xml:space="preserve">plant </w:t>
      </w:r>
      <w:r w:rsidRPr="00531789">
        <w:rPr>
          <w:rFonts w:ascii="Cambria" w:hAnsi="Cambria" w:cs="Courier New"/>
        </w:rPr>
        <w:t>than the perennial, the difference in whole shoot photosynthetic rate (Fig. 2C) is greater than the difference in the rate per unit area (Fig. 2B). In the annual, the whole shoot daily photosynthetic rate increased by 177% between 180 and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but only 25% between 400 and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In contrast, in the perennial it increased 528% between 180 and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and 123% between 400 and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There was a highly significant species x [CO</w:t>
      </w:r>
      <w:r w:rsidRPr="00531789">
        <w:rPr>
          <w:rFonts w:ascii="Cambria" w:hAnsi="Cambria" w:cs="Courier New"/>
          <w:vertAlign w:val="subscript"/>
        </w:rPr>
        <w:t>2</w:t>
      </w:r>
      <w:r w:rsidRPr="00531789">
        <w:rPr>
          <w:rFonts w:ascii="Cambria" w:hAnsi="Cambria" w:cs="Courier New"/>
        </w:rPr>
        <w:t>] interaction: F</w:t>
      </w:r>
      <w:r w:rsidRPr="00531789">
        <w:rPr>
          <w:rFonts w:ascii="Cambria" w:hAnsi="Cambria" w:cs="Courier New"/>
          <w:vertAlign w:val="subscript"/>
        </w:rPr>
        <w:t>(1,66)</w:t>
      </w:r>
      <w:r w:rsidRPr="00531789">
        <w:rPr>
          <w:rFonts w:ascii="Cambria" w:hAnsi="Cambria" w:cs="Courier New"/>
        </w:rPr>
        <w:t xml:space="preserve"> = 18, p&lt;0.001; Fig. 2C.  A/</w:t>
      </w:r>
      <w:proofErr w:type="spellStart"/>
      <w:r w:rsidRPr="00531789">
        <w:rPr>
          <w:rFonts w:ascii="Cambria" w:hAnsi="Cambria" w:cs="Courier New"/>
        </w:rPr>
        <w:t>C</w:t>
      </w:r>
      <w:r w:rsidRPr="00531789">
        <w:rPr>
          <w:rFonts w:ascii="Cambria" w:hAnsi="Cambria" w:cs="Courier New"/>
          <w:vertAlign w:val="subscript"/>
        </w:rPr>
        <w:t>i</w:t>
      </w:r>
      <w:proofErr w:type="spellEnd"/>
      <w:r w:rsidRPr="00531789">
        <w:rPr>
          <w:rFonts w:ascii="Cambria" w:hAnsi="Cambria" w:cs="Courier New"/>
        </w:rPr>
        <w:t xml:space="preserve"> curves performed 54 days after germination (Fig. S3) revealed a decrease in </w:t>
      </w:r>
      <w:proofErr w:type="spellStart"/>
      <w:r w:rsidRPr="00531789">
        <w:rPr>
          <w:rFonts w:ascii="Cambria" w:hAnsi="Cambria" w:cs="Courier New"/>
        </w:rPr>
        <w:t>V</w:t>
      </w:r>
      <w:r w:rsidRPr="00531789">
        <w:rPr>
          <w:rFonts w:ascii="Cambria" w:hAnsi="Cambria" w:cs="Courier New"/>
          <w:vertAlign w:val="subscript"/>
        </w:rPr>
        <w:t>c,max</w:t>
      </w:r>
      <w:proofErr w:type="spellEnd"/>
      <w:r w:rsidRPr="00531789">
        <w:rPr>
          <w:rFonts w:ascii="Cambria" w:hAnsi="Cambria" w:cs="Courier New"/>
        </w:rPr>
        <w:t xml:space="preserve">, the carboxylation efficiency of </w:t>
      </w:r>
      <w:proofErr w:type="spellStart"/>
      <w:r w:rsidRPr="00531789">
        <w:rPr>
          <w:rFonts w:ascii="Cambria" w:hAnsi="Cambria" w:cs="Courier New"/>
        </w:rPr>
        <w:t>Rubisco</w:t>
      </w:r>
      <w:proofErr w:type="spellEnd"/>
      <w:r w:rsidRPr="00531789">
        <w:rPr>
          <w:rFonts w:ascii="Cambria" w:hAnsi="Cambria" w:cs="Courier New"/>
        </w:rPr>
        <w:t>, at 1500 compared to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 xml:space="preserve">2 </w:t>
      </w:r>
      <w:r w:rsidRPr="00531789">
        <w:rPr>
          <w:rFonts w:ascii="Cambria" w:hAnsi="Cambria" w:cs="Courier New"/>
        </w:rPr>
        <w:t xml:space="preserve">in the annual, while </w:t>
      </w:r>
      <w:proofErr w:type="spellStart"/>
      <w:r w:rsidRPr="00531789">
        <w:rPr>
          <w:rFonts w:ascii="Cambria" w:hAnsi="Cambria" w:cs="Courier New"/>
        </w:rPr>
        <w:t>V</w:t>
      </w:r>
      <w:r w:rsidRPr="00531789">
        <w:rPr>
          <w:rFonts w:ascii="Cambria" w:hAnsi="Cambria" w:cs="Courier New"/>
          <w:vertAlign w:val="subscript"/>
        </w:rPr>
        <w:t>c,max</w:t>
      </w:r>
      <w:proofErr w:type="spellEnd"/>
      <w:r w:rsidRPr="00531789">
        <w:rPr>
          <w:rFonts w:ascii="Cambria" w:hAnsi="Cambria" w:cs="Courier New"/>
        </w:rPr>
        <w:t xml:space="preserve"> remained constant in the perennial at 400 and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w:t>
      </w:r>
    </w:p>
    <w:p w14:paraId="07D98EFE" w14:textId="77777777" w:rsidR="00DF4522" w:rsidRDefault="00DF4522" w:rsidP="00DF4522">
      <w:pPr>
        <w:spacing w:line="360" w:lineRule="auto"/>
        <w:jc w:val="both"/>
        <w:rPr>
          <w:rFonts w:ascii="Cambria" w:hAnsi="Cambria" w:cs="Courier New"/>
          <w:b/>
        </w:rPr>
      </w:pPr>
      <w:r>
        <w:rPr>
          <w:rFonts w:ascii="Cambria" w:hAnsi="Cambria" w:cs="Courier New"/>
          <w:b/>
        </w:rPr>
        <w:t xml:space="preserve">                    </w:t>
      </w:r>
      <w:r>
        <w:rPr>
          <w:rFonts w:ascii="Cambria" w:hAnsi="Cambria" w:cs="Courier New"/>
          <w:b/>
          <w:noProof/>
          <w:lang w:val="en-US"/>
        </w:rPr>
        <w:drawing>
          <wp:inline distT="0" distB="0" distL="0" distR="0" wp14:anchorId="740F603B" wp14:editId="0CEBBB16">
            <wp:extent cx="2861248" cy="2144037"/>
            <wp:effectExtent l="0" t="0" r="9525" b="0"/>
            <wp:docPr id="5" name="Picture 5" descr="Macintosh HD:Users:angelawhite:Dropbox:University of Sheffield:Publishing:CO2 Barley 2014 Research Paper:Final Figures:Fig. 2 Photosynthesis Panel:A, Net Leaf Photosynthes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gelawhite:Dropbox:University of Sheffield:Publishing:CO2 Barley 2014 Research Paper:Final Figures:Fig. 2 Photosynthesis Panel:A, Net Leaf Photosynthesis.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62012" cy="2144610"/>
                    </a:xfrm>
                    <a:prstGeom prst="rect">
                      <a:avLst/>
                    </a:prstGeom>
                    <a:noFill/>
                    <a:ln>
                      <a:noFill/>
                    </a:ln>
                  </pic:spPr>
                </pic:pic>
              </a:graphicData>
            </a:graphic>
          </wp:inline>
        </w:drawing>
      </w:r>
      <w:r>
        <w:rPr>
          <w:rFonts w:ascii="Cambria" w:hAnsi="Cambria" w:cs="Courier New"/>
          <w:b/>
        </w:rPr>
        <w:t xml:space="preserve">  </w:t>
      </w:r>
    </w:p>
    <w:p w14:paraId="404F587A" w14:textId="77777777" w:rsidR="00DF4522" w:rsidRDefault="00DF4522" w:rsidP="00DF4522">
      <w:pPr>
        <w:spacing w:line="360" w:lineRule="auto"/>
        <w:jc w:val="both"/>
        <w:rPr>
          <w:rFonts w:ascii="Cambria" w:hAnsi="Cambria" w:cs="Courier New"/>
          <w:b/>
        </w:rPr>
      </w:pPr>
      <w:r>
        <w:rPr>
          <w:rFonts w:ascii="Cambria" w:hAnsi="Cambria" w:cs="Courier New"/>
          <w:b/>
        </w:rPr>
        <w:t xml:space="preserve">                   </w:t>
      </w:r>
      <w:r>
        <w:rPr>
          <w:rFonts w:ascii="Cambria" w:hAnsi="Cambria" w:cs="Courier New"/>
          <w:b/>
          <w:noProof/>
          <w:lang w:val="en-US"/>
        </w:rPr>
        <w:drawing>
          <wp:inline distT="0" distB="0" distL="0" distR="0" wp14:anchorId="4A74F403" wp14:editId="03C1F9B3">
            <wp:extent cx="2861248" cy="2144037"/>
            <wp:effectExtent l="0" t="0" r="9525" b="0"/>
            <wp:docPr id="6" name="Picture 6" descr="Macintosh HD:Users:angelawhite:Dropbox:University of Sheffield:Publishing:CO2 Barley 2014 Research Paper:Final Figures:Fig. 2 Photosynthesis Panel:B, Daily Leaf Photosynthes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gelawhite:Dropbox:University of Sheffield:Publishing:CO2 Barley 2014 Research Paper:Final Figures:Fig. 2 Photosynthesis Panel:B, Daily Leaf Photosynthesis.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61248" cy="2144037"/>
                    </a:xfrm>
                    <a:prstGeom prst="rect">
                      <a:avLst/>
                    </a:prstGeom>
                    <a:noFill/>
                    <a:ln>
                      <a:noFill/>
                    </a:ln>
                  </pic:spPr>
                </pic:pic>
              </a:graphicData>
            </a:graphic>
          </wp:inline>
        </w:drawing>
      </w:r>
    </w:p>
    <w:p w14:paraId="3F020E9F" w14:textId="77777777" w:rsidR="00DF4522" w:rsidRDefault="00DF4522" w:rsidP="00DF4522">
      <w:pPr>
        <w:spacing w:line="360" w:lineRule="auto"/>
        <w:jc w:val="both"/>
        <w:rPr>
          <w:rFonts w:ascii="Cambria" w:hAnsi="Cambria" w:cs="Courier New"/>
          <w:b/>
        </w:rPr>
      </w:pPr>
      <w:r>
        <w:rPr>
          <w:rFonts w:ascii="Cambria" w:hAnsi="Cambria" w:cs="Courier New"/>
          <w:b/>
        </w:rPr>
        <w:t xml:space="preserve">                    </w:t>
      </w:r>
      <w:r>
        <w:rPr>
          <w:rFonts w:ascii="Cambria" w:hAnsi="Cambria" w:cs="Courier New"/>
          <w:b/>
          <w:noProof/>
          <w:lang w:val="en-US"/>
        </w:rPr>
        <w:drawing>
          <wp:inline distT="0" distB="0" distL="0" distR="0" wp14:anchorId="4394FD00" wp14:editId="45BAD2F3">
            <wp:extent cx="2861248" cy="2144037"/>
            <wp:effectExtent l="0" t="0" r="9525" b="0"/>
            <wp:docPr id="7" name="Picture 7" descr="Macintosh HD:Users:angelawhite:Dropbox:University of Sheffield:Publishing:CO2 Barley 2014 Research Paper:Final Figures:Fig. 2 Photosynthesis Panel:C, Total Shoot Photosynthes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gelawhite:Dropbox:University of Sheffield:Publishing:CO2 Barley 2014 Research Paper:Final Figures:Fig. 2 Photosynthesis Panel:C, Total Shoot Photosynthesis.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61248" cy="2144037"/>
                    </a:xfrm>
                    <a:prstGeom prst="rect">
                      <a:avLst/>
                    </a:prstGeom>
                    <a:noFill/>
                    <a:ln>
                      <a:noFill/>
                    </a:ln>
                  </pic:spPr>
                </pic:pic>
              </a:graphicData>
            </a:graphic>
          </wp:inline>
        </w:drawing>
      </w:r>
    </w:p>
    <w:p w14:paraId="4CF7BC7B" w14:textId="77777777" w:rsidR="00DF4522" w:rsidRPr="00C84FC3" w:rsidRDefault="00DF4522" w:rsidP="00DF4522">
      <w:pPr>
        <w:jc w:val="both"/>
        <w:rPr>
          <w:rFonts w:ascii="Cambria" w:hAnsi="Cambria" w:cs="Courier New"/>
          <w:sz w:val="20"/>
          <w:szCs w:val="20"/>
        </w:rPr>
      </w:pPr>
      <w:r w:rsidRPr="00C84FC3">
        <w:rPr>
          <w:rFonts w:ascii="Cambria" w:hAnsi="Cambria" w:cs="Courier New"/>
          <w:b/>
          <w:sz w:val="20"/>
          <w:szCs w:val="20"/>
        </w:rPr>
        <w:t>Figure 2.</w:t>
      </w:r>
      <w:r w:rsidRPr="00C84FC3">
        <w:rPr>
          <w:rFonts w:ascii="Cambria" w:hAnsi="Cambria" w:cs="Courier New"/>
          <w:sz w:val="20"/>
          <w:szCs w:val="20"/>
        </w:rPr>
        <w:t xml:space="preserve"> Perennial barley (dashed line) has a more pronounced photosynthetic response to elevated [CO</w:t>
      </w:r>
      <w:r w:rsidRPr="00C84FC3">
        <w:rPr>
          <w:rFonts w:ascii="Cambria" w:hAnsi="Cambria" w:cs="Courier New"/>
          <w:sz w:val="20"/>
          <w:szCs w:val="20"/>
          <w:vertAlign w:val="subscript"/>
        </w:rPr>
        <w:t>2</w:t>
      </w:r>
      <w:r w:rsidRPr="00C84FC3">
        <w:rPr>
          <w:rFonts w:ascii="Cambria" w:hAnsi="Cambria" w:cs="Courier New"/>
          <w:sz w:val="20"/>
          <w:szCs w:val="20"/>
        </w:rPr>
        <w:t xml:space="preserve">] than annual barley (solid line).  A, diurnal </w:t>
      </w:r>
      <w:proofErr w:type="spellStart"/>
      <w:r w:rsidRPr="00C84FC3">
        <w:rPr>
          <w:rFonts w:ascii="Cambria" w:hAnsi="Cambria" w:cs="Courier New"/>
          <w:sz w:val="20"/>
          <w:szCs w:val="20"/>
        </w:rPr>
        <w:t>timecourse</w:t>
      </w:r>
      <w:proofErr w:type="spellEnd"/>
      <w:r w:rsidRPr="00C84FC3">
        <w:rPr>
          <w:rFonts w:ascii="Cambria" w:hAnsi="Cambria" w:cs="Courier New"/>
          <w:sz w:val="20"/>
          <w:szCs w:val="20"/>
        </w:rPr>
        <w:t xml:space="preserve"> of net leaf photosynthesis in annuals and perennials grown at 400 µ</w:t>
      </w:r>
      <w:proofErr w:type="spellStart"/>
      <w:r w:rsidRPr="00C84FC3">
        <w:rPr>
          <w:rFonts w:ascii="Cambria" w:hAnsi="Cambria" w:cs="Courier New"/>
          <w:sz w:val="20"/>
          <w:szCs w:val="20"/>
        </w:rPr>
        <w:t>mol</w:t>
      </w:r>
      <w:proofErr w:type="spellEnd"/>
      <w:r w:rsidRPr="00C84FC3">
        <w:rPr>
          <w:rFonts w:ascii="Cambria" w:hAnsi="Cambria" w:cs="Courier New"/>
          <w:sz w:val="20"/>
          <w:szCs w:val="20"/>
        </w:rPr>
        <w:t xml:space="preserve"> mol</w:t>
      </w:r>
      <w:r w:rsidRPr="00C84FC3">
        <w:rPr>
          <w:rFonts w:ascii="Cambria" w:hAnsi="Cambria" w:cs="Courier New"/>
          <w:sz w:val="20"/>
          <w:szCs w:val="20"/>
          <w:vertAlign w:val="superscript"/>
        </w:rPr>
        <w:t>-1</w:t>
      </w:r>
      <w:r w:rsidRPr="00C84FC3">
        <w:rPr>
          <w:rFonts w:ascii="Cambria" w:hAnsi="Cambria" w:cs="Courier New"/>
          <w:sz w:val="20"/>
          <w:szCs w:val="20"/>
        </w:rPr>
        <w:t xml:space="preserve"> CO</w:t>
      </w:r>
      <w:r w:rsidRPr="00C84FC3">
        <w:rPr>
          <w:rFonts w:ascii="Cambria" w:hAnsi="Cambria" w:cs="Courier New"/>
          <w:sz w:val="20"/>
          <w:szCs w:val="20"/>
          <w:vertAlign w:val="subscript"/>
        </w:rPr>
        <w:t>2</w:t>
      </w:r>
      <w:r w:rsidRPr="00C84FC3">
        <w:rPr>
          <w:rFonts w:ascii="Cambria" w:hAnsi="Cambria" w:cs="Courier New"/>
          <w:sz w:val="20"/>
          <w:szCs w:val="20"/>
        </w:rPr>
        <w:t>.   B, daily rate of net leaf photosynthesis per unit area; C, total daily photosynthesis in the whole shoot, obtained by multiplying the daily rate (B) by projected shoot area. Data show mean ± SE (A: annual n=18, perennial n=9; B: at 180, 400, 1500 µ</w:t>
      </w:r>
      <w:proofErr w:type="spellStart"/>
      <w:r w:rsidRPr="00C84FC3">
        <w:rPr>
          <w:rFonts w:ascii="Cambria" w:hAnsi="Cambria" w:cs="Courier New"/>
          <w:sz w:val="20"/>
          <w:szCs w:val="20"/>
        </w:rPr>
        <w:t>mol</w:t>
      </w:r>
      <w:proofErr w:type="spellEnd"/>
      <w:r w:rsidRPr="00C84FC3">
        <w:rPr>
          <w:rFonts w:ascii="Cambria" w:hAnsi="Cambria" w:cs="Courier New"/>
          <w:sz w:val="20"/>
          <w:szCs w:val="20"/>
        </w:rPr>
        <w:t xml:space="preserve"> mol</w:t>
      </w:r>
      <w:r w:rsidRPr="00C84FC3">
        <w:rPr>
          <w:rFonts w:ascii="Cambria" w:hAnsi="Cambria" w:cs="Courier New"/>
          <w:sz w:val="20"/>
          <w:szCs w:val="20"/>
          <w:vertAlign w:val="superscript"/>
        </w:rPr>
        <w:t>-1</w:t>
      </w:r>
      <w:r w:rsidRPr="00C84FC3">
        <w:rPr>
          <w:rFonts w:ascii="Cambria" w:hAnsi="Cambria" w:cs="Courier New"/>
          <w:sz w:val="20"/>
          <w:szCs w:val="20"/>
        </w:rPr>
        <w:t xml:space="preserve"> CO</w:t>
      </w:r>
      <w:r w:rsidRPr="00C84FC3">
        <w:rPr>
          <w:rFonts w:ascii="Cambria" w:hAnsi="Cambria" w:cs="Courier New"/>
          <w:sz w:val="20"/>
          <w:szCs w:val="20"/>
          <w:vertAlign w:val="subscript"/>
        </w:rPr>
        <w:t>2</w:t>
      </w:r>
      <w:r w:rsidRPr="00C84FC3">
        <w:rPr>
          <w:rFonts w:ascii="Cambria" w:hAnsi="Cambria" w:cs="Courier New"/>
          <w:sz w:val="20"/>
          <w:szCs w:val="20"/>
        </w:rPr>
        <w:t>, annual n=15, 18, 18, perennial n=5, 9, 12; C: at 180, 400, 1500 µ</w:t>
      </w:r>
      <w:proofErr w:type="spellStart"/>
      <w:r w:rsidRPr="00C84FC3">
        <w:rPr>
          <w:rFonts w:ascii="Cambria" w:hAnsi="Cambria" w:cs="Courier New"/>
          <w:sz w:val="20"/>
          <w:szCs w:val="20"/>
        </w:rPr>
        <w:t>mol</w:t>
      </w:r>
      <w:proofErr w:type="spellEnd"/>
      <w:r w:rsidRPr="00C84FC3">
        <w:rPr>
          <w:rFonts w:ascii="Cambria" w:hAnsi="Cambria" w:cs="Courier New"/>
          <w:sz w:val="20"/>
          <w:szCs w:val="20"/>
        </w:rPr>
        <w:t xml:space="preserve"> mol</w:t>
      </w:r>
      <w:r w:rsidRPr="00C84FC3">
        <w:rPr>
          <w:rFonts w:ascii="Cambria" w:hAnsi="Cambria" w:cs="Courier New"/>
          <w:sz w:val="20"/>
          <w:szCs w:val="20"/>
          <w:vertAlign w:val="superscript"/>
        </w:rPr>
        <w:t>-1</w:t>
      </w:r>
      <w:r w:rsidRPr="00C84FC3">
        <w:rPr>
          <w:rFonts w:ascii="Cambria" w:hAnsi="Cambria" w:cs="Courier New"/>
          <w:sz w:val="20"/>
          <w:szCs w:val="20"/>
        </w:rPr>
        <w:t xml:space="preserve"> CO</w:t>
      </w:r>
      <w:r w:rsidRPr="00C84FC3">
        <w:rPr>
          <w:rFonts w:ascii="Cambria" w:hAnsi="Cambria" w:cs="Courier New"/>
          <w:sz w:val="20"/>
          <w:szCs w:val="20"/>
          <w:vertAlign w:val="subscript"/>
        </w:rPr>
        <w:t>2</w:t>
      </w:r>
      <w:r w:rsidRPr="00C84FC3">
        <w:rPr>
          <w:rFonts w:ascii="Cambria" w:hAnsi="Cambria" w:cs="Courier New"/>
          <w:sz w:val="20"/>
          <w:szCs w:val="20"/>
        </w:rPr>
        <w:t>, annual n=15, 18, 18, perennial n=4, 9, 12).</w:t>
      </w:r>
    </w:p>
    <w:p w14:paraId="5706A8E7" w14:textId="77777777" w:rsidR="00DF4522" w:rsidRDefault="00DF4522" w:rsidP="00DF4522">
      <w:pPr>
        <w:spacing w:line="360" w:lineRule="auto"/>
        <w:jc w:val="both"/>
        <w:rPr>
          <w:rFonts w:ascii="Cambria" w:hAnsi="Cambria" w:cs="Courier New"/>
        </w:rPr>
      </w:pPr>
      <w:r w:rsidRPr="00531789">
        <w:rPr>
          <w:rFonts w:ascii="Cambria" w:hAnsi="Cambria" w:cs="Courier New"/>
        </w:rPr>
        <w:t>The ratio of photosynthesis to growth is higher in the annual than the perennial (Fig. 3), seen in the plots of individuals (Fig. 3A,B) and means (Fig. 3C,D) with a highly significant effect of species: F</w:t>
      </w:r>
      <w:r w:rsidRPr="00531789">
        <w:rPr>
          <w:rFonts w:ascii="Cambria" w:hAnsi="Cambria" w:cs="Courier New"/>
          <w:vertAlign w:val="subscript"/>
        </w:rPr>
        <w:t>(1,61)</w:t>
      </w:r>
      <w:r w:rsidRPr="00531789">
        <w:rPr>
          <w:rFonts w:ascii="Cambria" w:hAnsi="Cambria" w:cs="Courier New"/>
        </w:rPr>
        <w:t xml:space="preserve"> = 25, p&lt;0.001.  When expressed in g C g</w:t>
      </w:r>
      <w:r w:rsidRPr="00531789">
        <w:rPr>
          <w:rFonts w:ascii="Cambria" w:hAnsi="Cambria" w:cs="Courier New"/>
          <w:vertAlign w:val="superscript"/>
        </w:rPr>
        <w:t>-1</w:t>
      </w:r>
      <w:r w:rsidRPr="00531789">
        <w:rPr>
          <w:rFonts w:ascii="Cambria" w:hAnsi="Cambria" w:cs="Courier New"/>
        </w:rPr>
        <w:t xml:space="preserve"> day</w:t>
      </w:r>
      <w:r w:rsidRPr="00531789">
        <w:rPr>
          <w:rFonts w:ascii="Cambria" w:hAnsi="Cambria" w:cs="Courier New"/>
          <w:vertAlign w:val="superscript"/>
        </w:rPr>
        <w:t>-1</w:t>
      </w:r>
      <w:r w:rsidRPr="00531789">
        <w:rPr>
          <w:rFonts w:ascii="Cambria" w:hAnsi="Cambria" w:cs="Courier New"/>
        </w:rPr>
        <w:t xml:space="preserve"> (Fig. 3A), growth shows three clusters corresponding to the decreasing values of RGR as time progresses over the three harvests.  When expressed in g C plant</w:t>
      </w:r>
      <w:r w:rsidRPr="00531789">
        <w:rPr>
          <w:rFonts w:ascii="Cambria" w:hAnsi="Cambria" w:cs="Courier New"/>
          <w:vertAlign w:val="superscript"/>
        </w:rPr>
        <w:t>-1</w:t>
      </w:r>
      <w:r w:rsidRPr="00531789">
        <w:rPr>
          <w:rFonts w:ascii="Cambria" w:hAnsi="Cambria" w:cs="Courier New"/>
        </w:rPr>
        <w:t xml:space="preserve"> day</w:t>
      </w:r>
      <w:r w:rsidRPr="00531789">
        <w:rPr>
          <w:rFonts w:ascii="Cambria" w:hAnsi="Cambria" w:cs="Courier New"/>
          <w:vertAlign w:val="superscript"/>
        </w:rPr>
        <w:t>-1</w:t>
      </w:r>
      <w:r w:rsidRPr="00531789">
        <w:rPr>
          <w:rFonts w:ascii="Cambria" w:hAnsi="Cambria" w:cs="Courier New"/>
        </w:rPr>
        <w:t xml:space="preserve"> (Fig. 3B), these clusters are no longer present, and a positive correlation between photosynthesis and growth is seen.  The ratio increases with [CO</w:t>
      </w:r>
      <w:r w:rsidRPr="00531789">
        <w:rPr>
          <w:rFonts w:ascii="Cambria" w:hAnsi="Cambria" w:cs="Courier New"/>
          <w:vertAlign w:val="subscript"/>
        </w:rPr>
        <w:t>2</w:t>
      </w:r>
      <w:r w:rsidRPr="00531789">
        <w:rPr>
          <w:rFonts w:ascii="Cambria" w:hAnsi="Cambria" w:cs="Courier New"/>
        </w:rPr>
        <w:t>] (Fig. 3C) and with plant age at harvest (Fig. 3D).  There was a highly significant interaction of the harvest week x [CO</w:t>
      </w:r>
      <w:r w:rsidRPr="00531789">
        <w:rPr>
          <w:rFonts w:ascii="Cambria" w:hAnsi="Cambria" w:cs="Courier New"/>
          <w:vertAlign w:val="subscript"/>
        </w:rPr>
        <w:t>2</w:t>
      </w:r>
      <w:r w:rsidRPr="00531789">
        <w:rPr>
          <w:rFonts w:ascii="Cambria" w:hAnsi="Cambria" w:cs="Courier New"/>
        </w:rPr>
        <w:t>] (F</w:t>
      </w:r>
      <w:r w:rsidRPr="00531789">
        <w:rPr>
          <w:rFonts w:ascii="Cambria" w:hAnsi="Cambria" w:cs="Courier New"/>
          <w:vertAlign w:val="subscript"/>
        </w:rPr>
        <w:t>(4,61)</w:t>
      </w:r>
      <w:r w:rsidRPr="00531789">
        <w:rPr>
          <w:rFonts w:ascii="Cambria" w:hAnsi="Cambria" w:cs="Courier New"/>
        </w:rPr>
        <w:t xml:space="preserve"> = 16, p&lt;0.001), such that the </w:t>
      </w:r>
      <w:proofErr w:type="spellStart"/>
      <w:r w:rsidRPr="00531789">
        <w:rPr>
          <w:rFonts w:ascii="Cambria" w:hAnsi="Cambria" w:cs="Courier New"/>
        </w:rPr>
        <w:t>photosynthesis:growth</w:t>
      </w:r>
      <w:proofErr w:type="spellEnd"/>
      <w:r w:rsidRPr="00531789">
        <w:rPr>
          <w:rFonts w:ascii="Cambria" w:hAnsi="Cambria" w:cs="Courier New"/>
        </w:rPr>
        <w:t xml:space="preserve"> ratio is greater at higher [CO</w:t>
      </w:r>
      <w:r w:rsidRPr="00531789">
        <w:rPr>
          <w:rFonts w:ascii="Cambria" w:hAnsi="Cambria" w:cs="Courier New"/>
          <w:vertAlign w:val="subscript"/>
        </w:rPr>
        <w:t>2</w:t>
      </w:r>
      <w:r w:rsidRPr="00531789">
        <w:rPr>
          <w:rFonts w:ascii="Cambria" w:hAnsi="Cambria" w:cs="Courier New"/>
        </w:rPr>
        <w:t>], but this trend becomes less pronounced at later harvests.</w:t>
      </w:r>
    </w:p>
    <w:p w14:paraId="358A872D" w14:textId="77777777" w:rsidR="00DF4522" w:rsidRPr="00531789" w:rsidRDefault="00DF4522" w:rsidP="00DF4522">
      <w:pPr>
        <w:spacing w:line="360" w:lineRule="auto"/>
        <w:jc w:val="both"/>
        <w:rPr>
          <w:rFonts w:ascii="Cambria" w:hAnsi="Cambria" w:cs="Courier New"/>
        </w:rPr>
      </w:pPr>
    </w:p>
    <w:p w14:paraId="1E709A59" w14:textId="77777777" w:rsidR="00DF4522" w:rsidRDefault="00DF4522" w:rsidP="00DF4522">
      <w:pPr>
        <w:spacing w:line="360" w:lineRule="auto"/>
        <w:jc w:val="both"/>
        <w:rPr>
          <w:rFonts w:ascii="Cambria" w:hAnsi="Cambria" w:cs="Courier New"/>
          <w:b/>
        </w:rPr>
      </w:pPr>
      <w:r>
        <w:rPr>
          <w:rFonts w:ascii="Cambria" w:hAnsi="Cambria" w:cs="Courier New"/>
          <w:b/>
          <w:noProof/>
          <w:lang w:val="en-US"/>
        </w:rPr>
        <w:drawing>
          <wp:inline distT="0" distB="0" distL="0" distR="0" wp14:anchorId="2B3B87F9" wp14:editId="25DC312D">
            <wp:extent cx="2518348" cy="1887089"/>
            <wp:effectExtent l="0" t="0" r="0" b="0"/>
            <wp:docPr id="8" name="Picture 8" descr="Macintosh HD:Users:angelawhite:Dropbox:University of Sheffield:Publishing:CO2 Barley 2014 Research Paper:Final Figures:Fig. 3 Photosynthesis-Growth Panel:A AG gram per 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gelawhite:Dropbox:University of Sheffield:Publishing:CO2 Barley 2014 Research Paper:Final Figures:Fig. 3 Photosynthesis-Growth Panel:A AG gram per gram.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18348" cy="1887089"/>
                    </a:xfrm>
                    <a:prstGeom prst="rect">
                      <a:avLst/>
                    </a:prstGeom>
                    <a:noFill/>
                    <a:ln>
                      <a:noFill/>
                    </a:ln>
                  </pic:spPr>
                </pic:pic>
              </a:graphicData>
            </a:graphic>
          </wp:inline>
        </w:drawing>
      </w:r>
      <w:r>
        <w:rPr>
          <w:rFonts w:ascii="Cambria" w:hAnsi="Cambria" w:cs="Courier New"/>
          <w:b/>
          <w:noProof/>
          <w:lang w:val="en-US"/>
        </w:rPr>
        <w:drawing>
          <wp:inline distT="0" distB="0" distL="0" distR="0" wp14:anchorId="0B575D66" wp14:editId="31A6C18F">
            <wp:extent cx="2628900" cy="1969931"/>
            <wp:effectExtent l="0" t="0" r="0" b="11430"/>
            <wp:docPr id="9" name="Picture 9" descr="Macintosh HD:Users:angelawhite:Dropbox:University of Sheffield:Publishing:CO2 Barley 2014 Research Paper:Final Figures:Fig. 3 Photosynthesis-Growth Panel:B AG gram per pl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angelawhite:Dropbox:University of Sheffield:Publishing:CO2 Barley 2014 Research Paper:Final Figures:Fig. 3 Photosynthesis-Growth Panel:B AG gram per plant.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29472" cy="1970360"/>
                    </a:xfrm>
                    <a:prstGeom prst="rect">
                      <a:avLst/>
                    </a:prstGeom>
                    <a:noFill/>
                    <a:ln>
                      <a:noFill/>
                    </a:ln>
                  </pic:spPr>
                </pic:pic>
              </a:graphicData>
            </a:graphic>
          </wp:inline>
        </w:drawing>
      </w:r>
    </w:p>
    <w:p w14:paraId="60DE095E" w14:textId="77777777" w:rsidR="00DF4522" w:rsidRDefault="00DF4522" w:rsidP="00DF4522">
      <w:pPr>
        <w:spacing w:line="360" w:lineRule="auto"/>
        <w:jc w:val="both"/>
        <w:rPr>
          <w:rFonts w:ascii="Cambria" w:hAnsi="Cambria" w:cs="Courier New"/>
          <w:b/>
        </w:rPr>
      </w:pPr>
    </w:p>
    <w:p w14:paraId="411A4E77" w14:textId="77777777" w:rsidR="00DF4522" w:rsidRDefault="00DF4522" w:rsidP="00DF4522">
      <w:pPr>
        <w:spacing w:line="360" w:lineRule="auto"/>
        <w:jc w:val="both"/>
        <w:rPr>
          <w:rFonts w:ascii="Cambria" w:hAnsi="Cambria" w:cs="Courier New"/>
          <w:b/>
        </w:rPr>
      </w:pPr>
      <w:r>
        <w:rPr>
          <w:rFonts w:ascii="Cambria" w:hAnsi="Cambria" w:cs="Courier New"/>
          <w:b/>
          <w:noProof/>
          <w:lang w:val="en-US"/>
        </w:rPr>
        <w:drawing>
          <wp:inline distT="0" distB="0" distL="0" distR="0" wp14:anchorId="655C6AEE" wp14:editId="257F2074">
            <wp:extent cx="2518348" cy="1887089"/>
            <wp:effectExtent l="0" t="0" r="0" b="0"/>
            <wp:docPr id="10" name="Picture 10" descr="Macintosh HD:Users:angelawhite:Dropbox:University of Sheffield:Publishing:CO2 Barley 2014 Research Paper:Final Figures:Fig. 3 Photosynthesis-Growth Panel:C AG ratio c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angelawhite:Dropbox:University of Sheffield:Publishing:CO2 Barley 2014 Research Paper:Final Figures:Fig. 3 Photosynthesis-Growth Panel:C AG ratio co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18348" cy="1887089"/>
                    </a:xfrm>
                    <a:prstGeom prst="rect">
                      <a:avLst/>
                    </a:prstGeom>
                    <a:noFill/>
                    <a:ln>
                      <a:noFill/>
                    </a:ln>
                  </pic:spPr>
                </pic:pic>
              </a:graphicData>
            </a:graphic>
          </wp:inline>
        </w:drawing>
      </w:r>
      <w:r>
        <w:rPr>
          <w:rFonts w:ascii="Cambria" w:hAnsi="Cambria" w:cs="Courier New"/>
          <w:b/>
          <w:noProof/>
          <w:lang w:val="en-US"/>
        </w:rPr>
        <w:drawing>
          <wp:inline distT="0" distB="0" distL="0" distR="0" wp14:anchorId="190CBC83" wp14:editId="18A8B42D">
            <wp:extent cx="2518348" cy="1887089"/>
            <wp:effectExtent l="0" t="0" r="0" b="0"/>
            <wp:docPr id="11" name="Picture 11" descr="Macintosh HD:Users:angelawhite:Dropbox:University of Sheffield:Publishing:CO2 Barley 2014 Research Paper:Final Figures:Fig. 3 Photosynthesis-Growth Panel:D AG ratio 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angelawhite:Dropbox:University of Sheffield:Publishing:CO2 Barley 2014 Research Paper:Final Figures:Fig. 3 Photosynthesis-Growth Panel:D AG ratio age.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18348" cy="1887089"/>
                    </a:xfrm>
                    <a:prstGeom prst="rect">
                      <a:avLst/>
                    </a:prstGeom>
                    <a:noFill/>
                    <a:ln>
                      <a:noFill/>
                    </a:ln>
                  </pic:spPr>
                </pic:pic>
              </a:graphicData>
            </a:graphic>
          </wp:inline>
        </w:drawing>
      </w:r>
    </w:p>
    <w:p w14:paraId="2940F39D" w14:textId="77777777" w:rsidR="00DF4522" w:rsidRPr="00C84FC3" w:rsidRDefault="00DF4522" w:rsidP="00DF4522">
      <w:pPr>
        <w:jc w:val="both"/>
        <w:rPr>
          <w:rFonts w:ascii="Cambria" w:hAnsi="Cambria" w:cs="Courier New"/>
          <w:sz w:val="20"/>
          <w:szCs w:val="20"/>
        </w:rPr>
      </w:pPr>
      <w:r w:rsidRPr="00C84FC3">
        <w:rPr>
          <w:rFonts w:ascii="Cambria" w:hAnsi="Cambria" w:cs="Courier New"/>
          <w:b/>
          <w:sz w:val="20"/>
          <w:szCs w:val="20"/>
        </w:rPr>
        <w:t xml:space="preserve">Figure 3.  </w:t>
      </w:r>
      <w:r w:rsidRPr="00C84FC3">
        <w:rPr>
          <w:rFonts w:ascii="Cambria" w:hAnsi="Cambria" w:cs="Courier New"/>
          <w:sz w:val="20"/>
          <w:szCs w:val="20"/>
        </w:rPr>
        <w:t>The ratio of photosynthesis to growth is higher in annual than perennial barley and greater at higher [CO</w:t>
      </w:r>
      <w:r w:rsidRPr="00C84FC3">
        <w:rPr>
          <w:rFonts w:ascii="Cambria" w:hAnsi="Cambria" w:cs="Courier New"/>
          <w:sz w:val="20"/>
          <w:szCs w:val="20"/>
          <w:vertAlign w:val="subscript"/>
        </w:rPr>
        <w:t>2</w:t>
      </w:r>
      <w:r w:rsidRPr="00C84FC3">
        <w:rPr>
          <w:rFonts w:ascii="Cambria" w:hAnsi="Cambria" w:cs="Courier New"/>
          <w:sz w:val="20"/>
          <w:szCs w:val="20"/>
        </w:rPr>
        <w:t>] and in older plants.  A, photosynthesis and growth for individual plants at all times and CO</w:t>
      </w:r>
      <w:r w:rsidRPr="00C84FC3">
        <w:rPr>
          <w:rFonts w:ascii="Cambria" w:hAnsi="Cambria" w:cs="Courier New"/>
          <w:sz w:val="20"/>
          <w:szCs w:val="20"/>
          <w:vertAlign w:val="subscript"/>
        </w:rPr>
        <w:t>2</w:t>
      </w:r>
      <w:r w:rsidRPr="00C84FC3">
        <w:rPr>
          <w:rFonts w:ascii="Cambria" w:hAnsi="Cambria" w:cs="Courier New"/>
          <w:sz w:val="20"/>
          <w:szCs w:val="20"/>
        </w:rPr>
        <w:t xml:space="preserve"> levels, expressed in g C g</w:t>
      </w:r>
      <w:r w:rsidRPr="00C84FC3">
        <w:rPr>
          <w:rFonts w:ascii="Cambria" w:hAnsi="Cambria" w:cs="Courier New"/>
          <w:sz w:val="20"/>
          <w:szCs w:val="20"/>
          <w:vertAlign w:val="superscript"/>
        </w:rPr>
        <w:t>-1</w:t>
      </w:r>
      <w:r w:rsidRPr="00C84FC3">
        <w:rPr>
          <w:rFonts w:ascii="Cambria" w:hAnsi="Cambria" w:cs="Courier New"/>
          <w:sz w:val="20"/>
          <w:szCs w:val="20"/>
        </w:rPr>
        <w:t xml:space="preserve"> day</w:t>
      </w:r>
      <w:r w:rsidRPr="00C84FC3">
        <w:rPr>
          <w:rFonts w:ascii="Cambria" w:hAnsi="Cambria" w:cs="Courier New"/>
          <w:sz w:val="20"/>
          <w:szCs w:val="20"/>
          <w:vertAlign w:val="superscript"/>
        </w:rPr>
        <w:t>-1</w:t>
      </w:r>
      <w:r w:rsidRPr="00C84FC3">
        <w:rPr>
          <w:rFonts w:ascii="Cambria" w:hAnsi="Cambria" w:cs="Courier New"/>
          <w:sz w:val="20"/>
          <w:szCs w:val="20"/>
        </w:rPr>
        <w:t>, showing three clusters along the x-axis corresponding to the three harvest times with RGR decreasing as time progresses; B, photosynthesis and growth for individual plants at all times and CO</w:t>
      </w:r>
      <w:r w:rsidRPr="00C84FC3">
        <w:rPr>
          <w:rFonts w:ascii="Cambria" w:hAnsi="Cambria" w:cs="Courier New"/>
          <w:sz w:val="20"/>
          <w:szCs w:val="20"/>
          <w:vertAlign w:val="subscript"/>
        </w:rPr>
        <w:t>2</w:t>
      </w:r>
      <w:r w:rsidRPr="00C84FC3">
        <w:rPr>
          <w:rFonts w:ascii="Cambria" w:hAnsi="Cambria" w:cs="Courier New"/>
          <w:sz w:val="20"/>
          <w:szCs w:val="20"/>
        </w:rPr>
        <w:t xml:space="preserve"> levels expressed in g C plant</w:t>
      </w:r>
      <w:r w:rsidRPr="00C84FC3">
        <w:rPr>
          <w:rFonts w:ascii="Cambria" w:hAnsi="Cambria" w:cs="Courier New"/>
          <w:sz w:val="20"/>
          <w:szCs w:val="20"/>
          <w:vertAlign w:val="superscript"/>
        </w:rPr>
        <w:t>-1</w:t>
      </w:r>
      <w:r w:rsidRPr="00C84FC3">
        <w:rPr>
          <w:rFonts w:ascii="Cambria" w:hAnsi="Cambria" w:cs="Courier New"/>
          <w:sz w:val="20"/>
          <w:szCs w:val="20"/>
        </w:rPr>
        <w:t xml:space="preserve"> day</w:t>
      </w:r>
      <w:r w:rsidRPr="00C84FC3">
        <w:rPr>
          <w:rFonts w:ascii="Cambria" w:hAnsi="Cambria" w:cs="Courier New"/>
          <w:sz w:val="20"/>
          <w:szCs w:val="20"/>
          <w:vertAlign w:val="superscript"/>
        </w:rPr>
        <w:t>-1</w:t>
      </w:r>
      <w:r w:rsidRPr="00C84FC3">
        <w:rPr>
          <w:rFonts w:ascii="Cambria" w:hAnsi="Cambria" w:cs="Courier New"/>
          <w:sz w:val="20"/>
          <w:szCs w:val="20"/>
        </w:rPr>
        <w:t xml:space="preserve">; C, </w:t>
      </w:r>
      <w:proofErr w:type="spellStart"/>
      <w:r w:rsidRPr="00C84FC3">
        <w:rPr>
          <w:rFonts w:ascii="Cambria" w:hAnsi="Cambria" w:cs="Courier New"/>
          <w:sz w:val="20"/>
          <w:szCs w:val="20"/>
        </w:rPr>
        <w:t>photosynthesis:growth</w:t>
      </w:r>
      <w:proofErr w:type="spellEnd"/>
      <w:r w:rsidRPr="00C84FC3">
        <w:rPr>
          <w:rFonts w:ascii="Cambria" w:hAnsi="Cambria" w:cs="Courier New"/>
          <w:sz w:val="20"/>
          <w:szCs w:val="20"/>
        </w:rPr>
        <w:t xml:space="preserve"> ratio in the three [CO</w:t>
      </w:r>
      <w:r w:rsidRPr="00C84FC3">
        <w:rPr>
          <w:rFonts w:ascii="Cambria" w:hAnsi="Cambria" w:cs="Courier New"/>
          <w:sz w:val="20"/>
          <w:szCs w:val="20"/>
          <w:vertAlign w:val="subscript"/>
        </w:rPr>
        <w:t>2</w:t>
      </w:r>
      <w:r w:rsidRPr="00C84FC3">
        <w:rPr>
          <w:rFonts w:ascii="Cambria" w:hAnsi="Cambria" w:cs="Courier New"/>
          <w:sz w:val="20"/>
          <w:szCs w:val="20"/>
        </w:rPr>
        <w:t xml:space="preserve">] treatments; D, changes in the </w:t>
      </w:r>
      <w:proofErr w:type="spellStart"/>
      <w:r w:rsidRPr="00C84FC3">
        <w:rPr>
          <w:rFonts w:ascii="Cambria" w:hAnsi="Cambria" w:cs="Courier New"/>
          <w:sz w:val="20"/>
          <w:szCs w:val="20"/>
        </w:rPr>
        <w:t>photosynthesis:growth</w:t>
      </w:r>
      <w:proofErr w:type="spellEnd"/>
      <w:r w:rsidRPr="00C84FC3">
        <w:rPr>
          <w:rFonts w:ascii="Cambria" w:hAnsi="Cambria" w:cs="Courier New"/>
          <w:sz w:val="20"/>
          <w:szCs w:val="20"/>
        </w:rPr>
        <w:t xml:space="preserve"> ratio with respect to the mean plant age at harvest.  Data show mean ± SE (C and D: at 180, 400, 1500 µ</w:t>
      </w:r>
      <w:proofErr w:type="spellStart"/>
      <w:r w:rsidRPr="00C84FC3">
        <w:rPr>
          <w:rFonts w:ascii="Cambria" w:hAnsi="Cambria" w:cs="Courier New"/>
          <w:sz w:val="20"/>
          <w:szCs w:val="20"/>
        </w:rPr>
        <w:t>mol</w:t>
      </w:r>
      <w:proofErr w:type="spellEnd"/>
      <w:r w:rsidRPr="00C84FC3">
        <w:rPr>
          <w:rFonts w:ascii="Cambria" w:hAnsi="Cambria" w:cs="Courier New"/>
          <w:sz w:val="20"/>
          <w:szCs w:val="20"/>
        </w:rPr>
        <w:t xml:space="preserve"> mol</w:t>
      </w:r>
      <w:r w:rsidRPr="00C84FC3">
        <w:rPr>
          <w:rFonts w:ascii="Cambria" w:hAnsi="Cambria" w:cs="Courier New"/>
          <w:sz w:val="20"/>
          <w:szCs w:val="20"/>
          <w:vertAlign w:val="superscript"/>
        </w:rPr>
        <w:t>-1</w:t>
      </w:r>
      <w:r w:rsidRPr="00C84FC3">
        <w:rPr>
          <w:rFonts w:ascii="Cambria" w:hAnsi="Cambria" w:cs="Courier New"/>
          <w:sz w:val="20"/>
          <w:szCs w:val="20"/>
        </w:rPr>
        <w:t xml:space="preserve"> CO</w:t>
      </w:r>
      <w:r w:rsidRPr="00C84FC3">
        <w:rPr>
          <w:rFonts w:ascii="Cambria" w:hAnsi="Cambria" w:cs="Courier New"/>
          <w:sz w:val="20"/>
          <w:szCs w:val="20"/>
          <w:vertAlign w:val="subscript"/>
        </w:rPr>
        <w:t>2</w:t>
      </w:r>
      <w:r w:rsidRPr="00C84FC3">
        <w:rPr>
          <w:rFonts w:ascii="Cambria" w:hAnsi="Cambria" w:cs="Courier New"/>
          <w:sz w:val="20"/>
          <w:szCs w:val="20"/>
        </w:rPr>
        <w:t>, annual n=15, 18, 18, perennial n=4, 9, 12).</w:t>
      </w:r>
    </w:p>
    <w:p w14:paraId="3BCE9358" w14:textId="77777777" w:rsidR="00DF4522" w:rsidRPr="00531789" w:rsidRDefault="00DF4522" w:rsidP="00DF4522">
      <w:pPr>
        <w:spacing w:line="360" w:lineRule="auto"/>
        <w:jc w:val="both"/>
        <w:rPr>
          <w:rFonts w:ascii="Cambria" w:hAnsi="Cambria" w:cs="Courier New"/>
          <w:b/>
        </w:rPr>
      </w:pPr>
      <w:r w:rsidRPr="00531789">
        <w:rPr>
          <w:rFonts w:ascii="Cambria" w:hAnsi="Cambria" w:cs="Courier New"/>
          <w:b/>
        </w:rPr>
        <w:t>Annual barley accumulates more non-structural carbohydrates than the perennial species</w:t>
      </w:r>
    </w:p>
    <w:p w14:paraId="7EF7717B" w14:textId="77777777" w:rsidR="00DF4522" w:rsidRPr="00531789" w:rsidRDefault="00DF4522" w:rsidP="00DF4522">
      <w:pPr>
        <w:spacing w:line="360" w:lineRule="auto"/>
        <w:jc w:val="both"/>
        <w:rPr>
          <w:rFonts w:ascii="Cambria" w:hAnsi="Cambria" w:cs="Courier New"/>
          <w:b/>
        </w:rPr>
      </w:pPr>
    </w:p>
    <w:p w14:paraId="75C965B4"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 xml:space="preserve">Plants were harvested for metabolite analysis following the non-invasive measurements of growth and photosynthesis. These harvests were carried out between 47 and 61 days after germination, during the vegetative growth stage. Harvests were carried out immediately before dawn and dusk, enabling the diurnal accumulation of metabolites to be analysed. Plants were separated into leaf, leaf sheath and root, since these represent distinct storage compartments in grasses. Total non-structural carbohydrates (glucose, fructose, sucrose, starch and </w:t>
      </w:r>
      <w:proofErr w:type="spellStart"/>
      <w:r w:rsidRPr="00531789">
        <w:rPr>
          <w:rFonts w:ascii="Cambria" w:hAnsi="Cambria" w:cs="Courier New"/>
        </w:rPr>
        <w:t>fructan</w:t>
      </w:r>
      <w:proofErr w:type="spellEnd"/>
      <w:r w:rsidRPr="00531789">
        <w:rPr>
          <w:rFonts w:ascii="Cambria" w:hAnsi="Cambria" w:cs="Courier New"/>
        </w:rPr>
        <w:t xml:space="preserve">), protein, free amino acids and free nitrate were measured using a range of enzyme-linked biochemical assays. </w:t>
      </w:r>
    </w:p>
    <w:p w14:paraId="4A4FAB7E" w14:textId="77777777" w:rsidR="00DF4522" w:rsidRPr="00531789" w:rsidRDefault="00DF4522" w:rsidP="00DF4522">
      <w:pPr>
        <w:spacing w:line="360" w:lineRule="auto"/>
        <w:jc w:val="both"/>
        <w:rPr>
          <w:rFonts w:ascii="Cambria" w:hAnsi="Cambria" w:cs="Courier New"/>
        </w:rPr>
      </w:pPr>
    </w:p>
    <w:p w14:paraId="6D72D969" w14:textId="77777777" w:rsidR="00DF4522" w:rsidRDefault="00DF4522" w:rsidP="00DF4522">
      <w:pPr>
        <w:spacing w:line="360" w:lineRule="auto"/>
        <w:jc w:val="both"/>
        <w:rPr>
          <w:rFonts w:ascii="Cambria" w:hAnsi="Cambria" w:cs="Courier New"/>
        </w:rPr>
      </w:pPr>
      <w:r w:rsidRPr="00531789">
        <w:rPr>
          <w:rFonts w:ascii="Cambria" w:hAnsi="Cambria" w:cs="Courier New"/>
        </w:rPr>
        <w:t>Pre-dawn measurements indicate the basal level of carbohydrates in plant organs, when metabolites accumulated during the previous photoperiod have been utilised for respiration, exported or consumed by growth at night. Before dawn, annual barley had a higher concentration of total non-structural carbohydrates (TNC) than the perennial, and showed a greater accumulation of TNC in leaf sheaths and roots when [CO</w:t>
      </w:r>
      <w:r w:rsidRPr="00531789">
        <w:rPr>
          <w:rFonts w:ascii="Cambria" w:hAnsi="Cambria" w:cs="Courier New"/>
          <w:vertAlign w:val="subscript"/>
        </w:rPr>
        <w:t>2</w:t>
      </w:r>
      <w:r w:rsidRPr="00531789">
        <w:rPr>
          <w:rFonts w:ascii="Cambria" w:hAnsi="Cambria" w:cs="Courier New"/>
        </w:rPr>
        <w:t>]</w:t>
      </w:r>
      <w:r w:rsidRPr="00531789">
        <w:rPr>
          <w:rFonts w:ascii="Cambria" w:hAnsi="Cambria" w:cs="Courier New"/>
          <w:vertAlign w:val="subscript"/>
        </w:rPr>
        <w:t xml:space="preserve"> </w:t>
      </w:r>
      <w:r w:rsidRPr="00531789">
        <w:rPr>
          <w:rFonts w:ascii="Cambria" w:hAnsi="Cambria" w:cs="Courier New"/>
        </w:rPr>
        <w:t>was increased from 180 to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(Fig. 4). However, in the leaves, perennial barley showed a stronger TNC response than the annual when [CO</w:t>
      </w:r>
      <w:r w:rsidRPr="00531789">
        <w:rPr>
          <w:rFonts w:ascii="Cambria" w:hAnsi="Cambria" w:cs="Courier New"/>
          <w:vertAlign w:val="subscript"/>
        </w:rPr>
        <w:t>2</w:t>
      </w:r>
      <w:r w:rsidRPr="00531789">
        <w:rPr>
          <w:rFonts w:ascii="Cambria" w:hAnsi="Cambria" w:cs="Courier New"/>
        </w:rPr>
        <w:t>]</w:t>
      </w:r>
      <w:r w:rsidRPr="00531789">
        <w:rPr>
          <w:rFonts w:ascii="Cambria" w:hAnsi="Cambria" w:cs="Courier New"/>
          <w:vertAlign w:val="subscript"/>
        </w:rPr>
        <w:t xml:space="preserve"> </w:t>
      </w:r>
      <w:r w:rsidRPr="00531789">
        <w:rPr>
          <w:rFonts w:ascii="Cambria" w:hAnsi="Cambria" w:cs="Courier New"/>
        </w:rPr>
        <w:t>was increased from 180 to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(Fig. 4).  Across all TNC data, there was a significant organ type x time of day x species interaction (F</w:t>
      </w:r>
      <w:r w:rsidRPr="00531789">
        <w:rPr>
          <w:rFonts w:ascii="Cambria" w:hAnsi="Cambria" w:cs="Courier New"/>
          <w:vertAlign w:val="subscript"/>
        </w:rPr>
        <w:t>(2,120)</w:t>
      </w:r>
      <w:r w:rsidRPr="00531789">
        <w:rPr>
          <w:rFonts w:ascii="Cambria" w:hAnsi="Cambria" w:cs="Courier New"/>
        </w:rPr>
        <w:t xml:space="preserve"> = 9.2, p&lt;0.001); a significant organ type x time of day x [CO</w:t>
      </w:r>
      <w:r w:rsidRPr="00531789">
        <w:rPr>
          <w:rFonts w:ascii="Cambria" w:hAnsi="Cambria" w:cs="Courier New"/>
          <w:vertAlign w:val="subscript"/>
        </w:rPr>
        <w:t>2</w:t>
      </w:r>
      <w:r w:rsidRPr="00531789">
        <w:rPr>
          <w:rFonts w:ascii="Cambria" w:hAnsi="Cambria" w:cs="Courier New"/>
        </w:rPr>
        <w:t>]</w:t>
      </w:r>
      <w:r w:rsidRPr="00531789">
        <w:rPr>
          <w:rFonts w:ascii="Cambria" w:hAnsi="Cambria" w:cs="Courier New"/>
          <w:vertAlign w:val="subscript"/>
        </w:rPr>
        <w:t xml:space="preserve"> </w:t>
      </w:r>
      <w:r w:rsidRPr="00531789">
        <w:rPr>
          <w:rFonts w:ascii="Cambria" w:hAnsi="Cambria" w:cs="Courier New"/>
        </w:rPr>
        <w:t>interaction (F</w:t>
      </w:r>
      <w:r w:rsidRPr="00531789">
        <w:rPr>
          <w:rFonts w:ascii="Cambria" w:hAnsi="Cambria" w:cs="Courier New"/>
          <w:vertAlign w:val="subscript"/>
        </w:rPr>
        <w:t>(4,120)</w:t>
      </w:r>
      <w:r w:rsidRPr="00531789">
        <w:rPr>
          <w:rFonts w:ascii="Cambria" w:hAnsi="Cambria" w:cs="Courier New"/>
        </w:rPr>
        <w:t xml:space="preserve"> = 18, p&lt;0.001); a significant organ x species x [CO</w:t>
      </w:r>
      <w:r w:rsidRPr="00531789">
        <w:rPr>
          <w:rFonts w:ascii="Cambria" w:hAnsi="Cambria" w:cs="Courier New"/>
          <w:vertAlign w:val="subscript"/>
        </w:rPr>
        <w:t>2</w:t>
      </w:r>
      <w:r w:rsidRPr="00531789">
        <w:rPr>
          <w:rFonts w:ascii="Cambria" w:hAnsi="Cambria" w:cs="Courier New"/>
        </w:rPr>
        <w:t>] interaction (F</w:t>
      </w:r>
      <w:r w:rsidRPr="00531789">
        <w:rPr>
          <w:rFonts w:ascii="Cambria" w:hAnsi="Cambria" w:cs="Courier New"/>
          <w:vertAlign w:val="subscript"/>
        </w:rPr>
        <w:t>(4,120)</w:t>
      </w:r>
      <w:r w:rsidRPr="00531789">
        <w:rPr>
          <w:rFonts w:ascii="Cambria" w:hAnsi="Cambria" w:cs="Courier New"/>
        </w:rPr>
        <w:t xml:space="preserve"> = 22, p&lt;0.001); and a significant organ x harvest week x [CO</w:t>
      </w:r>
      <w:r w:rsidRPr="00531789">
        <w:rPr>
          <w:rFonts w:ascii="Cambria" w:hAnsi="Cambria" w:cs="Courier New"/>
          <w:vertAlign w:val="subscript"/>
        </w:rPr>
        <w:t>2</w:t>
      </w:r>
      <w:r w:rsidRPr="00531789">
        <w:rPr>
          <w:rFonts w:ascii="Cambria" w:hAnsi="Cambria" w:cs="Courier New"/>
        </w:rPr>
        <w:t>] interaction (F</w:t>
      </w:r>
      <w:r w:rsidRPr="00531789">
        <w:rPr>
          <w:rFonts w:ascii="Cambria" w:hAnsi="Cambria" w:cs="Courier New"/>
          <w:vertAlign w:val="subscript"/>
        </w:rPr>
        <w:t>(8,120)</w:t>
      </w:r>
      <w:r w:rsidRPr="00531789">
        <w:rPr>
          <w:rFonts w:ascii="Cambria" w:hAnsi="Cambria" w:cs="Courier New"/>
        </w:rPr>
        <w:t xml:space="preserve"> = 4.5, p&lt;0.001).  In the leaf, TNC was 114% greater in the annual than the perennial at 180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57% greater in the annual at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xml:space="preserve">, but </w:t>
      </w:r>
      <w:r>
        <w:rPr>
          <w:rFonts w:ascii="Cambria" w:hAnsi="Cambria" w:cs="Courier New"/>
        </w:rPr>
        <w:t>approximately equal (0.4% greater in the perennial)</w:t>
      </w:r>
      <w:r w:rsidRPr="00531789">
        <w:rPr>
          <w:rFonts w:ascii="Cambria" w:hAnsi="Cambria" w:cs="Courier New"/>
        </w:rPr>
        <w:t xml:space="preserve"> at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xml:space="preserve"> (Fig. 4A).  In the leaf sheath, TNC was 29% greater in the annual than the perennial at 180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57% greater in the annual at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and 25% greater in the annual at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xml:space="preserve"> (Fig. 4B).  In the root, TNC was 35% greater in the annual than the perennial at 180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56% greater in the annual at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and 97% greater in the annual at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xml:space="preserve"> (Fig. 4C).  In both species, TNC concentration is highest at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 xml:space="preserve">2 </w:t>
      </w:r>
      <w:r w:rsidRPr="00531789">
        <w:rPr>
          <w:rFonts w:ascii="Cambria" w:hAnsi="Cambria" w:cs="Courier New"/>
        </w:rPr>
        <w:t xml:space="preserve">suggesting that sinks are replete under these conditions.  </w:t>
      </w:r>
    </w:p>
    <w:p w14:paraId="6A0B8CC6" w14:textId="77777777" w:rsidR="00DF4522" w:rsidRPr="00531789" w:rsidRDefault="00DF4522" w:rsidP="00DF4522">
      <w:pPr>
        <w:spacing w:line="360" w:lineRule="auto"/>
        <w:jc w:val="both"/>
        <w:rPr>
          <w:rFonts w:ascii="Cambria" w:hAnsi="Cambria" w:cs="Courier New"/>
        </w:rPr>
      </w:pPr>
    </w:p>
    <w:p w14:paraId="58247D0B" w14:textId="77777777" w:rsidR="00DF4522" w:rsidRDefault="00DF4522" w:rsidP="00DF4522">
      <w:pPr>
        <w:tabs>
          <w:tab w:val="center" w:pos="4153"/>
        </w:tabs>
        <w:spacing w:line="360" w:lineRule="auto"/>
        <w:jc w:val="both"/>
        <w:rPr>
          <w:rFonts w:ascii="Cambria" w:hAnsi="Cambria" w:cs="Courier New"/>
        </w:rPr>
      </w:pPr>
    </w:p>
    <w:p w14:paraId="0ADDE52B" w14:textId="77777777" w:rsidR="00DF4522" w:rsidRDefault="00DF4522" w:rsidP="00DF4522">
      <w:pPr>
        <w:tabs>
          <w:tab w:val="center" w:pos="4153"/>
        </w:tabs>
        <w:spacing w:line="360" w:lineRule="auto"/>
        <w:jc w:val="both"/>
        <w:rPr>
          <w:rFonts w:ascii="Cambria" w:hAnsi="Cambria" w:cs="Courier New"/>
        </w:rPr>
      </w:pPr>
      <w:r>
        <w:rPr>
          <w:rFonts w:ascii="Cambria" w:hAnsi="Cambria" w:cs="Courier New"/>
        </w:rPr>
        <w:t xml:space="preserve">                    </w:t>
      </w:r>
      <w:r>
        <w:rPr>
          <w:rFonts w:ascii="Cambria" w:hAnsi="Cambria" w:cs="Courier New"/>
          <w:noProof/>
          <w:lang w:val="en-US"/>
        </w:rPr>
        <w:drawing>
          <wp:inline distT="0" distB="0" distL="0" distR="0" wp14:anchorId="1B14D9DF" wp14:editId="09F70A58">
            <wp:extent cx="2861248" cy="2045968"/>
            <wp:effectExtent l="0" t="0" r="9525" b="12065"/>
            <wp:docPr id="12" name="Picture 12" descr="Macintosh HD:Users:angelawhite:Dropbox:University of Sheffield:Publishing:CO2 Barley 2014 Research Paper:Final Figures:Fig. 4 TNC Panel:A, leaf TNC pre-da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ngelawhite:Dropbox:University of Sheffield:Publishing:CO2 Barley 2014 Research Paper:Final Figures:Fig. 4 TNC Panel:A, leaf TNC pre-dawn.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61248" cy="2045968"/>
                    </a:xfrm>
                    <a:prstGeom prst="rect">
                      <a:avLst/>
                    </a:prstGeom>
                    <a:noFill/>
                    <a:ln>
                      <a:noFill/>
                    </a:ln>
                  </pic:spPr>
                </pic:pic>
              </a:graphicData>
            </a:graphic>
          </wp:inline>
        </w:drawing>
      </w:r>
    </w:p>
    <w:p w14:paraId="7DAD51BF" w14:textId="77777777" w:rsidR="00DF4522" w:rsidRDefault="00DF4522" w:rsidP="00DF4522">
      <w:pPr>
        <w:tabs>
          <w:tab w:val="center" w:pos="4153"/>
        </w:tabs>
        <w:spacing w:line="360" w:lineRule="auto"/>
        <w:jc w:val="both"/>
        <w:rPr>
          <w:rFonts w:ascii="Cambria" w:hAnsi="Cambria" w:cs="Courier New"/>
        </w:rPr>
      </w:pPr>
      <w:r>
        <w:rPr>
          <w:rFonts w:ascii="Cambria" w:hAnsi="Cambria" w:cs="Courier New"/>
        </w:rPr>
        <w:t xml:space="preserve">                    </w:t>
      </w:r>
      <w:r>
        <w:rPr>
          <w:rFonts w:ascii="Cambria" w:hAnsi="Cambria" w:cs="Courier New"/>
          <w:noProof/>
          <w:lang w:val="en-US"/>
        </w:rPr>
        <w:drawing>
          <wp:inline distT="0" distB="0" distL="0" distR="0" wp14:anchorId="65548CA3" wp14:editId="77A42BAB">
            <wp:extent cx="2861248" cy="2045968"/>
            <wp:effectExtent l="0" t="0" r="9525" b="12065"/>
            <wp:docPr id="13" name="Picture 13" descr="Macintosh HD:Users:angelawhite:Dropbox:University of Sheffield:Publishing:CO2 Barley 2014 Research Paper:Final Figures:Fig. 4 TNC Panel:B, leaf sheath TNC pre-da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angelawhite:Dropbox:University of Sheffield:Publishing:CO2 Barley 2014 Research Paper:Final Figures:Fig. 4 TNC Panel:B, leaf sheath TNC pre-dawn.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61248" cy="2045968"/>
                    </a:xfrm>
                    <a:prstGeom prst="rect">
                      <a:avLst/>
                    </a:prstGeom>
                    <a:noFill/>
                    <a:ln>
                      <a:noFill/>
                    </a:ln>
                  </pic:spPr>
                </pic:pic>
              </a:graphicData>
            </a:graphic>
          </wp:inline>
        </w:drawing>
      </w:r>
    </w:p>
    <w:p w14:paraId="7D261640" w14:textId="77777777" w:rsidR="00DF4522" w:rsidRDefault="00DF4522" w:rsidP="00DF4522">
      <w:pPr>
        <w:tabs>
          <w:tab w:val="center" w:pos="4153"/>
        </w:tabs>
        <w:spacing w:line="360" w:lineRule="auto"/>
        <w:jc w:val="both"/>
        <w:rPr>
          <w:rFonts w:ascii="Cambria" w:hAnsi="Cambria" w:cs="Courier New"/>
        </w:rPr>
      </w:pPr>
      <w:r>
        <w:rPr>
          <w:rFonts w:ascii="Cambria" w:hAnsi="Cambria" w:cs="Courier New"/>
        </w:rPr>
        <w:t xml:space="preserve">                    </w:t>
      </w:r>
      <w:r>
        <w:rPr>
          <w:rFonts w:ascii="Cambria" w:hAnsi="Cambria" w:cs="Courier New"/>
          <w:noProof/>
          <w:lang w:val="en-US"/>
        </w:rPr>
        <w:drawing>
          <wp:inline distT="0" distB="0" distL="0" distR="0" wp14:anchorId="702C32E2" wp14:editId="6AA8FA5D">
            <wp:extent cx="2861248" cy="2045968"/>
            <wp:effectExtent l="0" t="0" r="9525" b="12065"/>
            <wp:docPr id="14" name="Picture 14" descr="Macintosh HD:Users:angelawhite:Dropbox:University of Sheffield:Publishing:CO2 Barley 2014 Research Paper:Final Figures:Fig. 4 TNC Panel:C, root TNC pre-da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angelawhite:Dropbox:University of Sheffield:Publishing:CO2 Barley 2014 Research Paper:Final Figures:Fig. 4 TNC Panel:C, root TNC pre-dawn.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61248" cy="2045968"/>
                    </a:xfrm>
                    <a:prstGeom prst="rect">
                      <a:avLst/>
                    </a:prstGeom>
                    <a:noFill/>
                    <a:ln>
                      <a:noFill/>
                    </a:ln>
                  </pic:spPr>
                </pic:pic>
              </a:graphicData>
            </a:graphic>
          </wp:inline>
        </w:drawing>
      </w:r>
    </w:p>
    <w:p w14:paraId="39309DD8" w14:textId="77777777" w:rsidR="00DF4522" w:rsidRPr="00C84FC3" w:rsidRDefault="00DF4522" w:rsidP="00DF4522">
      <w:pPr>
        <w:widowControl w:val="0"/>
        <w:autoSpaceDE w:val="0"/>
        <w:autoSpaceDN w:val="0"/>
        <w:adjustRightInd w:val="0"/>
        <w:ind w:left="480" w:hanging="480"/>
        <w:rPr>
          <w:rFonts w:ascii="Cambria" w:hAnsi="Cambria" w:cs="Courier New"/>
          <w:b/>
          <w:sz w:val="20"/>
          <w:szCs w:val="20"/>
        </w:rPr>
      </w:pPr>
    </w:p>
    <w:p w14:paraId="19244668" w14:textId="77777777" w:rsidR="00DF4522" w:rsidRPr="00C84FC3" w:rsidRDefault="00DF4522" w:rsidP="00DF4522">
      <w:pPr>
        <w:jc w:val="both"/>
        <w:rPr>
          <w:rFonts w:ascii="Cambria" w:hAnsi="Cambria" w:cs="Courier New"/>
          <w:sz w:val="20"/>
          <w:szCs w:val="20"/>
        </w:rPr>
      </w:pPr>
      <w:r w:rsidRPr="00C84FC3">
        <w:rPr>
          <w:rFonts w:ascii="Cambria" w:hAnsi="Cambria" w:cs="Courier New"/>
          <w:b/>
          <w:sz w:val="20"/>
          <w:szCs w:val="20"/>
        </w:rPr>
        <w:t>Figure 4.</w:t>
      </w:r>
      <w:r w:rsidRPr="00C84FC3">
        <w:rPr>
          <w:rFonts w:ascii="Cambria" w:hAnsi="Cambria" w:cs="Courier New"/>
          <w:sz w:val="20"/>
          <w:szCs w:val="20"/>
        </w:rPr>
        <w:t xml:space="preserve"> Pre-dawn concentrations of total non-structural carbohydrates (TNC) are higher in the annual (solid line) than perennial (dashed line) barley. A, leaf; B, leaf sheath; C, root.  The overall CO</w:t>
      </w:r>
      <w:r w:rsidRPr="00C84FC3">
        <w:rPr>
          <w:rFonts w:ascii="Cambria" w:hAnsi="Cambria" w:cs="Courier New"/>
          <w:sz w:val="20"/>
          <w:szCs w:val="20"/>
          <w:vertAlign w:val="subscript"/>
        </w:rPr>
        <w:t>2</w:t>
      </w:r>
      <w:r w:rsidRPr="00C84FC3">
        <w:rPr>
          <w:rFonts w:ascii="Cambria" w:hAnsi="Cambria" w:cs="Courier New"/>
          <w:sz w:val="20"/>
          <w:szCs w:val="20"/>
        </w:rPr>
        <w:t xml:space="preserve"> response is greater for perennials in the leaf, but greater for annuals in the leaf sheath and root. Data are expressed in µ</w:t>
      </w:r>
      <w:proofErr w:type="spellStart"/>
      <w:r w:rsidRPr="00C84FC3">
        <w:rPr>
          <w:rFonts w:ascii="Cambria" w:hAnsi="Cambria" w:cs="Courier New"/>
          <w:sz w:val="20"/>
          <w:szCs w:val="20"/>
        </w:rPr>
        <w:t>mol</w:t>
      </w:r>
      <w:proofErr w:type="spellEnd"/>
      <w:r w:rsidRPr="00C84FC3">
        <w:rPr>
          <w:rFonts w:ascii="Cambria" w:hAnsi="Cambria" w:cs="Courier New"/>
          <w:sz w:val="20"/>
          <w:szCs w:val="20"/>
        </w:rPr>
        <w:t xml:space="preserve"> glucose equivalents per g carbohydrate-corrected dry weight (CCDW).  Data show mean ± SE (annual n=9, perennial n=6).</w:t>
      </w:r>
    </w:p>
    <w:p w14:paraId="1FADBC94" w14:textId="77777777" w:rsidR="00DF4522" w:rsidRDefault="00DF4522" w:rsidP="00DF4522">
      <w:pPr>
        <w:tabs>
          <w:tab w:val="center" w:pos="4153"/>
        </w:tabs>
        <w:spacing w:line="360" w:lineRule="auto"/>
        <w:jc w:val="both"/>
        <w:rPr>
          <w:rFonts w:ascii="Cambria" w:hAnsi="Cambria" w:cs="Courier New"/>
        </w:rPr>
      </w:pPr>
    </w:p>
    <w:p w14:paraId="67284777" w14:textId="77777777" w:rsidR="00DF4522" w:rsidRDefault="00DF4522" w:rsidP="00DF4522">
      <w:pPr>
        <w:tabs>
          <w:tab w:val="center" w:pos="4153"/>
        </w:tabs>
        <w:spacing w:line="360" w:lineRule="auto"/>
        <w:jc w:val="both"/>
        <w:rPr>
          <w:rFonts w:ascii="Cambria" w:hAnsi="Cambria" w:cs="Courier New"/>
        </w:rPr>
      </w:pPr>
    </w:p>
    <w:p w14:paraId="0F4A87EF" w14:textId="77777777" w:rsidR="00DF4522" w:rsidRDefault="00DF4522" w:rsidP="00DF4522">
      <w:pPr>
        <w:spacing w:line="360" w:lineRule="auto"/>
        <w:jc w:val="both"/>
        <w:rPr>
          <w:rFonts w:ascii="Cambria" w:hAnsi="Cambria" w:cs="Courier New"/>
        </w:rPr>
      </w:pPr>
      <w:r w:rsidRPr="00531789">
        <w:rPr>
          <w:rFonts w:ascii="Cambria" w:hAnsi="Cambria" w:cs="Courier New"/>
        </w:rPr>
        <w:t xml:space="preserve">Subtracting the mean pre-dawn values from the mean pre-dusk values provides a differential of TNC (Fig. 5), which represents the amount of carbon accumulated during the photoperiod, and is equivalent to the amount of carbon available for respiration, export or growth at night. These differentials are much greater in the leaf than in leaf sheath or root (Fig. 5), since diurnal fluctuations </w:t>
      </w:r>
      <w:r>
        <w:rPr>
          <w:rFonts w:ascii="Cambria" w:hAnsi="Cambria" w:cs="Courier New"/>
        </w:rPr>
        <w:t xml:space="preserve">of TNC </w:t>
      </w:r>
      <w:r w:rsidRPr="00531789">
        <w:rPr>
          <w:rFonts w:ascii="Cambria" w:hAnsi="Cambria" w:cs="Courier New"/>
        </w:rPr>
        <w:t>in leaves are more tightly coupled to the diurnal activity of photosynthesis than the distal sinks of leaf sheath and root.  The perennial shows a greater TNC differential than the annual in leaves at 400 and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B84DF1">
        <w:rPr>
          <w:rFonts w:ascii="Cambria" w:hAnsi="Cambria" w:cs="Courier New"/>
        </w:rPr>
        <w:t>,</w:t>
      </w:r>
      <w:r w:rsidRPr="00531789">
        <w:rPr>
          <w:rFonts w:ascii="Cambria" w:hAnsi="Cambria" w:cs="Courier New"/>
          <w:vertAlign w:val="subscript"/>
        </w:rPr>
        <w:t xml:space="preserve"> </w:t>
      </w:r>
      <w:r w:rsidRPr="00531789">
        <w:rPr>
          <w:rFonts w:ascii="Cambria" w:hAnsi="Cambria" w:cs="Courier New"/>
        </w:rPr>
        <w:t>yet there is little difference in TNC differentials in leaf sheath and root, across the CO</w:t>
      </w:r>
      <w:r w:rsidRPr="00531789">
        <w:rPr>
          <w:rFonts w:ascii="Cambria" w:hAnsi="Cambria" w:cs="Courier New"/>
          <w:vertAlign w:val="subscript"/>
        </w:rPr>
        <w:t>2</w:t>
      </w:r>
      <w:r w:rsidRPr="00531789">
        <w:rPr>
          <w:rFonts w:ascii="Cambria" w:hAnsi="Cambria" w:cs="Courier New"/>
        </w:rPr>
        <w:t xml:space="preserve"> concentrations (Fig. 5). Therefore, whilst the basal pre-dawn level of TNC is higher in annuals (Fig. 4), the diurnal accumulation of TNC is greater in perennials for leaves at 400 and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 xml:space="preserve">2 </w:t>
      </w:r>
      <w:r w:rsidRPr="00531789">
        <w:rPr>
          <w:rFonts w:ascii="Cambria" w:hAnsi="Cambria" w:cs="Courier New"/>
        </w:rPr>
        <w:t xml:space="preserve">(Fig. 5). </w:t>
      </w:r>
    </w:p>
    <w:p w14:paraId="394D9E49" w14:textId="77777777" w:rsidR="00DF4522" w:rsidRDefault="00DF4522" w:rsidP="00DF4522">
      <w:pPr>
        <w:spacing w:line="360" w:lineRule="auto"/>
        <w:jc w:val="both"/>
        <w:rPr>
          <w:rFonts w:ascii="Cambria" w:hAnsi="Cambria" w:cs="Courier New"/>
        </w:rPr>
      </w:pPr>
    </w:p>
    <w:p w14:paraId="71BE34C7" w14:textId="77777777" w:rsidR="00DF4522" w:rsidRDefault="00DF4522" w:rsidP="00DF4522">
      <w:pPr>
        <w:spacing w:line="360" w:lineRule="auto"/>
        <w:jc w:val="both"/>
        <w:rPr>
          <w:rFonts w:ascii="Cambria" w:hAnsi="Cambria" w:cs="Courier New"/>
        </w:rPr>
      </w:pPr>
    </w:p>
    <w:p w14:paraId="28FBA377" w14:textId="77777777" w:rsidR="00DF4522" w:rsidRDefault="00DF4522" w:rsidP="00DF4522">
      <w:pPr>
        <w:spacing w:line="360" w:lineRule="auto"/>
        <w:jc w:val="both"/>
        <w:rPr>
          <w:rFonts w:ascii="Cambria" w:hAnsi="Cambria" w:cs="Courier New"/>
        </w:rPr>
      </w:pPr>
      <w:r>
        <w:rPr>
          <w:rFonts w:ascii="Cambria" w:hAnsi="Cambria" w:cs="Courier New"/>
          <w:noProof/>
          <w:lang w:val="en-US"/>
        </w:rPr>
        <w:drawing>
          <wp:anchor distT="0" distB="0" distL="114300" distR="114300" simplePos="0" relativeHeight="251738112" behindDoc="0" locked="0" layoutInCell="1" allowOverlap="1" wp14:anchorId="6F99C222" wp14:editId="78B99852">
            <wp:simplePos x="0" y="0"/>
            <wp:positionH relativeFrom="column">
              <wp:posOffset>800100</wp:posOffset>
            </wp:positionH>
            <wp:positionV relativeFrom="paragraph">
              <wp:posOffset>59055</wp:posOffset>
            </wp:positionV>
            <wp:extent cx="3546475" cy="2414905"/>
            <wp:effectExtent l="0" t="0" r="9525" b="0"/>
            <wp:wrapThrough wrapText="bothSides">
              <wp:wrapPolygon edited="0">
                <wp:start x="0" y="0"/>
                <wp:lineTo x="0" y="21356"/>
                <wp:lineTo x="21503" y="21356"/>
                <wp:lineTo x="21503" y="0"/>
                <wp:lineTo x="0" y="0"/>
              </wp:wrapPolygon>
            </wp:wrapThrough>
            <wp:docPr id="15" name="Picture 15" descr="Macintosh HD:Users:angelawhite:Dropbox:University of Sheffield:Publishing:CO2 Barley 2014 Research Paper:Final Figures:Fig. 5 Diurnal TNC Accumul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angelawhite:Dropbox:University of Sheffield:Publishing:CO2 Barley 2014 Research Paper:Final Figures:Fig. 5 Diurnal TNC Accumulation.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46475" cy="2414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BAD8BB" w14:textId="77777777" w:rsidR="00DF4522" w:rsidRDefault="00DF4522" w:rsidP="00DF4522">
      <w:pPr>
        <w:spacing w:line="360" w:lineRule="auto"/>
        <w:jc w:val="both"/>
        <w:rPr>
          <w:rFonts w:ascii="Cambria" w:hAnsi="Cambria" w:cs="Courier New"/>
        </w:rPr>
      </w:pPr>
    </w:p>
    <w:p w14:paraId="1319693C" w14:textId="77777777" w:rsidR="00DF4522" w:rsidRDefault="00DF4522" w:rsidP="00DF4522">
      <w:pPr>
        <w:spacing w:line="360" w:lineRule="auto"/>
        <w:jc w:val="both"/>
        <w:rPr>
          <w:rFonts w:ascii="Cambria" w:hAnsi="Cambria" w:cs="Courier New"/>
        </w:rPr>
      </w:pPr>
    </w:p>
    <w:p w14:paraId="50E6DA78" w14:textId="77777777" w:rsidR="00DF4522" w:rsidRDefault="00DF4522" w:rsidP="00DF4522">
      <w:pPr>
        <w:spacing w:line="360" w:lineRule="auto"/>
        <w:jc w:val="both"/>
        <w:rPr>
          <w:rFonts w:ascii="Cambria" w:hAnsi="Cambria" w:cs="Courier New"/>
        </w:rPr>
      </w:pPr>
    </w:p>
    <w:p w14:paraId="435805DC" w14:textId="77777777" w:rsidR="00DF4522" w:rsidRDefault="00DF4522" w:rsidP="00DF4522">
      <w:pPr>
        <w:spacing w:line="360" w:lineRule="auto"/>
        <w:jc w:val="both"/>
        <w:rPr>
          <w:rFonts w:ascii="Cambria" w:hAnsi="Cambria" w:cs="Courier New"/>
        </w:rPr>
      </w:pPr>
    </w:p>
    <w:p w14:paraId="22E5A1B7" w14:textId="77777777" w:rsidR="00DF4522" w:rsidRDefault="00DF4522" w:rsidP="00DF4522">
      <w:pPr>
        <w:spacing w:line="360" w:lineRule="auto"/>
        <w:jc w:val="both"/>
        <w:rPr>
          <w:rFonts w:ascii="Cambria" w:hAnsi="Cambria" w:cs="Courier New"/>
        </w:rPr>
      </w:pPr>
    </w:p>
    <w:p w14:paraId="5E79A652" w14:textId="77777777" w:rsidR="00DF4522" w:rsidRDefault="00DF4522" w:rsidP="00DF4522">
      <w:pPr>
        <w:spacing w:line="360" w:lineRule="auto"/>
        <w:jc w:val="both"/>
        <w:rPr>
          <w:rFonts w:ascii="Cambria" w:hAnsi="Cambria" w:cs="Courier New"/>
        </w:rPr>
      </w:pPr>
    </w:p>
    <w:p w14:paraId="7BEE8482" w14:textId="77777777" w:rsidR="00DF4522" w:rsidRDefault="00DF4522" w:rsidP="00DF4522">
      <w:pPr>
        <w:spacing w:line="360" w:lineRule="auto"/>
        <w:jc w:val="both"/>
        <w:rPr>
          <w:rFonts w:ascii="Cambria" w:hAnsi="Cambria" w:cs="Courier New"/>
        </w:rPr>
      </w:pPr>
    </w:p>
    <w:p w14:paraId="085E5E93" w14:textId="77777777" w:rsidR="00DF4522" w:rsidRDefault="00DF4522" w:rsidP="00DF4522">
      <w:pPr>
        <w:spacing w:line="360" w:lineRule="auto"/>
        <w:jc w:val="both"/>
        <w:rPr>
          <w:rFonts w:ascii="Cambria" w:hAnsi="Cambria" w:cs="Courier New"/>
        </w:rPr>
      </w:pPr>
    </w:p>
    <w:p w14:paraId="275EDDE2" w14:textId="77777777" w:rsidR="00DF4522" w:rsidRDefault="00DF4522" w:rsidP="00DF4522">
      <w:pPr>
        <w:spacing w:line="360" w:lineRule="auto"/>
        <w:jc w:val="both"/>
        <w:rPr>
          <w:rFonts w:ascii="Cambria" w:hAnsi="Cambria" w:cs="Courier New"/>
        </w:rPr>
      </w:pPr>
    </w:p>
    <w:p w14:paraId="7D72EE94" w14:textId="77777777" w:rsidR="00DF4522" w:rsidRPr="00C84FC3" w:rsidRDefault="00DF4522" w:rsidP="00DF4522">
      <w:pPr>
        <w:jc w:val="both"/>
        <w:rPr>
          <w:rFonts w:ascii="Cambria" w:hAnsi="Cambria" w:cs="Courier New"/>
          <w:color w:val="FF0000"/>
          <w:sz w:val="20"/>
          <w:szCs w:val="20"/>
        </w:rPr>
      </w:pPr>
      <w:r w:rsidRPr="00C84FC3">
        <w:rPr>
          <w:rFonts w:ascii="Cambria" w:hAnsi="Cambria" w:cs="Courier New"/>
          <w:b/>
          <w:sz w:val="20"/>
          <w:szCs w:val="20"/>
        </w:rPr>
        <w:t>Figure 5.</w:t>
      </w:r>
      <w:r w:rsidRPr="00C84FC3">
        <w:rPr>
          <w:rFonts w:ascii="Cambria" w:hAnsi="Cambria" w:cs="Courier New"/>
          <w:sz w:val="20"/>
          <w:szCs w:val="20"/>
        </w:rPr>
        <w:t xml:space="preserve"> The diurnal accumulation of total non-structural carbohydrates (TNC), equivalent to the carbon pool available for nocturnal use or export in the leaf, leaf sheath and root, in annual barley (solid line) and perennial barley (dashed line). Data show the mean pre-dawn concentrations subtracted from mean pre-dusk concentrations, expressed in µ</w:t>
      </w:r>
      <w:proofErr w:type="spellStart"/>
      <w:r w:rsidRPr="00C84FC3">
        <w:rPr>
          <w:rFonts w:ascii="Cambria" w:hAnsi="Cambria" w:cs="Courier New"/>
          <w:sz w:val="20"/>
          <w:szCs w:val="20"/>
        </w:rPr>
        <w:t>mol</w:t>
      </w:r>
      <w:proofErr w:type="spellEnd"/>
      <w:r w:rsidRPr="00C84FC3">
        <w:rPr>
          <w:rFonts w:ascii="Cambria" w:hAnsi="Cambria" w:cs="Courier New"/>
          <w:sz w:val="20"/>
          <w:szCs w:val="20"/>
        </w:rPr>
        <w:t xml:space="preserve"> glucose equivalents per g carbohydrate-corrected dry weight (CCDW).  Different plants were harvested at dawn and dusk, so standard errors cannot be calculated for these data (raw data presented in Table S1).</w:t>
      </w:r>
    </w:p>
    <w:p w14:paraId="3D37AEE8" w14:textId="77777777" w:rsidR="00DF4522" w:rsidRDefault="00DF4522" w:rsidP="00DF4522">
      <w:pPr>
        <w:spacing w:line="360" w:lineRule="auto"/>
        <w:jc w:val="both"/>
        <w:rPr>
          <w:rFonts w:ascii="Cambria" w:hAnsi="Cambria" w:cs="Courier New"/>
          <w:b/>
        </w:rPr>
      </w:pPr>
    </w:p>
    <w:p w14:paraId="1C3DDFF6" w14:textId="77777777" w:rsidR="00DF4522" w:rsidRDefault="00DF4522" w:rsidP="00DF4522">
      <w:pPr>
        <w:spacing w:line="360" w:lineRule="auto"/>
        <w:jc w:val="both"/>
        <w:rPr>
          <w:rFonts w:ascii="Cambria" w:hAnsi="Cambria" w:cs="Courier New"/>
          <w:b/>
        </w:rPr>
      </w:pPr>
    </w:p>
    <w:p w14:paraId="0CC5A681" w14:textId="77777777" w:rsidR="00DF4522" w:rsidRPr="00531789" w:rsidRDefault="00DF4522" w:rsidP="00DF4522">
      <w:pPr>
        <w:spacing w:line="360" w:lineRule="auto"/>
        <w:jc w:val="both"/>
        <w:rPr>
          <w:rFonts w:ascii="Cambria" w:hAnsi="Cambria" w:cs="Courier New"/>
          <w:b/>
        </w:rPr>
      </w:pPr>
    </w:p>
    <w:p w14:paraId="0D7563E7" w14:textId="77777777" w:rsidR="00CF4E6F" w:rsidRDefault="00CF4E6F" w:rsidP="00DF4522">
      <w:pPr>
        <w:spacing w:line="360" w:lineRule="auto"/>
        <w:jc w:val="both"/>
        <w:rPr>
          <w:rFonts w:ascii="Cambria" w:hAnsi="Cambria" w:cs="Courier New"/>
          <w:b/>
        </w:rPr>
      </w:pPr>
    </w:p>
    <w:p w14:paraId="159156F1"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b/>
        </w:rPr>
        <w:t>Perennial barley accumulates more free amino acids than the annual species</w:t>
      </w:r>
    </w:p>
    <w:p w14:paraId="03C1183F" w14:textId="77777777" w:rsidR="00DF4522" w:rsidRPr="00531789" w:rsidRDefault="00DF4522" w:rsidP="00DF4522">
      <w:pPr>
        <w:spacing w:line="360" w:lineRule="auto"/>
        <w:jc w:val="both"/>
        <w:rPr>
          <w:rFonts w:ascii="Cambria" w:hAnsi="Cambria" w:cs="Courier New"/>
          <w:b/>
        </w:rPr>
      </w:pPr>
    </w:p>
    <w:p w14:paraId="21CBE14F" w14:textId="4930518C" w:rsidR="00DF4522" w:rsidRPr="00531789" w:rsidRDefault="00DF4522" w:rsidP="00DF4522">
      <w:pPr>
        <w:spacing w:line="360" w:lineRule="auto"/>
        <w:jc w:val="both"/>
        <w:rPr>
          <w:rFonts w:ascii="Cambria" w:hAnsi="Cambria" w:cs="Courier New"/>
        </w:rPr>
      </w:pPr>
      <w:r w:rsidRPr="00531789">
        <w:rPr>
          <w:rFonts w:ascii="Cambria" w:hAnsi="Cambria" w:cs="Courier New"/>
        </w:rPr>
        <w:t xml:space="preserve">Free amino acids are an indicator of source limitation </w:t>
      </w:r>
      <w:r w:rsidRPr="00531789">
        <w:rPr>
          <w:rFonts w:ascii="Cambria" w:hAnsi="Cambria" w:cs="Courier New"/>
        </w:rPr>
        <w:fldChar w:fldCharType="begin" w:fldLock="1"/>
      </w:r>
      <w:r>
        <w:rPr>
          <w:rFonts w:ascii="Cambria" w:hAnsi="Cambria" w:cs="Courier New"/>
        </w:rPr>
        <w:instrText>ADDIN CSL_CITATION { "citationItems" : [ { "id" : "ITEM-1", "itemData" : { "DOI" : "10.1046/j.1365-3040.2000.00583.x", "ISSN" : "01407791", "PMID" : "4284", "abstract" : "ABSTRACT Lolium perenne, a main component species in managed grassland, is well adapted to defoliation, fertilization, and regrowth cycles; and hence, to changes in the assimilatory carbon source-sink ratio. In the Swiss Free Air CO2 Enrichment experiment the source-sink ratio is (i) increased by elevated partial pressure of CO2 (pCO2), (ii) decreased by enhanced carbon use under high N fertilization, and (iii) gradually increased during regrowth after defoliation. Since sucrose synthesis plays a central role in leaf carbohydrate metabolism in this fructan-accumulating species, we investigated how sucrose-phosphate synthase (SPS) responds to the differing assimilatory carbon fluxes and source-sink ratios in the field. Assimilatory carbon flux, as estimated by leaf gas exchange, strongly depended on pCO2. Surprisingly, the SPS content per leaf area did not increase with pCO2, but increased with N fertilization. During later regrowth, when a dense canopy had formed, the SPS content decreased; in particular, SPS was decreased at high N under elevated pCO2. Further, the higher assimilatory carbon flux through SPS at elevated pCO2 was accompanied by a higher activation state of SPS. The SPS content correlated very strongly with the ratio of free sucrose to free amino acid in leaves, which represents the carbon source-sink ratio. Hence, SPS content in L. perenne appears to be regulated by the current, strongly nitrogen-dependent, source-sink relation.", "author" : [ { "dropping-particle" : "", "family" : "Isopp", "given" : "H.", "non-dropping-particle" : "", "parse-names" : false, "suffix" : "" }, { "dropping-particle" : "", "family" : "Frehner", "given" : "M.", "non-dropping-particle" : "", "parse-names" : false, "suffix" : "" }, { "dropping-particle" : "", "family" : "Long", "given" : "S. P.", "non-dropping-particle" : "", "parse-names" : false, "suffix" : "" }, { "dropping-particle" : "", "family" : "N\u00f6sberger", "given" : "J.", "non-dropping-particle" : "", "parse-names" : false, "suffix" : "" } ], "container-title" : "Plant, Cell and Environment", "id" : "ITEM-1", "issued" : { "date-parts" : [ [ "2000" ] ] }, "page" : "597-607", "title" : "Sucrose-phosphate synthase responds differently to source-sink relations and to photosynthetic rates: Lolium perenne L. growing at elevated p(CO2) in the field", "type" : "article-journal", "volume" : "23" }, "uris" : [ "http://www.mendeley.com/documents/?uuid=c2cb93b7-f751-46ba-b6ad-a77f9f36afdf" ] }, { "id" : "ITEM-2", "itemData" : { "DOI" : "10.1046/j.1365-3040.1999.00386.x", "ISSN" : "0140-7791", "author" : [ { "dropping-particle" : "", "family" : "Stitt", "given" : "M.", "non-dropping-particle" : "", "parse-names" : false, "suffix" : "" }, { "dropping-particle" : "", "family" : "Krapp", "given" : "A.", "non-dropping-particle" : "", "parse-names" : false, "suffix" : "" } ], "container-title" : "Plant, Cell &amp; Environment", "id" : "ITEM-2", "issue" : "6", "issued" : { "date-parts" : [ [ "1999", "6" ] ] }, "page" : "583-621", "title" : "The interaction between elevated carbon dioxide and nitrogen nutrition: the physiological and molecular background", "type" : "article-journal", "volume" : "22" }, "uris" : [ "http://www.mendeley.com/documents/?uuid=12d0f917-f3d6-43c6-92fa-0d13f38659a0" ] }, { "id" : "ITEM-3", "itemData" : { "DOI" : "10.1046/j.1365-3040.1997.d01-17.x", "ISSN" : "0140-7791", "author" : [ { "dropping-particle" : "", "family" : "Paul", "given" : "M. J.", "non-dropping-particle" : "", "parse-names" : false, "suffix" : "" }, { "dropping-particle" : "", "family" : "Driscoll", "given" : "S. P.", "non-dropping-particle" : "", "parse-names" : false, "suffix" : "" } ], "container-title" : "Plant, Cell &amp; Environment", "id" : "ITEM-3", "issue" : "1", "issued" : { "date-parts" : [ [ "1997", "1" ] ] }, "page" : "110-116", "title" : "Sugar repression of photosynthesis: the role of carbohydrates in signalling nitrogen deficiency through source:sink imbalance", "type" : "article-journal", "volume" : "20" }, "uris" : [ "http://www.mendeley.com/documents/?uuid=3d653e08-ab32-4dc7-9d29-fef13b1e5636" ] } ], "mendeley" : { "formattedCitation" : "(Paul and Driscoll, 1997; Stitt and Krapp, 1999; Isopp &lt;i&gt;et al.&lt;/i&gt;, 2000)", "plainTextFormattedCitation" : "(Paul and Driscoll, 1997; Stitt and Krapp, 1999; Isopp et al., 2000)", "previouslyFormattedCitation" : "(Paul and Driscoll, 1997; Stitt and Krapp, 1999; Isopp &lt;i&gt;et al.&lt;/i&gt;, 2000)" }, "properties" : { "noteIndex" : 0 }, "schema" : "https://github.com/citation-style-language/schema/raw/master/csl-citation.json" }</w:instrText>
      </w:r>
      <w:r w:rsidRPr="00531789">
        <w:rPr>
          <w:rFonts w:ascii="Cambria" w:hAnsi="Cambria" w:cs="Courier New"/>
        </w:rPr>
        <w:fldChar w:fldCharType="separate"/>
      </w:r>
      <w:r w:rsidRPr="002C5907">
        <w:rPr>
          <w:rFonts w:ascii="Cambria" w:hAnsi="Cambria" w:cs="Courier New"/>
          <w:noProof/>
        </w:rPr>
        <w:t xml:space="preserve">(Paul and Driscoll, 1997; Stitt and Krapp, 1999; Isopp </w:t>
      </w:r>
      <w:r w:rsidRPr="002C5907">
        <w:rPr>
          <w:rFonts w:ascii="Cambria" w:hAnsi="Cambria" w:cs="Courier New"/>
          <w:i/>
          <w:noProof/>
        </w:rPr>
        <w:t>et al.</w:t>
      </w:r>
      <w:r w:rsidRPr="002C5907">
        <w:rPr>
          <w:rFonts w:ascii="Cambria" w:hAnsi="Cambria" w:cs="Courier New"/>
          <w:noProof/>
        </w:rPr>
        <w:t>, 2000)</w:t>
      </w:r>
      <w:r w:rsidRPr="00531789">
        <w:rPr>
          <w:rFonts w:ascii="Cambria" w:hAnsi="Cambria" w:cs="Courier New"/>
        </w:rPr>
        <w:fldChar w:fldCharType="end"/>
      </w:r>
      <w:r w:rsidRPr="00531789">
        <w:rPr>
          <w:rFonts w:ascii="Cambria" w:hAnsi="Cambria" w:cs="Courier New"/>
        </w:rPr>
        <w:t xml:space="preserve">.  A high free amino acid concentration or high amino </w:t>
      </w:r>
      <w:proofErr w:type="spellStart"/>
      <w:r w:rsidRPr="00531789">
        <w:rPr>
          <w:rFonts w:ascii="Cambria" w:hAnsi="Cambria" w:cs="Courier New"/>
        </w:rPr>
        <w:t>acid:sucrose</w:t>
      </w:r>
      <w:proofErr w:type="spellEnd"/>
      <w:r w:rsidRPr="00531789">
        <w:rPr>
          <w:rFonts w:ascii="Cambria" w:hAnsi="Cambria" w:cs="Courier New"/>
        </w:rPr>
        <w:t xml:space="preserve"> ratio reflects a surplus of available nitrogen for biosynthesis, since source limited plants lack </w:t>
      </w:r>
      <w:r>
        <w:rPr>
          <w:rFonts w:ascii="Cambria" w:hAnsi="Cambria" w:cs="Courier New"/>
        </w:rPr>
        <w:t xml:space="preserve">sufficient </w:t>
      </w:r>
      <w:r w:rsidRPr="00531789">
        <w:rPr>
          <w:rFonts w:ascii="Cambria" w:hAnsi="Cambria" w:cs="Courier New"/>
        </w:rPr>
        <w:t xml:space="preserve">carbon to use along with this nitrogen for growth and development.  The perennial has a higher </w:t>
      </w:r>
      <w:r w:rsidR="00CF4E6F">
        <w:rPr>
          <w:rFonts w:ascii="Cambria" w:hAnsi="Cambria" w:cs="Courier New"/>
        </w:rPr>
        <w:t xml:space="preserve">leaf </w:t>
      </w:r>
      <w:r w:rsidRPr="00531789">
        <w:rPr>
          <w:rFonts w:ascii="Cambria" w:hAnsi="Cambria" w:cs="Courier New"/>
        </w:rPr>
        <w:t>concentration of free amino acids than the annual (Fig. 6).  In both annual and perennial, free amino acid concentration is highest at 180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rPr>
        <w:softHyphen/>
      </w:r>
      <w:r w:rsidRPr="00531789">
        <w:rPr>
          <w:rFonts w:ascii="Cambria" w:hAnsi="Cambria" w:cs="Courier New"/>
          <w:vertAlign w:val="subscript"/>
        </w:rPr>
        <w:t>2</w:t>
      </w:r>
      <w:r w:rsidRPr="00531789">
        <w:rPr>
          <w:rFonts w:ascii="Cambria" w:hAnsi="Cambria" w:cs="Courier New"/>
        </w:rPr>
        <w:t>, which implies a carbon source limitation, and decreases as [CO</w:t>
      </w:r>
      <w:r w:rsidRPr="00531789">
        <w:rPr>
          <w:rFonts w:ascii="Cambria" w:hAnsi="Cambria" w:cs="Courier New"/>
          <w:vertAlign w:val="subscript"/>
        </w:rPr>
        <w:t>2</w:t>
      </w:r>
      <w:r w:rsidRPr="00531789">
        <w:rPr>
          <w:rFonts w:ascii="Cambria" w:hAnsi="Cambria" w:cs="Courier New"/>
        </w:rPr>
        <w:t>] increases (Fig. 6).  Before dawn, amino acid concentration is 41% greater in the perennial than the annual at 180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127% greater in the perennial at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and 12% greater in the perennial at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xml:space="preserve"> (Fig. 6A).  Before dusk, amino acid concentration is 67% greater in the perennial than the annual at 180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47% greater in the perennial at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and 64% greater in the perennial at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xml:space="preserve"> (Fig. 6B).</w:t>
      </w:r>
    </w:p>
    <w:p w14:paraId="258F64EC" w14:textId="77777777" w:rsidR="00DF4522" w:rsidRPr="00531789" w:rsidRDefault="00DF4522" w:rsidP="00DF4522">
      <w:pPr>
        <w:spacing w:line="360" w:lineRule="auto"/>
        <w:jc w:val="both"/>
        <w:rPr>
          <w:rFonts w:ascii="Cambria" w:hAnsi="Cambria" w:cs="Courier New"/>
        </w:rPr>
      </w:pPr>
    </w:p>
    <w:p w14:paraId="091F87AE" w14:textId="5DB5406C" w:rsidR="00DF4522" w:rsidRDefault="00DF4522" w:rsidP="00DF4522">
      <w:pPr>
        <w:spacing w:line="360" w:lineRule="auto"/>
        <w:jc w:val="both"/>
        <w:rPr>
          <w:rFonts w:ascii="Cambria" w:hAnsi="Cambria" w:cs="Courier New"/>
        </w:rPr>
      </w:pPr>
      <w:r w:rsidRPr="00531789">
        <w:rPr>
          <w:rFonts w:ascii="Cambria" w:hAnsi="Cambria" w:cs="Courier New"/>
        </w:rPr>
        <w:t>There was a highly significant organ x species x [CO</w:t>
      </w:r>
      <w:r w:rsidRPr="00531789">
        <w:rPr>
          <w:rFonts w:ascii="Cambria" w:hAnsi="Cambria" w:cs="Courier New"/>
          <w:vertAlign w:val="subscript"/>
        </w:rPr>
        <w:t>2</w:t>
      </w:r>
      <w:r w:rsidRPr="00531789">
        <w:rPr>
          <w:rFonts w:ascii="Cambria" w:hAnsi="Cambria" w:cs="Courier New"/>
        </w:rPr>
        <w:t>] interaction for free amino acid concentration: F</w:t>
      </w:r>
      <w:r w:rsidRPr="00531789">
        <w:rPr>
          <w:rFonts w:ascii="Cambria" w:hAnsi="Cambria" w:cs="Courier New"/>
          <w:vertAlign w:val="subscript"/>
        </w:rPr>
        <w:t xml:space="preserve">(4,117) </w:t>
      </w:r>
      <w:r w:rsidRPr="00531789">
        <w:rPr>
          <w:rFonts w:ascii="Cambria" w:hAnsi="Cambria" w:cs="Courier New"/>
        </w:rPr>
        <w:t>= 9.3, p&lt;0.001.    A similar trend for the two species and three CO</w:t>
      </w:r>
      <w:r w:rsidRPr="00531789">
        <w:rPr>
          <w:rFonts w:ascii="Cambria" w:hAnsi="Cambria" w:cs="Courier New"/>
          <w:vertAlign w:val="subscript"/>
        </w:rPr>
        <w:t>2</w:t>
      </w:r>
      <w:r w:rsidRPr="00531789">
        <w:rPr>
          <w:rFonts w:ascii="Cambria" w:hAnsi="Cambria" w:cs="Courier New"/>
        </w:rPr>
        <w:t xml:space="preserve"> levels is seen for free nitrate (data shown in summary form in Fig. 8) and there was also a significant organ x species x [CO</w:t>
      </w:r>
      <w:r w:rsidRPr="00531789">
        <w:rPr>
          <w:rFonts w:ascii="Cambria" w:hAnsi="Cambria" w:cs="Courier New"/>
          <w:vertAlign w:val="subscript"/>
        </w:rPr>
        <w:t>2</w:t>
      </w:r>
      <w:r w:rsidRPr="00531789">
        <w:rPr>
          <w:rFonts w:ascii="Cambria" w:hAnsi="Cambria" w:cs="Courier New"/>
        </w:rPr>
        <w:t>] interaction for these data: F</w:t>
      </w:r>
      <w:r w:rsidRPr="00531789">
        <w:rPr>
          <w:rFonts w:ascii="Cambria" w:hAnsi="Cambria" w:cs="Courier New"/>
          <w:vertAlign w:val="subscript"/>
        </w:rPr>
        <w:t xml:space="preserve">(4,116) </w:t>
      </w:r>
      <w:r w:rsidRPr="00531789">
        <w:rPr>
          <w:rFonts w:ascii="Cambria" w:hAnsi="Cambria" w:cs="Courier New"/>
        </w:rPr>
        <w:t xml:space="preserve">= 6.9, p&lt;0.001.  </w:t>
      </w:r>
    </w:p>
    <w:p w14:paraId="1EE219A9" w14:textId="77777777" w:rsidR="00CC04DC" w:rsidRDefault="00CC04DC" w:rsidP="00CC04DC">
      <w:pPr>
        <w:spacing w:line="360" w:lineRule="auto"/>
        <w:jc w:val="both"/>
        <w:rPr>
          <w:rFonts w:ascii="Cambria" w:hAnsi="Cambria" w:cs="Courier New"/>
        </w:rPr>
      </w:pPr>
    </w:p>
    <w:p w14:paraId="62FF1C05" w14:textId="77777777" w:rsidR="00CC04DC" w:rsidRPr="00531789" w:rsidRDefault="00CC04DC" w:rsidP="00CC04DC">
      <w:pPr>
        <w:spacing w:line="360" w:lineRule="auto"/>
        <w:jc w:val="both"/>
        <w:rPr>
          <w:rFonts w:ascii="Cambria" w:hAnsi="Cambria" w:cs="Courier New"/>
          <w:b/>
        </w:rPr>
      </w:pPr>
      <w:r w:rsidRPr="00531789">
        <w:rPr>
          <w:rFonts w:ascii="Cambria" w:hAnsi="Cambria" w:cs="Courier New"/>
        </w:rPr>
        <w:t xml:space="preserve">The perennial also has a higher free amino </w:t>
      </w:r>
      <w:proofErr w:type="spellStart"/>
      <w:r w:rsidRPr="00531789">
        <w:rPr>
          <w:rFonts w:ascii="Cambria" w:hAnsi="Cambria" w:cs="Courier New"/>
        </w:rPr>
        <w:t>acid:sucrose</w:t>
      </w:r>
      <w:proofErr w:type="spellEnd"/>
      <w:r w:rsidRPr="00531789">
        <w:rPr>
          <w:rFonts w:ascii="Cambria" w:hAnsi="Cambria" w:cs="Courier New"/>
        </w:rPr>
        <w:t xml:space="preserve"> ratio than the annual (Fig. 7), indicative of carbon source limitation.  This ratio is higher pre-dawn since sucrose accumulates during the day.  For leaves, there is a significant species x [CO</w:t>
      </w:r>
      <w:r w:rsidRPr="00531789">
        <w:rPr>
          <w:rFonts w:ascii="Cambria" w:hAnsi="Cambria" w:cs="Courier New"/>
          <w:vertAlign w:val="subscript"/>
        </w:rPr>
        <w:t>2</w:t>
      </w:r>
      <w:r w:rsidRPr="00531789">
        <w:rPr>
          <w:rFonts w:ascii="Cambria" w:hAnsi="Cambria" w:cs="Courier New"/>
        </w:rPr>
        <w:t>] x time of day interaction: F</w:t>
      </w:r>
      <w:r w:rsidRPr="00531789">
        <w:rPr>
          <w:rFonts w:ascii="Cambria" w:hAnsi="Cambria" w:cs="Courier New"/>
          <w:vertAlign w:val="subscript"/>
        </w:rPr>
        <w:t>(1,70)</w:t>
      </w:r>
      <w:r w:rsidRPr="00531789">
        <w:rPr>
          <w:rFonts w:ascii="Cambria" w:hAnsi="Cambria" w:cs="Courier New"/>
        </w:rPr>
        <w:t xml:space="preserve"> = 13, p&lt;0.001.</w:t>
      </w:r>
    </w:p>
    <w:p w14:paraId="650427FA" w14:textId="77777777" w:rsidR="00DF4522" w:rsidRDefault="00DF4522" w:rsidP="00DF4522">
      <w:pPr>
        <w:spacing w:line="360" w:lineRule="auto"/>
        <w:jc w:val="both"/>
        <w:rPr>
          <w:rFonts w:ascii="Cambria" w:hAnsi="Cambria" w:cs="Courier New"/>
        </w:rPr>
      </w:pPr>
    </w:p>
    <w:p w14:paraId="6B7E82ED" w14:textId="77777777" w:rsidR="00DF4522" w:rsidRDefault="00DF4522" w:rsidP="00DF4522">
      <w:pPr>
        <w:spacing w:line="360" w:lineRule="auto"/>
        <w:jc w:val="both"/>
        <w:rPr>
          <w:rFonts w:ascii="Cambria" w:hAnsi="Cambria" w:cs="Courier New"/>
        </w:rPr>
      </w:pPr>
    </w:p>
    <w:p w14:paraId="6F71A785" w14:textId="77777777" w:rsidR="00DF4522" w:rsidRDefault="00DF4522" w:rsidP="00DF4522">
      <w:pPr>
        <w:spacing w:line="360" w:lineRule="auto"/>
        <w:jc w:val="both"/>
        <w:rPr>
          <w:rFonts w:ascii="Cambria" w:hAnsi="Cambria" w:cs="Courier New"/>
        </w:rPr>
      </w:pPr>
    </w:p>
    <w:p w14:paraId="76348908" w14:textId="77777777" w:rsidR="00DF4522" w:rsidRDefault="00DF4522" w:rsidP="00DF4522">
      <w:pPr>
        <w:spacing w:line="360" w:lineRule="auto"/>
        <w:jc w:val="both"/>
        <w:rPr>
          <w:rFonts w:ascii="Cambria" w:hAnsi="Cambria" w:cs="Courier New"/>
        </w:rPr>
      </w:pPr>
    </w:p>
    <w:p w14:paraId="6FE2CB6C" w14:textId="77777777" w:rsidR="00CC04DC" w:rsidRDefault="00CC04DC" w:rsidP="00DF4522">
      <w:pPr>
        <w:spacing w:line="360" w:lineRule="auto"/>
        <w:jc w:val="both"/>
        <w:rPr>
          <w:rFonts w:ascii="Cambria" w:hAnsi="Cambria" w:cs="Courier New"/>
        </w:rPr>
      </w:pPr>
    </w:p>
    <w:p w14:paraId="6AA2E5BE" w14:textId="77777777" w:rsidR="00CC04DC" w:rsidRDefault="00CC04DC" w:rsidP="00DF4522">
      <w:pPr>
        <w:spacing w:line="360" w:lineRule="auto"/>
        <w:jc w:val="both"/>
        <w:rPr>
          <w:rFonts w:ascii="Cambria" w:hAnsi="Cambria" w:cs="Courier New"/>
        </w:rPr>
      </w:pPr>
    </w:p>
    <w:p w14:paraId="06549F71" w14:textId="77777777" w:rsidR="00CC04DC" w:rsidRDefault="00CC04DC" w:rsidP="00DF4522">
      <w:pPr>
        <w:spacing w:line="360" w:lineRule="auto"/>
        <w:jc w:val="both"/>
        <w:rPr>
          <w:rFonts w:ascii="Cambria" w:hAnsi="Cambria" w:cs="Courier New"/>
        </w:rPr>
      </w:pPr>
    </w:p>
    <w:p w14:paraId="7775575D" w14:textId="77777777" w:rsidR="00CC04DC" w:rsidRDefault="00CC04DC" w:rsidP="00DF4522">
      <w:pPr>
        <w:spacing w:line="360" w:lineRule="auto"/>
        <w:jc w:val="both"/>
        <w:rPr>
          <w:rFonts w:ascii="Cambria" w:hAnsi="Cambria" w:cs="Courier New"/>
        </w:rPr>
      </w:pPr>
    </w:p>
    <w:p w14:paraId="5879F184" w14:textId="77777777" w:rsidR="00DF4522" w:rsidRDefault="00DF4522" w:rsidP="00DF4522">
      <w:pPr>
        <w:spacing w:line="360" w:lineRule="auto"/>
        <w:jc w:val="both"/>
        <w:rPr>
          <w:rFonts w:ascii="Cambria" w:hAnsi="Cambria" w:cs="Courier New"/>
        </w:rPr>
      </w:pPr>
      <w:r>
        <w:rPr>
          <w:rFonts w:ascii="Cambria" w:hAnsi="Cambria" w:cs="Courier New"/>
          <w:noProof/>
          <w:lang w:val="en-US"/>
        </w:rPr>
        <w:drawing>
          <wp:inline distT="0" distB="0" distL="0" distR="0" wp14:anchorId="0315794E" wp14:editId="69DB4E05">
            <wp:extent cx="2518348" cy="1872501"/>
            <wp:effectExtent l="0" t="0" r="0" b="7620"/>
            <wp:docPr id="16" name="Picture 16" descr="Macintosh HD:Users:angelawhite:Dropbox:University of Sheffield:Publishing:CO2 Barley 2014 Research Paper:Final Figures:Fig. 6 Amino Acids Panel:A, aminos leaf da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angelawhite:Dropbox:University of Sheffield:Publishing:CO2 Barley 2014 Research Paper:Final Figures:Fig. 6 Amino Acids Panel:A, aminos leaf dawn.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20112" cy="1873813"/>
                    </a:xfrm>
                    <a:prstGeom prst="rect">
                      <a:avLst/>
                    </a:prstGeom>
                    <a:noFill/>
                    <a:ln>
                      <a:noFill/>
                    </a:ln>
                  </pic:spPr>
                </pic:pic>
              </a:graphicData>
            </a:graphic>
          </wp:inline>
        </w:drawing>
      </w:r>
      <w:r>
        <w:rPr>
          <w:rFonts w:ascii="Cambria" w:hAnsi="Cambria" w:cs="Courier New"/>
          <w:noProof/>
          <w:lang w:val="en-US"/>
        </w:rPr>
        <w:drawing>
          <wp:inline distT="0" distB="0" distL="0" distR="0" wp14:anchorId="1D4D07DD" wp14:editId="2F335EEF">
            <wp:extent cx="2518348" cy="1872501"/>
            <wp:effectExtent l="0" t="0" r="0" b="7620"/>
            <wp:docPr id="33" name="Picture 33" descr="Macintosh HD:Users:angelawhite:Dropbox:University of Sheffield:Publishing:CO2 Barley 2014 Research Paper:Final Figures:Fig. 6 Amino Acids Panel:B, aminos leaf dus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angelawhite:Dropbox:University of Sheffield:Publishing:CO2 Barley 2014 Research Paper:Final Figures:Fig. 6 Amino Acids Panel:B, aminos leaf dusk.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19259" cy="1873178"/>
                    </a:xfrm>
                    <a:prstGeom prst="rect">
                      <a:avLst/>
                    </a:prstGeom>
                    <a:noFill/>
                    <a:ln>
                      <a:noFill/>
                    </a:ln>
                  </pic:spPr>
                </pic:pic>
              </a:graphicData>
            </a:graphic>
          </wp:inline>
        </w:drawing>
      </w:r>
    </w:p>
    <w:p w14:paraId="5933274C" w14:textId="77777777" w:rsidR="00DF4522" w:rsidRDefault="00DF4522" w:rsidP="00DF4522">
      <w:pPr>
        <w:spacing w:line="360" w:lineRule="auto"/>
        <w:jc w:val="both"/>
        <w:rPr>
          <w:rFonts w:ascii="Cambria" w:hAnsi="Cambria" w:cs="Courier New"/>
        </w:rPr>
      </w:pPr>
    </w:p>
    <w:p w14:paraId="1A77805A" w14:textId="77777777" w:rsidR="00DF4522" w:rsidRPr="00C84FC3" w:rsidRDefault="00DF4522" w:rsidP="00DF4522">
      <w:pPr>
        <w:jc w:val="both"/>
        <w:rPr>
          <w:rFonts w:ascii="Cambria" w:hAnsi="Cambria" w:cs="Courier New"/>
          <w:sz w:val="20"/>
          <w:szCs w:val="20"/>
        </w:rPr>
      </w:pPr>
      <w:r w:rsidRPr="00C84FC3">
        <w:rPr>
          <w:rFonts w:ascii="Cambria" w:hAnsi="Cambria" w:cs="Courier New"/>
          <w:b/>
          <w:sz w:val="20"/>
          <w:szCs w:val="20"/>
        </w:rPr>
        <w:t>Figure 6.</w:t>
      </w:r>
      <w:r w:rsidRPr="00C84FC3">
        <w:rPr>
          <w:rFonts w:ascii="Cambria" w:hAnsi="Cambria" w:cs="Courier New"/>
          <w:sz w:val="20"/>
          <w:szCs w:val="20"/>
        </w:rPr>
        <w:t xml:space="preserve"> Free amino acid concentration is higher in perennial barley (dashed line) than annual barley (solid line). A, pre-dawn; B, pre-dusk.   Data are expressed in µ</w:t>
      </w:r>
      <w:proofErr w:type="spellStart"/>
      <w:r w:rsidRPr="00C84FC3">
        <w:rPr>
          <w:rFonts w:ascii="Cambria" w:hAnsi="Cambria" w:cs="Courier New"/>
          <w:sz w:val="20"/>
          <w:szCs w:val="20"/>
        </w:rPr>
        <w:t>mol</w:t>
      </w:r>
      <w:proofErr w:type="spellEnd"/>
      <w:r w:rsidRPr="00C84FC3">
        <w:rPr>
          <w:rFonts w:ascii="Cambria" w:hAnsi="Cambria" w:cs="Courier New"/>
          <w:sz w:val="20"/>
          <w:szCs w:val="20"/>
        </w:rPr>
        <w:t xml:space="preserve"> amino groups per g carbohydrate-corrected dry weight (CCDW).  Data show mean ± SE (annual n=9, perennial n=6).</w:t>
      </w:r>
    </w:p>
    <w:p w14:paraId="7583CC31" w14:textId="77777777" w:rsidR="00DF4522" w:rsidRDefault="00DF4522" w:rsidP="00DF4522">
      <w:pPr>
        <w:spacing w:line="360" w:lineRule="auto"/>
        <w:jc w:val="both"/>
        <w:rPr>
          <w:rFonts w:ascii="Cambria" w:hAnsi="Cambria" w:cs="Courier New"/>
        </w:rPr>
      </w:pPr>
    </w:p>
    <w:p w14:paraId="5C3D6949" w14:textId="77777777" w:rsidR="00DF4522" w:rsidRDefault="00DF4522" w:rsidP="00DF4522">
      <w:pPr>
        <w:spacing w:line="360" w:lineRule="auto"/>
        <w:jc w:val="both"/>
        <w:rPr>
          <w:rFonts w:ascii="Cambria" w:hAnsi="Cambria" w:cs="Courier New"/>
        </w:rPr>
      </w:pPr>
    </w:p>
    <w:p w14:paraId="77337A9F" w14:textId="77777777" w:rsidR="00DF4522" w:rsidRDefault="00DF4522" w:rsidP="00DF4522">
      <w:pPr>
        <w:spacing w:line="360" w:lineRule="auto"/>
        <w:jc w:val="both"/>
        <w:rPr>
          <w:rFonts w:ascii="Cambria" w:hAnsi="Cambria" w:cs="Courier New"/>
          <w:b/>
        </w:rPr>
      </w:pPr>
    </w:p>
    <w:p w14:paraId="6BA57628" w14:textId="77777777" w:rsidR="00CC04DC" w:rsidRDefault="00CC04DC" w:rsidP="00DF4522">
      <w:pPr>
        <w:spacing w:line="360" w:lineRule="auto"/>
        <w:jc w:val="both"/>
        <w:rPr>
          <w:rFonts w:ascii="Cambria" w:hAnsi="Cambria" w:cs="Courier New"/>
          <w:b/>
        </w:rPr>
      </w:pPr>
    </w:p>
    <w:p w14:paraId="0CF41CC0" w14:textId="77777777" w:rsidR="00DF4522" w:rsidRDefault="00DF4522" w:rsidP="00DF4522">
      <w:pPr>
        <w:spacing w:line="360" w:lineRule="auto"/>
        <w:jc w:val="both"/>
        <w:rPr>
          <w:rFonts w:ascii="Cambria" w:hAnsi="Cambria" w:cs="Courier New"/>
          <w:b/>
        </w:rPr>
      </w:pPr>
    </w:p>
    <w:p w14:paraId="0BFFB650" w14:textId="77777777" w:rsidR="00DF4522" w:rsidRDefault="00DF4522" w:rsidP="00DF4522">
      <w:pPr>
        <w:spacing w:line="360" w:lineRule="auto"/>
        <w:jc w:val="both"/>
        <w:rPr>
          <w:rFonts w:ascii="Cambria" w:hAnsi="Cambria" w:cs="Courier New"/>
          <w:b/>
        </w:rPr>
      </w:pPr>
      <w:r>
        <w:rPr>
          <w:rFonts w:ascii="Cambria" w:hAnsi="Cambria" w:cs="Courier New"/>
          <w:b/>
        </w:rPr>
        <w:t xml:space="preserve">                          </w:t>
      </w:r>
      <w:r>
        <w:rPr>
          <w:rFonts w:ascii="Cambria" w:hAnsi="Cambria" w:cs="Courier New"/>
          <w:b/>
          <w:noProof/>
          <w:lang w:val="en-US"/>
        </w:rPr>
        <w:drawing>
          <wp:inline distT="0" distB="0" distL="0" distR="0" wp14:anchorId="60CDD2C2" wp14:editId="531B57CF">
            <wp:extent cx="2861248" cy="2127462"/>
            <wp:effectExtent l="0" t="0" r="9525" b="6350"/>
            <wp:docPr id="34" name="Picture 34" descr="Macintosh HD:Users:angelawhite:Dropbox:University of Sheffield:Publishing:CO2 Barley 2014 Research Paper:Final Figures:Fig. 7 AA SUC leaf da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angelawhite:Dropbox:University of Sheffield:Publishing:CO2 Barley 2014 Research Paper:Final Figures:Fig. 7 AA SUC leaf dawn.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61248" cy="2127462"/>
                    </a:xfrm>
                    <a:prstGeom prst="rect">
                      <a:avLst/>
                    </a:prstGeom>
                    <a:noFill/>
                    <a:ln>
                      <a:noFill/>
                    </a:ln>
                  </pic:spPr>
                </pic:pic>
              </a:graphicData>
            </a:graphic>
          </wp:inline>
        </w:drawing>
      </w:r>
    </w:p>
    <w:p w14:paraId="6C01D641" w14:textId="77777777" w:rsidR="00DF4522" w:rsidRDefault="00DF4522" w:rsidP="00DF4522">
      <w:pPr>
        <w:spacing w:line="360" w:lineRule="auto"/>
        <w:jc w:val="both"/>
        <w:rPr>
          <w:rFonts w:ascii="Cambria" w:hAnsi="Cambria" w:cs="Courier New"/>
          <w:b/>
        </w:rPr>
      </w:pPr>
    </w:p>
    <w:p w14:paraId="1D85687D" w14:textId="77777777" w:rsidR="00DF4522" w:rsidRPr="00C84FC3" w:rsidRDefault="00DF4522" w:rsidP="00DF4522">
      <w:pPr>
        <w:jc w:val="both"/>
        <w:rPr>
          <w:rFonts w:ascii="Cambria" w:hAnsi="Cambria" w:cs="Courier New"/>
          <w:sz w:val="20"/>
          <w:szCs w:val="20"/>
        </w:rPr>
      </w:pPr>
      <w:r w:rsidRPr="00C84FC3">
        <w:rPr>
          <w:rFonts w:ascii="Cambria" w:hAnsi="Cambria" w:cs="Courier New"/>
          <w:b/>
          <w:sz w:val="20"/>
          <w:szCs w:val="20"/>
        </w:rPr>
        <w:t xml:space="preserve">Figure 7.  </w:t>
      </w:r>
      <w:r w:rsidRPr="00C84FC3">
        <w:rPr>
          <w:rFonts w:ascii="Cambria" w:hAnsi="Cambria" w:cs="Courier New"/>
          <w:sz w:val="20"/>
          <w:szCs w:val="20"/>
        </w:rPr>
        <w:t>Ratio of free amino acids to free sucrose, an indicator of carbon source limitation, is higher in perennial barley (dashed line) than annual barley (solid line) at 180 and 400 µ</w:t>
      </w:r>
      <w:proofErr w:type="spellStart"/>
      <w:r w:rsidRPr="00C84FC3">
        <w:rPr>
          <w:rFonts w:ascii="Cambria" w:hAnsi="Cambria" w:cs="Courier New"/>
          <w:sz w:val="20"/>
          <w:szCs w:val="20"/>
        </w:rPr>
        <w:t>mol</w:t>
      </w:r>
      <w:proofErr w:type="spellEnd"/>
      <w:r w:rsidRPr="00C84FC3">
        <w:rPr>
          <w:rFonts w:ascii="Cambria" w:hAnsi="Cambria" w:cs="Courier New"/>
          <w:sz w:val="20"/>
          <w:szCs w:val="20"/>
        </w:rPr>
        <w:t xml:space="preserve"> mol</w:t>
      </w:r>
      <w:r w:rsidRPr="00C84FC3">
        <w:rPr>
          <w:rFonts w:ascii="Cambria" w:hAnsi="Cambria" w:cs="Courier New"/>
          <w:sz w:val="20"/>
          <w:szCs w:val="20"/>
          <w:vertAlign w:val="superscript"/>
        </w:rPr>
        <w:t>-1</w:t>
      </w:r>
      <w:r w:rsidRPr="00C84FC3">
        <w:rPr>
          <w:rFonts w:ascii="Cambria" w:hAnsi="Cambria" w:cs="Courier New"/>
          <w:sz w:val="20"/>
          <w:szCs w:val="20"/>
        </w:rPr>
        <w:t xml:space="preserve"> CO</w:t>
      </w:r>
      <w:r w:rsidRPr="00C84FC3">
        <w:rPr>
          <w:rFonts w:ascii="Cambria" w:hAnsi="Cambria" w:cs="Courier New"/>
          <w:sz w:val="20"/>
          <w:szCs w:val="20"/>
          <w:vertAlign w:val="subscript"/>
        </w:rPr>
        <w:t>2</w:t>
      </w:r>
      <w:r w:rsidRPr="00C84FC3">
        <w:rPr>
          <w:rFonts w:ascii="Cambria" w:hAnsi="Cambria" w:cs="Courier New"/>
          <w:sz w:val="20"/>
          <w:szCs w:val="20"/>
        </w:rPr>
        <w:t xml:space="preserve"> in leaves pre-dawn.  Metabolites are expressed in µ</w:t>
      </w:r>
      <w:proofErr w:type="spellStart"/>
      <w:r w:rsidRPr="00C84FC3">
        <w:rPr>
          <w:rFonts w:ascii="Cambria" w:hAnsi="Cambria" w:cs="Courier New"/>
          <w:sz w:val="20"/>
          <w:szCs w:val="20"/>
        </w:rPr>
        <w:t>mol</w:t>
      </w:r>
      <w:proofErr w:type="spellEnd"/>
      <w:r w:rsidRPr="00C84FC3">
        <w:rPr>
          <w:rFonts w:ascii="Cambria" w:hAnsi="Cambria" w:cs="Courier New"/>
          <w:sz w:val="20"/>
          <w:szCs w:val="20"/>
        </w:rPr>
        <w:t xml:space="preserve"> amino groups and µ</w:t>
      </w:r>
      <w:proofErr w:type="spellStart"/>
      <w:r w:rsidRPr="00C84FC3">
        <w:rPr>
          <w:rFonts w:ascii="Cambria" w:hAnsi="Cambria" w:cs="Courier New"/>
          <w:sz w:val="20"/>
          <w:szCs w:val="20"/>
        </w:rPr>
        <w:t>mol</w:t>
      </w:r>
      <w:proofErr w:type="spellEnd"/>
      <w:r w:rsidRPr="00C84FC3">
        <w:rPr>
          <w:rFonts w:ascii="Cambria" w:hAnsi="Cambria" w:cs="Courier New"/>
          <w:sz w:val="20"/>
          <w:szCs w:val="20"/>
        </w:rPr>
        <w:t xml:space="preserve"> sucrose per g carbohydrate-corrected dry weight (CCDW), respectively.  The ratio is lower at higher [CO</w:t>
      </w:r>
      <w:r w:rsidRPr="00C84FC3">
        <w:rPr>
          <w:rFonts w:ascii="Cambria" w:hAnsi="Cambria" w:cs="Courier New"/>
          <w:sz w:val="20"/>
          <w:szCs w:val="20"/>
          <w:vertAlign w:val="subscript"/>
        </w:rPr>
        <w:t>2</w:t>
      </w:r>
      <w:r w:rsidRPr="00C84FC3">
        <w:rPr>
          <w:rFonts w:ascii="Cambria" w:hAnsi="Cambria" w:cs="Courier New"/>
          <w:sz w:val="20"/>
          <w:szCs w:val="20"/>
        </w:rPr>
        <w:t>].  Data show mean ± SE (annual n=9, perennial n=6).</w:t>
      </w:r>
    </w:p>
    <w:p w14:paraId="2206340A" w14:textId="77777777" w:rsidR="00DF4522" w:rsidRDefault="00DF4522" w:rsidP="00DF4522">
      <w:pPr>
        <w:spacing w:line="360" w:lineRule="auto"/>
        <w:jc w:val="both"/>
        <w:rPr>
          <w:rFonts w:ascii="Cambria" w:hAnsi="Cambria" w:cs="Courier New"/>
          <w:b/>
        </w:rPr>
      </w:pPr>
    </w:p>
    <w:p w14:paraId="6307390D" w14:textId="77777777" w:rsidR="00DF4522" w:rsidRPr="00531789" w:rsidRDefault="00DF4522" w:rsidP="00DF4522">
      <w:pPr>
        <w:spacing w:line="360" w:lineRule="auto"/>
        <w:jc w:val="both"/>
        <w:rPr>
          <w:rFonts w:ascii="Cambria" w:hAnsi="Cambria" w:cs="Courier New"/>
          <w:b/>
        </w:rPr>
      </w:pPr>
    </w:p>
    <w:p w14:paraId="27248443" w14:textId="77777777" w:rsidR="00DF4522" w:rsidRPr="00531789" w:rsidRDefault="00DF4522" w:rsidP="00DF4522">
      <w:pPr>
        <w:pStyle w:val="Heading2"/>
        <w:rPr>
          <w:rFonts w:ascii="Cambria" w:hAnsi="Cambria"/>
          <w:color w:val="auto"/>
        </w:rPr>
      </w:pPr>
      <w:bookmarkStart w:id="106" w:name="_Toc322267598"/>
      <w:bookmarkStart w:id="107" w:name="_Toc322267720"/>
      <w:bookmarkStart w:id="108" w:name="_Toc322267884"/>
      <w:bookmarkStart w:id="109" w:name="_Toc331253025"/>
      <w:r w:rsidRPr="00531789">
        <w:rPr>
          <w:rFonts w:ascii="Cambria" w:hAnsi="Cambria"/>
          <w:color w:val="auto"/>
        </w:rPr>
        <w:t>DISCUSSION</w:t>
      </w:r>
      <w:bookmarkEnd w:id="106"/>
      <w:bookmarkEnd w:id="107"/>
      <w:bookmarkEnd w:id="108"/>
      <w:bookmarkEnd w:id="109"/>
    </w:p>
    <w:p w14:paraId="3EF2BE54" w14:textId="77777777" w:rsidR="00DF4522" w:rsidRPr="00531789" w:rsidRDefault="00DF4522" w:rsidP="00DF4522">
      <w:pPr>
        <w:spacing w:line="360" w:lineRule="auto"/>
        <w:jc w:val="both"/>
        <w:rPr>
          <w:rFonts w:ascii="Cambria" w:hAnsi="Cambria" w:cs="Courier New"/>
          <w:b/>
        </w:rPr>
      </w:pPr>
    </w:p>
    <w:p w14:paraId="017C7B01" w14:textId="77777777" w:rsidR="00DF4522" w:rsidRPr="00531789" w:rsidRDefault="00DF4522" w:rsidP="00DF4522">
      <w:pPr>
        <w:spacing w:line="360" w:lineRule="auto"/>
        <w:jc w:val="both"/>
        <w:rPr>
          <w:rFonts w:ascii="Cambria" w:hAnsi="Cambria" w:cs="Courier New"/>
          <w:b/>
        </w:rPr>
      </w:pPr>
      <w:r w:rsidRPr="00531789">
        <w:rPr>
          <w:rFonts w:ascii="Cambria" w:hAnsi="Cambria" w:cs="Courier New"/>
          <w:b/>
        </w:rPr>
        <w:t>Developmental plasticity in the perennial enables extra CO</w:t>
      </w:r>
      <w:r w:rsidRPr="00531789">
        <w:rPr>
          <w:rFonts w:ascii="Cambria" w:hAnsi="Cambria" w:cs="Courier New"/>
          <w:b/>
          <w:vertAlign w:val="subscript"/>
        </w:rPr>
        <w:t>2</w:t>
      </w:r>
      <w:r w:rsidRPr="00531789">
        <w:rPr>
          <w:rFonts w:ascii="Cambria" w:hAnsi="Cambria" w:cs="Courier New"/>
          <w:b/>
        </w:rPr>
        <w:t xml:space="preserve"> to be utilised in growth, suggesting source limitation</w:t>
      </w:r>
    </w:p>
    <w:p w14:paraId="1F878AB7" w14:textId="77777777" w:rsidR="00DF4522" w:rsidRPr="00531789" w:rsidRDefault="00DF4522" w:rsidP="00DF4522">
      <w:pPr>
        <w:spacing w:line="360" w:lineRule="auto"/>
        <w:jc w:val="both"/>
        <w:rPr>
          <w:rFonts w:ascii="Cambria" w:hAnsi="Cambria" w:cs="Courier New"/>
        </w:rPr>
      </w:pPr>
    </w:p>
    <w:p w14:paraId="2DE14E8C"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Increasing [CO</w:t>
      </w:r>
      <w:r w:rsidRPr="00531789">
        <w:rPr>
          <w:rFonts w:ascii="Cambria" w:hAnsi="Cambria" w:cs="Courier New"/>
          <w:vertAlign w:val="subscript"/>
        </w:rPr>
        <w:t>2</w:t>
      </w:r>
      <w:r w:rsidRPr="00531789">
        <w:rPr>
          <w:rFonts w:ascii="Cambria" w:hAnsi="Cambria" w:cs="Courier New"/>
        </w:rPr>
        <w:t xml:space="preserve">] increases the availability of photosynthetic substrate and suppresses photorespiration </w:t>
      </w:r>
      <w:r w:rsidRPr="00531789">
        <w:rPr>
          <w:rFonts w:ascii="Cambria" w:hAnsi="Cambria" w:cs="Courier New"/>
        </w:rPr>
        <w:fldChar w:fldCharType="begin" w:fldLock="1"/>
      </w:r>
      <w:r>
        <w:rPr>
          <w:rFonts w:ascii="Cambria" w:hAnsi="Cambria" w:cs="Courier New"/>
        </w:rPr>
        <w:instrText>ADDIN CSL_CITATION { "citationItems" : [ { "id" : "ITEM-1", "itemData" : { "DOI" : "10.1007/BF00386231", "ISBN" : "0032-0935", "ISSN" : "0032-0935", "PMID" : "12615544", "abstract" : "Various aspects of the biochemistry of photosynthetic carbon assimilation in C3 plants are integrated into a form compatible with studies of gas exchange in leaves. These aspects include the kinetic properties of ribulose bisphosphate carboxylase- oxygenase; the requirements of the photosynthetic carbon reduction and photorespiratory carbon oxida- tion cycles for reduced pyridine nucleotides; the de- pendence of electron transport on photon flux and the presence of a temperature dependent upper limit to electron transport. The measurements of gas ex- change with which the model outputs may be com- pared include those of the temperature and partial pressure of CO2(p(CO2) ) dependencies of quantum yield, the variation of compensation point with tem- perature and partial pressure of O2(p(O2)), the de- pendence of net CO 2 assimilation rate on p(CO2) and irradiance, and the influence of p(CO2) and ir- radiance on the temperature dependence of assimi- lation rate.", "author" : [ { "dropping-particle" : "", "family" : "Farquhar", "given" : "G D", "non-dropping-particle" : "", "parse-names" : false, "suffix" : "" }, { "dropping-particle" : "", "family" : "Caemmerer", "given" : "S", "non-dropping-particle" : "", "parse-names" : false, "suffix" : "" }, { "dropping-particle" : "", "family" : "Berry", "given" : "J A", "non-dropping-particle" : "", "parse-names" : false, "suffix" : "" } ], "container-title" : "Planta", "id" : "ITEM-1", "issue" : "1", "issued" : { "date-parts" : [ [ "1980" ] ] }, "page" : "78-90", "title" : "A biochemical model of photosynthetic CO2 assimilation in leaves of C3 species", "type" : "article-journal", "volume" : "149" }, "uris" : [ "http://www.mendeley.com/documents/?uuid=d04e1125-1676-4712-a46d-09892a968af9" ] } ], "mendeley" : { "formattedCitation" : "(Farquhar &lt;i&gt;et al.&lt;/i&gt;, 1980)", "plainTextFormattedCitation" : "(Farquhar et al., 1980)", "previouslyFormattedCitation" : "(Farquhar &lt;i&gt;et al.&lt;/i&gt;, 1980)" }, "properties" : { "noteIndex" : 0 }, "schema" : "https://github.com/citation-style-language/schema/raw/master/csl-citation.json" }</w:instrText>
      </w:r>
      <w:r w:rsidRPr="00531789">
        <w:rPr>
          <w:rFonts w:ascii="Cambria" w:hAnsi="Cambria" w:cs="Courier New"/>
        </w:rPr>
        <w:fldChar w:fldCharType="separate"/>
      </w:r>
      <w:r w:rsidRPr="002C5907">
        <w:rPr>
          <w:rFonts w:ascii="Cambria" w:hAnsi="Cambria" w:cs="Courier New"/>
          <w:noProof/>
        </w:rPr>
        <w:t xml:space="preserve">(Farquhar </w:t>
      </w:r>
      <w:r w:rsidRPr="002C5907">
        <w:rPr>
          <w:rFonts w:ascii="Cambria" w:hAnsi="Cambria" w:cs="Courier New"/>
          <w:i/>
          <w:noProof/>
        </w:rPr>
        <w:t>et al.</w:t>
      </w:r>
      <w:r w:rsidRPr="002C5907">
        <w:rPr>
          <w:rFonts w:ascii="Cambria" w:hAnsi="Cambria" w:cs="Courier New"/>
          <w:noProof/>
        </w:rPr>
        <w:t>, 1980)</w:t>
      </w:r>
      <w:r w:rsidRPr="00531789">
        <w:rPr>
          <w:rFonts w:ascii="Cambria" w:hAnsi="Cambria" w:cs="Courier New"/>
        </w:rPr>
        <w:fldChar w:fldCharType="end"/>
      </w:r>
      <w:r w:rsidRPr="00531789">
        <w:rPr>
          <w:rFonts w:ascii="Cambria" w:hAnsi="Cambria" w:cs="Courier New"/>
        </w:rPr>
        <w:t xml:space="preserve">.  This increases the potential rate of carbon uptake into the plant, increasing source strength, alleviating source limitation, and increasing the </w:t>
      </w:r>
      <w:proofErr w:type="spellStart"/>
      <w:r w:rsidRPr="00531789">
        <w:rPr>
          <w:rFonts w:ascii="Cambria" w:hAnsi="Cambria" w:cs="Courier New"/>
        </w:rPr>
        <w:t>source:sink</w:t>
      </w:r>
      <w:proofErr w:type="spellEnd"/>
      <w:r w:rsidRPr="00531789">
        <w:rPr>
          <w:rFonts w:ascii="Cambria" w:hAnsi="Cambria" w:cs="Courier New"/>
        </w:rPr>
        <w:t xml:space="preserve"> ratio. Conversely, decreasing [CO</w:t>
      </w:r>
      <w:r w:rsidRPr="00531789">
        <w:rPr>
          <w:rFonts w:ascii="Cambria" w:hAnsi="Cambria" w:cs="Courier New"/>
          <w:vertAlign w:val="subscript"/>
        </w:rPr>
        <w:t>2</w:t>
      </w:r>
      <w:r w:rsidRPr="00531789">
        <w:rPr>
          <w:rFonts w:ascii="Cambria" w:hAnsi="Cambria" w:cs="Courier New"/>
        </w:rPr>
        <w:t>] has the opposite effects. The stronger photosynthetic, tillering and root partitioning responses of perennial than annual barley to increasing [CO</w:t>
      </w:r>
      <w:r w:rsidRPr="00531789">
        <w:rPr>
          <w:rFonts w:ascii="Cambria" w:hAnsi="Cambria" w:cs="Courier New"/>
          <w:vertAlign w:val="subscript"/>
        </w:rPr>
        <w:t>2</w:t>
      </w:r>
      <w:r w:rsidRPr="00531789">
        <w:rPr>
          <w:rFonts w:ascii="Cambria" w:hAnsi="Cambria" w:cs="Courier New"/>
        </w:rPr>
        <w:t>] (Table 1; Fig. 2) suggest that the source is more limiting for growth than the sink in this species during the vegetative stage. This response is not seen to such a great extent in the annual, which shows much smaller increases in photosynthesis, tillering and root partitioning as CO</w:t>
      </w:r>
      <w:r w:rsidRPr="00531789">
        <w:rPr>
          <w:rFonts w:ascii="Cambria" w:hAnsi="Cambria" w:cs="Courier New"/>
          <w:vertAlign w:val="subscript"/>
        </w:rPr>
        <w:t xml:space="preserve">2 </w:t>
      </w:r>
      <w:r w:rsidRPr="00531789">
        <w:rPr>
          <w:rFonts w:ascii="Cambria" w:hAnsi="Cambria" w:cs="Courier New"/>
        </w:rPr>
        <w:t>levels increase. This suggests that growth in the annual is primarily sink limited, constrained by developmental potential, and that it is operating at near-maximum source activity under current ambient conditions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xml:space="preserve">).  The ratio of photosynthesis to growth is higher in annual than perennial barley (Fig. 3), a further indication of sink limitation.  </w:t>
      </w:r>
      <w:proofErr w:type="spellStart"/>
      <w:r w:rsidRPr="00531789">
        <w:rPr>
          <w:rFonts w:ascii="Cambria" w:hAnsi="Cambria" w:cs="Courier New"/>
        </w:rPr>
        <w:t>Photosynthesis:growth</w:t>
      </w:r>
      <w:proofErr w:type="spellEnd"/>
      <w:r w:rsidRPr="00531789">
        <w:rPr>
          <w:rFonts w:ascii="Cambria" w:hAnsi="Cambria" w:cs="Courier New"/>
        </w:rPr>
        <w:t xml:space="preserve"> is greater at higher [CO</w:t>
      </w:r>
      <w:r w:rsidRPr="00531789">
        <w:rPr>
          <w:rFonts w:ascii="Cambria" w:hAnsi="Cambria" w:cs="Courier New"/>
          <w:vertAlign w:val="subscript"/>
        </w:rPr>
        <w:t>2</w:t>
      </w:r>
      <w:r w:rsidRPr="00531789">
        <w:rPr>
          <w:rFonts w:ascii="Cambria" w:hAnsi="Cambria" w:cs="Courier New"/>
        </w:rPr>
        <w:t>] in both species (Fig. 3C), indicating sink limitation at elevated [CO</w:t>
      </w:r>
      <w:r w:rsidRPr="00531789">
        <w:rPr>
          <w:rFonts w:ascii="Cambria" w:hAnsi="Cambria" w:cs="Courier New"/>
          <w:vertAlign w:val="subscript"/>
        </w:rPr>
        <w:t>2</w:t>
      </w:r>
      <w:r w:rsidRPr="00531789">
        <w:rPr>
          <w:rFonts w:ascii="Cambria" w:hAnsi="Cambria" w:cs="Courier New"/>
        </w:rPr>
        <w:t xml:space="preserve">], and as plants become older and leave the exponential phase of growth (Fig. 3D).  </w:t>
      </w:r>
    </w:p>
    <w:p w14:paraId="378F1B74" w14:textId="77777777" w:rsidR="00DF4522" w:rsidRPr="00531789" w:rsidRDefault="00DF4522" w:rsidP="00DF4522">
      <w:pPr>
        <w:spacing w:line="360" w:lineRule="auto"/>
        <w:jc w:val="both"/>
        <w:rPr>
          <w:rFonts w:ascii="Cambria" w:hAnsi="Cambria" w:cs="Courier New"/>
        </w:rPr>
      </w:pPr>
    </w:p>
    <w:p w14:paraId="081CF105"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 xml:space="preserve">The developmental plasticity seen in the perennial, </w:t>
      </w:r>
      <w:r w:rsidRPr="0079342F">
        <w:rPr>
          <w:rFonts w:ascii="Cambria" w:hAnsi="Cambria" w:cs="Courier New"/>
          <w:i/>
        </w:rPr>
        <w:t>via</w:t>
      </w:r>
      <w:r w:rsidRPr="00531789">
        <w:rPr>
          <w:rFonts w:ascii="Cambria" w:hAnsi="Cambria" w:cs="Courier New"/>
        </w:rPr>
        <w:t xml:space="preserve"> its ability to increase tillering and root partitioning in response to a greater carbon source strength, suggests that it is better able than the domesticated annual crop to adapt to fluctuating environmental conditions.  In general, selective breeding of crops has resulted in plants with fewer tillers because, although additional non-flowering tillers provide a selective advantage through competition in wild plants, they reduce the yield of crop stands by diverting resources away from flowering tillers. To an extent, domesticated barley has retained its tillering capacity </w:t>
      </w:r>
      <w:r w:rsidRPr="00531789">
        <w:rPr>
          <w:rFonts w:ascii="Cambria" w:hAnsi="Cambria" w:cs="Courier New"/>
        </w:rPr>
        <w:fldChar w:fldCharType="begin" w:fldLock="1"/>
      </w:r>
      <w:r w:rsidRPr="00531789">
        <w:rPr>
          <w:rFonts w:ascii="Cambria" w:hAnsi="Cambria" w:cs="Courier New"/>
        </w:rPr>
        <w:instrText>ADDIN CSL_CITATION { "citationItems" : [ { "id" : "ITEM-1", "itemData" : { "DOI" : "10.1093/aob/mcm040", "ISBN" : "1095-8290 (Electronic)", "ISSN" : "03057364", "PMID" : "17478546", "abstract" : "BACKGROUND: The cereal crops domesticated from grasses provide a large percentage of the calories consumed by humans. Domestication and breeding in individual cereals has historically occurred in isolation, although this is rapidly changing with comparative genomics of the sequenced or soon-to-be sequenced genomes of rice, sorghum, maize and Brachypodium. Genetic information transferred through genomic comparisons is helping our understanding of genetically less tractable crops such as the hexaploid wheats and polyploid sugarcane, as well as the approx. 10 000 species of wild grasses. In turn, phylogenetic analysis helps put our knowledge of the morphology of cereal crops into an evolutionary context. GRASS ARCHITECTURE: Domestication often involves a change in the pattern and timing of branching, which affects both vegetative and inflorescence architecture, and ultimately yield. Cereal grasses exhibit two main forms of vegetative architecture: the pooid and erhartoid cereals such as wheat and rice have multiple basal tillers, while panicoid cereals such as maize, sorghum and the millets have few tillers or even only a single main stem. These differences are reflected in the differences between the wild species of pooid and some erhartoid grasses, which emphasize basal branching over axillary branching, and the panicoid grasses, where axillary branching is more frequently found. A combination of phylogenetic and genomic analysis is beginning to reveal the similarities and differences between different cereal crops, and relate these to the diversity of wild grasses to which they are related. Recent work on genes controlling branching emphasizes that developmental genetics needs to be viewed in both an evolutionary and ecological framework, if it is to be useful in understanding how morphology evolves. Increasingly, exploring the phylogenetic context of the crop grasses will suggest new ways to identify and create combinations of morphological traits that will best suit our future needs.", "author" : [ { "dropping-particle" : "", "family" : "Doust", "given" : "Andrew", "non-dropping-particle" : "", "parse-names" : false, "suffix" : "" } ], "container-title" : "Annals of Botany", "id" : "ITEM-1", "issue" : "5", "issued" : { "date-parts" : [ [ "2007" ] ] }, "page" : "941-950", "title" : "Architectural evolution and its implications for domestication in grasses", "type" : "article-journal", "volume" : "100" }, "uris" : [ "http://www.mendeley.com/documents/?uuid=730225b5-3335-4ab2-aa0a-8804748d10e2" ] }, { "id" : "ITEM-2", "itemData" : { "DOI" : "10.1104/pp.108.128827", "ISBN" : "0032-0889 (Print)", "ISSN" : "0032-0889", "PMID" : "19126696", "author" : [ { "dropping-particle" : "", "family" : "Sang", "given" : "Tao", "non-dropping-particle" : "", "parse-names" : false, "suffix" : "" } ], "container-title" : "Plant Physiology", "id" : "ITEM-2", "issue" : "1", "issued" : { "date-parts" : [ [ "2009" ] ] }, "page" : "63-70", "title" : "Genes and mutations underlying domestication transitions in grasses.", "type" : "article-journal", "volume" : "149" }, "uris" : [ "http://www.mendeley.com/documents/?uuid=af77b657-066d-4bb5-9f39-a87fe58b35a3" ] } ], "mendeley" : { "formattedCitation" : "(Doust, 2007; Sang, 2009)", "plainTextFormattedCitation" : "(Doust, 2007; Sang, 2009)", "previouslyFormattedCitation" : "(Doust, 2007; Sang, 2009)" }, "properties" : { "noteIndex" : 0 }, "schema" : "https://github.com/citation-style-language/schema/raw/master/csl-citation.json" }</w:instrText>
      </w:r>
      <w:r w:rsidRPr="00531789">
        <w:rPr>
          <w:rFonts w:ascii="Cambria" w:hAnsi="Cambria" w:cs="Courier New"/>
        </w:rPr>
        <w:fldChar w:fldCharType="separate"/>
      </w:r>
      <w:r w:rsidRPr="00531789">
        <w:rPr>
          <w:rFonts w:ascii="Cambria" w:hAnsi="Cambria" w:cs="Courier New"/>
          <w:noProof/>
        </w:rPr>
        <w:t>(Doust, 2007; Sang, 2009)</w:t>
      </w:r>
      <w:r w:rsidRPr="00531789">
        <w:rPr>
          <w:rFonts w:ascii="Cambria" w:hAnsi="Cambria" w:cs="Courier New"/>
        </w:rPr>
        <w:fldChar w:fldCharType="end"/>
      </w:r>
      <w:r w:rsidRPr="00531789">
        <w:rPr>
          <w:rFonts w:ascii="Cambria" w:hAnsi="Cambria" w:cs="Courier New"/>
        </w:rPr>
        <w:t xml:space="preserve">. However, under experimental conditions, the </w:t>
      </w:r>
      <w:r>
        <w:rPr>
          <w:rFonts w:ascii="Cambria" w:hAnsi="Cambria" w:cs="Courier New"/>
        </w:rPr>
        <w:t xml:space="preserve">perennial barley increased </w:t>
      </w:r>
      <w:r w:rsidRPr="00531789">
        <w:rPr>
          <w:rFonts w:ascii="Cambria" w:hAnsi="Cambria" w:cs="Courier New"/>
        </w:rPr>
        <w:t>tillering in response to increa</w:t>
      </w:r>
      <w:r>
        <w:rPr>
          <w:rFonts w:ascii="Cambria" w:hAnsi="Cambria" w:cs="Courier New"/>
        </w:rPr>
        <w:t xml:space="preserve">sed </w:t>
      </w:r>
      <w:r w:rsidRPr="00531789">
        <w:rPr>
          <w:rFonts w:ascii="Cambria" w:hAnsi="Cambria" w:cs="Courier New"/>
        </w:rPr>
        <w:t>[CO</w:t>
      </w:r>
      <w:r w:rsidRPr="00531789">
        <w:rPr>
          <w:rFonts w:ascii="Cambria" w:hAnsi="Cambria" w:cs="Courier New"/>
          <w:vertAlign w:val="subscript"/>
        </w:rPr>
        <w:t>2</w:t>
      </w:r>
      <w:r w:rsidRPr="00531789">
        <w:rPr>
          <w:rFonts w:ascii="Cambria" w:hAnsi="Cambria" w:cs="Courier New"/>
        </w:rPr>
        <w:t xml:space="preserve">] </w:t>
      </w:r>
      <w:r>
        <w:rPr>
          <w:rFonts w:ascii="Cambria" w:hAnsi="Cambria" w:cs="Courier New"/>
        </w:rPr>
        <w:t xml:space="preserve">far more readily </w:t>
      </w:r>
      <w:r w:rsidRPr="00531789">
        <w:rPr>
          <w:rFonts w:ascii="Cambria" w:hAnsi="Cambria" w:cs="Courier New"/>
        </w:rPr>
        <w:t>than the annual crop.</w:t>
      </w:r>
    </w:p>
    <w:p w14:paraId="59570DB4" w14:textId="77777777" w:rsidR="00DF4522" w:rsidRPr="00531789" w:rsidRDefault="00DF4522" w:rsidP="00DF4522">
      <w:pPr>
        <w:spacing w:line="360" w:lineRule="auto"/>
        <w:jc w:val="both"/>
        <w:rPr>
          <w:rFonts w:ascii="Cambria" w:hAnsi="Cambria" w:cs="Courier New"/>
        </w:rPr>
      </w:pPr>
    </w:p>
    <w:p w14:paraId="7BB597C4"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 xml:space="preserve">Altering the </w:t>
      </w:r>
      <w:proofErr w:type="spellStart"/>
      <w:r w:rsidRPr="00531789">
        <w:rPr>
          <w:rFonts w:ascii="Cambria" w:hAnsi="Cambria" w:cs="Courier New"/>
        </w:rPr>
        <w:t>root:shoot</w:t>
      </w:r>
      <w:proofErr w:type="spellEnd"/>
      <w:r w:rsidRPr="00531789">
        <w:rPr>
          <w:rFonts w:ascii="Cambria" w:hAnsi="Cambria" w:cs="Courier New"/>
        </w:rPr>
        <w:t xml:space="preserve"> ratio enables plants to increase access to the most limiting resources by adjusting allocation to nitrogen- or carbon-acquiring tissues </w:t>
      </w:r>
      <w:r w:rsidRPr="00531789">
        <w:rPr>
          <w:rFonts w:ascii="Cambria" w:hAnsi="Cambria" w:cs="Courier New"/>
        </w:rPr>
        <w:fldChar w:fldCharType="begin" w:fldLock="1"/>
      </w:r>
      <w:r>
        <w:rPr>
          <w:rFonts w:ascii="Cambria" w:hAnsi="Cambria" w:cs="Courier New"/>
        </w:rPr>
        <w:instrText>ADDIN CSL_CITATION { "citationItems" : [ { "id" : "ITEM-1", "itemData" : { "DOI" : "10.1046/j.1365-3040.1999.00386.x", "ISSN" : "0140-7791", "author" : [ { "dropping-particle" : "", "family" : "Stitt", "given" : "M.", "non-dropping-particle" : "", "parse-names" : false, "suffix" : "" }, { "dropping-particle" : "", "family" : "Krapp", "given" : "A.", "non-dropping-particle" : "", "parse-names" : false, "suffix" : "" } ], "container-title" : "Plant, Cell &amp; Environment", "id" : "ITEM-1", "issue" : "6", "issued" : { "date-parts" : [ [ "1999", "6" ] ] }, "page" : "583-621", "title" : "The interaction between elevated carbon dioxide and nitrogen nutrition: the physiological and molecular background", "type" : "article-journal", "volume" : "22" }, "uris" : [ "http://www.mendeley.com/documents/?uuid=12d0f917-f3d6-43c6-92fa-0d13f38659a0" ] }, { "id" : "ITEM-2", "itemData" : { "DOI" : "10.1111/nph.13352", "author" : [ { "dropping-particle" : "", "family" : "Freschet", "given" : "Gregoire T", "non-dropping-particle" : "", "parse-names" : false, "suffix" : "" }, { "dropping-particle" : "", "family" : "Sward", "given" : "Elferra M", "non-dropping-particle" : "", "parse-names" : false, "suffix" : "" }, { "dropping-particle" : "", "family" : "Cornelissen", "given" : "Johannes H C", "non-dropping-particle" : "", "parse-names" : false, "suffix" : "" } ], "container-title" : "New Phytologist", "id" : "ITEM-2", "issued" : { "date-parts" : [ [ "2015" ] ] }, "page" : "1247-1260", "title" : "Integrated plant phenotypic responses to contrasting above- and below-ground resources: key roles of specific leaf area and root mass fraction", "type" : "article-journal", "volume" : "206" }, "uris" : [ "http://www.mendeley.com/documents/?uuid=e9b662d7-8dea-41c9-80a3-0c1b79e985d0" ] } ], "mendeley" : { "formattedCitation" : "(Stitt and Krapp, 1999; Freschet &lt;i&gt;et al.&lt;/i&gt;, 2015)", "plainTextFormattedCitation" : "(Stitt and Krapp, 1999; Freschet et al., 2015)", "previouslyFormattedCitation" : "(Stitt and Krapp, 1999; Freschet &lt;i&gt;et al.&lt;/i&gt;, 2015)" }, "properties" : { "noteIndex" : 0 }, "schema" : "https://github.com/citation-style-language/schema/raw/master/csl-citation.json" }</w:instrText>
      </w:r>
      <w:r w:rsidRPr="00531789">
        <w:rPr>
          <w:rFonts w:ascii="Cambria" w:hAnsi="Cambria" w:cs="Courier New"/>
        </w:rPr>
        <w:fldChar w:fldCharType="separate"/>
      </w:r>
      <w:r w:rsidRPr="002C5907">
        <w:rPr>
          <w:rFonts w:ascii="Cambria" w:hAnsi="Cambria" w:cs="Courier New"/>
          <w:noProof/>
        </w:rPr>
        <w:t xml:space="preserve">(Stitt and Krapp, 1999; Freschet </w:t>
      </w:r>
      <w:r w:rsidRPr="002C5907">
        <w:rPr>
          <w:rFonts w:ascii="Cambria" w:hAnsi="Cambria" w:cs="Courier New"/>
          <w:i/>
          <w:noProof/>
        </w:rPr>
        <w:t>et al.</w:t>
      </w:r>
      <w:r w:rsidRPr="002C5907">
        <w:rPr>
          <w:rFonts w:ascii="Cambria" w:hAnsi="Cambria" w:cs="Courier New"/>
          <w:noProof/>
        </w:rPr>
        <w:t>, 2015)</w:t>
      </w:r>
      <w:r w:rsidRPr="00531789">
        <w:rPr>
          <w:rFonts w:ascii="Cambria" w:hAnsi="Cambria" w:cs="Courier New"/>
        </w:rPr>
        <w:fldChar w:fldCharType="end"/>
      </w:r>
      <w:r w:rsidRPr="00531789">
        <w:rPr>
          <w:rFonts w:ascii="Cambria" w:hAnsi="Cambria" w:cs="Courier New"/>
        </w:rPr>
        <w:t>. Under elevated [CO</w:t>
      </w:r>
      <w:r w:rsidRPr="00531789">
        <w:rPr>
          <w:rFonts w:ascii="Cambria" w:hAnsi="Cambria" w:cs="Courier New"/>
          <w:vertAlign w:val="subscript"/>
        </w:rPr>
        <w:t>2</w:t>
      </w:r>
      <w:r w:rsidRPr="00531789">
        <w:rPr>
          <w:rFonts w:ascii="Cambria" w:hAnsi="Cambria" w:cs="Courier New"/>
        </w:rPr>
        <w:t xml:space="preserve">], nitrogen becomes more limiting for growth, making an increase in </w:t>
      </w:r>
      <w:proofErr w:type="spellStart"/>
      <w:r w:rsidRPr="00531789">
        <w:rPr>
          <w:rFonts w:ascii="Cambria" w:hAnsi="Cambria" w:cs="Courier New"/>
        </w:rPr>
        <w:t>root:shoot</w:t>
      </w:r>
      <w:proofErr w:type="spellEnd"/>
      <w:r w:rsidRPr="00531789">
        <w:rPr>
          <w:rFonts w:ascii="Cambria" w:hAnsi="Cambria" w:cs="Courier New"/>
        </w:rPr>
        <w:t xml:space="preserve"> ratio advantageous. The perennial was better able to make this plastic adjustment to growth (Table 1). However, its greater relative increase in allocation to roots (Table 1) would have also tended to offset its growth response, since roots are heterotrophic and root respiration represents a significant carbon sink. Despite this, the perennial still showed a similar increase in RGR to the annual (Fig. 1).  In combination, these results suggest that the combined response of sink strength (growth and respiration) to [CO</w:t>
      </w:r>
      <w:r w:rsidRPr="00531789">
        <w:rPr>
          <w:rFonts w:ascii="Cambria" w:hAnsi="Cambria" w:cs="Courier New"/>
          <w:vertAlign w:val="subscript"/>
        </w:rPr>
        <w:t>2</w:t>
      </w:r>
      <w:r w:rsidRPr="00531789">
        <w:rPr>
          <w:rFonts w:ascii="Cambria" w:hAnsi="Cambria" w:cs="Courier New"/>
        </w:rPr>
        <w:t>]</w:t>
      </w:r>
      <w:r w:rsidRPr="00531789">
        <w:rPr>
          <w:rFonts w:ascii="Cambria" w:hAnsi="Cambria" w:cs="Courier New"/>
          <w:vertAlign w:val="subscript"/>
        </w:rPr>
        <w:t xml:space="preserve"> </w:t>
      </w:r>
      <w:r w:rsidRPr="00531789">
        <w:rPr>
          <w:rFonts w:ascii="Cambria" w:hAnsi="Cambria" w:cs="Courier New"/>
        </w:rPr>
        <w:t>was stronger in the perennial than annual.  Increasing root allocation enabled the perennial to take up more nitrogen, further increasing its ability to match carbon skeletons with amino acids for growth.</w:t>
      </w:r>
    </w:p>
    <w:p w14:paraId="008C3132" w14:textId="77777777" w:rsidR="00DF4522" w:rsidRPr="00531789" w:rsidRDefault="00DF4522" w:rsidP="00DF4522">
      <w:pPr>
        <w:spacing w:line="360" w:lineRule="auto"/>
        <w:jc w:val="both"/>
        <w:rPr>
          <w:rFonts w:ascii="Cambria" w:hAnsi="Cambria" w:cs="Courier New"/>
        </w:rPr>
      </w:pPr>
    </w:p>
    <w:p w14:paraId="1D47E95D"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 xml:space="preserve">Our findings suggest a more opportunistic growth strategy in the perennial than annual, whereby the use of additional resources is maximised </w:t>
      </w:r>
      <w:r w:rsidRPr="0079342F">
        <w:rPr>
          <w:rFonts w:ascii="Cambria" w:hAnsi="Cambria" w:cs="Courier New"/>
          <w:i/>
        </w:rPr>
        <w:t xml:space="preserve">via </w:t>
      </w:r>
      <w:r w:rsidRPr="00531789">
        <w:rPr>
          <w:rFonts w:ascii="Cambria" w:hAnsi="Cambria" w:cs="Courier New"/>
        </w:rPr>
        <w:t>partitioning into more branches above ground and roots below ground. In contrast, the annual appears to be highly constrained in its ability to develop larger sinks at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xml:space="preserve"> (Table 1; Fig. 2), and unable to increase these to the same extent as the perennial.  Although the annual has a higher rate of photosynthesis at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compared to 180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 xml:space="preserve">-1 </w:t>
      </w:r>
      <w:r w:rsidRPr="00531789">
        <w:rPr>
          <w:rFonts w:ascii="Cambria" w:hAnsi="Cambria" w:cs="Courier New"/>
        </w:rPr>
        <w:t>(Fig 2B), it does not show an increase at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compared to 180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suggesting a </w:t>
      </w:r>
      <w:proofErr w:type="spellStart"/>
      <w:r w:rsidRPr="00531789">
        <w:rPr>
          <w:rFonts w:ascii="Cambria" w:hAnsi="Cambria" w:cs="Courier New"/>
        </w:rPr>
        <w:t>downregulation</w:t>
      </w:r>
      <w:proofErr w:type="spellEnd"/>
      <w:r w:rsidRPr="00531789">
        <w:rPr>
          <w:rFonts w:ascii="Cambria" w:hAnsi="Cambria" w:cs="Courier New"/>
        </w:rPr>
        <w:t xml:space="preserve"> of </w:t>
      </w:r>
      <w:proofErr w:type="spellStart"/>
      <w:r w:rsidRPr="00531789">
        <w:rPr>
          <w:rFonts w:ascii="Cambria" w:hAnsi="Cambria" w:cs="Courier New"/>
        </w:rPr>
        <w:t>Rubisco</w:t>
      </w:r>
      <w:proofErr w:type="spellEnd"/>
      <w:r w:rsidRPr="00531789">
        <w:rPr>
          <w:rFonts w:ascii="Cambria" w:hAnsi="Cambria" w:cs="Courier New"/>
        </w:rPr>
        <w:t xml:space="preserve"> amount or activity due to sink limitation.  A/</w:t>
      </w:r>
      <w:proofErr w:type="spellStart"/>
      <w:r w:rsidRPr="00531789">
        <w:rPr>
          <w:rFonts w:ascii="Cambria" w:hAnsi="Cambria" w:cs="Courier New"/>
        </w:rPr>
        <w:t>C</w:t>
      </w:r>
      <w:r w:rsidRPr="00531789">
        <w:rPr>
          <w:rFonts w:ascii="Cambria" w:hAnsi="Cambria" w:cs="Courier New"/>
          <w:vertAlign w:val="subscript"/>
        </w:rPr>
        <w:t>i</w:t>
      </w:r>
      <w:proofErr w:type="spellEnd"/>
      <w:r w:rsidRPr="00531789">
        <w:rPr>
          <w:rFonts w:ascii="Cambria" w:hAnsi="Cambria" w:cs="Courier New"/>
        </w:rPr>
        <w:t xml:space="preserve"> curves (Fig. S3) show that whilst the perennial has a constant </w:t>
      </w:r>
      <w:proofErr w:type="spellStart"/>
      <w:r w:rsidRPr="00531789">
        <w:rPr>
          <w:rFonts w:ascii="Cambria" w:hAnsi="Cambria" w:cs="Courier New"/>
        </w:rPr>
        <w:t>V</w:t>
      </w:r>
      <w:r w:rsidRPr="00531789">
        <w:rPr>
          <w:rFonts w:ascii="Cambria" w:hAnsi="Cambria" w:cs="Courier New"/>
          <w:vertAlign w:val="subscript"/>
        </w:rPr>
        <w:t>c,max</w:t>
      </w:r>
      <w:proofErr w:type="spellEnd"/>
      <w:r w:rsidRPr="00531789">
        <w:rPr>
          <w:rFonts w:ascii="Cambria" w:hAnsi="Cambria" w:cs="Courier New"/>
        </w:rPr>
        <w:t xml:space="preserve"> at 400 and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rPr>
        <w:softHyphen/>
      </w:r>
      <w:r w:rsidRPr="00531789">
        <w:rPr>
          <w:rFonts w:ascii="Cambria" w:hAnsi="Cambria" w:cs="Courier New"/>
          <w:vertAlign w:val="subscript"/>
        </w:rPr>
        <w:t>2</w:t>
      </w:r>
      <w:r w:rsidRPr="00531789">
        <w:rPr>
          <w:rFonts w:ascii="Cambria" w:hAnsi="Cambria" w:cs="Courier New"/>
        </w:rPr>
        <w:t xml:space="preserve">, the annual shows a decrease in </w:t>
      </w:r>
      <w:proofErr w:type="spellStart"/>
      <w:r w:rsidRPr="00531789">
        <w:rPr>
          <w:rFonts w:ascii="Cambria" w:hAnsi="Cambria" w:cs="Courier New"/>
        </w:rPr>
        <w:t>V</w:t>
      </w:r>
      <w:r w:rsidRPr="00531789">
        <w:rPr>
          <w:rFonts w:ascii="Cambria" w:hAnsi="Cambria" w:cs="Courier New"/>
          <w:vertAlign w:val="subscript"/>
        </w:rPr>
        <w:t>c,max</w:t>
      </w:r>
      <w:proofErr w:type="spellEnd"/>
      <w:r w:rsidRPr="00531789">
        <w:rPr>
          <w:rFonts w:ascii="Cambria" w:hAnsi="Cambria" w:cs="Courier New"/>
        </w:rPr>
        <w:t xml:space="preserve"> as CO</w:t>
      </w:r>
      <w:r w:rsidRPr="00531789">
        <w:rPr>
          <w:rFonts w:ascii="Cambria" w:hAnsi="Cambria" w:cs="Courier New"/>
          <w:vertAlign w:val="subscript"/>
        </w:rPr>
        <w:t>2</w:t>
      </w:r>
      <w:r w:rsidRPr="00531789">
        <w:rPr>
          <w:rFonts w:ascii="Cambria" w:hAnsi="Cambria" w:cs="Courier New"/>
        </w:rPr>
        <w:t xml:space="preserve"> increases from 180 through to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rPr>
        <w:softHyphen/>
      </w:r>
      <w:r w:rsidRPr="00531789">
        <w:rPr>
          <w:rFonts w:ascii="Cambria" w:hAnsi="Cambria" w:cs="Courier New"/>
          <w:vertAlign w:val="subscript"/>
        </w:rPr>
        <w:t>2</w:t>
      </w:r>
      <w:r w:rsidRPr="00531789">
        <w:rPr>
          <w:rFonts w:ascii="Cambria" w:hAnsi="Cambria" w:cs="Courier New"/>
        </w:rPr>
        <w:t xml:space="preserve">, meeting the lower </w:t>
      </w:r>
      <w:proofErr w:type="spellStart"/>
      <w:r w:rsidRPr="00531789">
        <w:rPr>
          <w:rFonts w:ascii="Cambria" w:hAnsi="Cambria" w:cs="Courier New"/>
        </w:rPr>
        <w:t>V</w:t>
      </w:r>
      <w:r w:rsidRPr="00531789">
        <w:rPr>
          <w:rFonts w:ascii="Cambria" w:hAnsi="Cambria" w:cs="Courier New"/>
          <w:vertAlign w:val="subscript"/>
        </w:rPr>
        <w:t>c,max</w:t>
      </w:r>
      <w:proofErr w:type="spellEnd"/>
      <w:r w:rsidRPr="00531789">
        <w:rPr>
          <w:rFonts w:ascii="Cambria" w:hAnsi="Cambria" w:cs="Courier New"/>
        </w:rPr>
        <w:t xml:space="preserve"> of the perennial at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rPr>
        <w:softHyphen/>
      </w:r>
      <w:r w:rsidRPr="00531789">
        <w:rPr>
          <w:rFonts w:ascii="Cambria" w:hAnsi="Cambria" w:cs="Courier New"/>
          <w:vertAlign w:val="subscript"/>
        </w:rPr>
        <w:t xml:space="preserve">2 </w:t>
      </w:r>
      <w:r w:rsidRPr="00531789">
        <w:rPr>
          <w:rFonts w:ascii="Cambria" w:hAnsi="Cambria" w:cs="Courier New"/>
        </w:rPr>
        <w:t>(Fig. S3A).  This indicates acclimation of photosynthetic capacity in the annual at elevated [CO</w:t>
      </w:r>
      <w:r w:rsidRPr="00531789">
        <w:rPr>
          <w:rFonts w:ascii="Cambria" w:hAnsi="Cambria" w:cs="Courier New"/>
          <w:vertAlign w:val="subscript"/>
        </w:rPr>
        <w:t>2</w:t>
      </w:r>
      <w:r w:rsidRPr="00531789">
        <w:rPr>
          <w:rFonts w:ascii="Cambria" w:hAnsi="Cambria" w:cs="Courier New"/>
        </w:rPr>
        <w:t>], due to an exacerbation of existing sink limitation by the CO</w:t>
      </w:r>
      <w:r w:rsidRPr="00531789">
        <w:rPr>
          <w:rFonts w:ascii="Cambria" w:hAnsi="Cambria" w:cs="Courier New"/>
          <w:vertAlign w:val="subscript"/>
        </w:rPr>
        <w:t>2</w:t>
      </w:r>
      <w:r w:rsidRPr="00531789">
        <w:rPr>
          <w:rFonts w:ascii="Cambria" w:hAnsi="Cambria" w:cs="Courier New"/>
        </w:rPr>
        <w:t xml:space="preserve"> treatment.  It thus seems that the strategy of the annual is for maximal growth under current [CO</w:t>
      </w:r>
      <w:r w:rsidRPr="00531789">
        <w:rPr>
          <w:rFonts w:ascii="Cambria" w:hAnsi="Cambria" w:cs="Courier New"/>
          <w:vertAlign w:val="subscript"/>
        </w:rPr>
        <w:t>2</w:t>
      </w:r>
      <w:r w:rsidRPr="00531789">
        <w:rPr>
          <w:rFonts w:ascii="Cambria" w:hAnsi="Cambria" w:cs="Courier New"/>
        </w:rPr>
        <w:t>] – and as a result it is sink limited.  The annual has been subjected to intense selective breeding that has maximised growth under current ambient CO</w:t>
      </w:r>
      <w:r w:rsidRPr="00531789">
        <w:rPr>
          <w:rFonts w:ascii="Cambria" w:hAnsi="Cambria" w:cs="Courier New"/>
          <w:vertAlign w:val="subscript"/>
        </w:rPr>
        <w:t>2</w:t>
      </w:r>
      <w:r w:rsidRPr="00531789">
        <w:rPr>
          <w:rFonts w:ascii="Cambria" w:hAnsi="Cambria" w:cs="Courier New"/>
        </w:rPr>
        <w:t xml:space="preserve"> conditions, but suppressed its developmental plasticity, and growth during the vegetative phase is largely unresponsive to increased [CO</w:t>
      </w:r>
      <w:r w:rsidRPr="00531789">
        <w:rPr>
          <w:rFonts w:ascii="Cambria" w:hAnsi="Cambria" w:cs="Courier New"/>
          <w:vertAlign w:val="subscript"/>
        </w:rPr>
        <w:t>2</w:t>
      </w:r>
      <w:r w:rsidRPr="00531789">
        <w:rPr>
          <w:rFonts w:ascii="Cambria" w:hAnsi="Cambria" w:cs="Courier New"/>
        </w:rPr>
        <w:t xml:space="preserve">]. </w:t>
      </w:r>
    </w:p>
    <w:p w14:paraId="6AD04FFA" w14:textId="77777777" w:rsidR="00DF4522" w:rsidRPr="00531789" w:rsidRDefault="00DF4522" w:rsidP="00DF4522">
      <w:pPr>
        <w:spacing w:line="360" w:lineRule="auto"/>
        <w:jc w:val="right"/>
        <w:rPr>
          <w:rFonts w:ascii="Cambria" w:hAnsi="Cambria" w:cs="Courier New"/>
        </w:rPr>
      </w:pPr>
    </w:p>
    <w:p w14:paraId="54992231" w14:textId="77777777" w:rsidR="00DF4522" w:rsidRPr="00531789" w:rsidRDefault="00DF4522" w:rsidP="00DF4522">
      <w:pPr>
        <w:spacing w:line="360" w:lineRule="auto"/>
        <w:jc w:val="both"/>
        <w:rPr>
          <w:rFonts w:ascii="Cambria" w:hAnsi="Cambria" w:cs="Courier New"/>
          <w:b/>
        </w:rPr>
      </w:pPr>
      <w:r w:rsidRPr="00531789">
        <w:rPr>
          <w:rFonts w:ascii="Cambria" w:hAnsi="Cambria" w:cs="Courier New"/>
          <w:b/>
        </w:rPr>
        <w:t>The annual accumulates carbohydrates whilst having low amino acids, suggesting carbon sink limitation</w:t>
      </w:r>
    </w:p>
    <w:p w14:paraId="11C1977B" w14:textId="77777777" w:rsidR="00DF4522" w:rsidRPr="00531789" w:rsidRDefault="00DF4522" w:rsidP="00DF4522">
      <w:pPr>
        <w:spacing w:line="360" w:lineRule="auto"/>
        <w:jc w:val="both"/>
        <w:rPr>
          <w:rFonts w:ascii="Cambria" w:hAnsi="Cambria" w:cs="Courier New"/>
        </w:rPr>
      </w:pPr>
    </w:p>
    <w:p w14:paraId="4ADD0FD1"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Figure 8 illustrates the metabolite data, expressed as ratios: at 180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xml:space="preserve"> relative to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(“Low Carbon Dioxide” Fig. 8) and at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xml:space="preserve"> relative to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(“High Carbon Dioxide” Fig. 8), in each compartment (leaf, sheath and root), for each species and time of day (raw data may be found in Table S1).  In general, the amount of each non-structural carbohydrate (glucose, fructose, sucrose, starch and </w:t>
      </w:r>
      <w:proofErr w:type="spellStart"/>
      <w:r w:rsidRPr="00531789">
        <w:rPr>
          <w:rFonts w:ascii="Cambria" w:hAnsi="Cambria" w:cs="Courier New"/>
        </w:rPr>
        <w:t>fructan</w:t>
      </w:r>
      <w:proofErr w:type="spellEnd"/>
      <w:r w:rsidRPr="00531789">
        <w:rPr>
          <w:rFonts w:ascii="Cambria" w:hAnsi="Cambria" w:cs="Courier New"/>
        </w:rPr>
        <w:t>) was lower at 180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and higher at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compared to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xml:space="preserve"> (Fig. 8). Short- and long-chain </w:t>
      </w:r>
      <w:proofErr w:type="spellStart"/>
      <w:r w:rsidRPr="00531789">
        <w:rPr>
          <w:rFonts w:ascii="Cambria" w:hAnsi="Cambria" w:cs="Courier New"/>
        </w:rPr>
        <w:t>fructans</w:t>
      </w:r>
      <w:proofErr w:type="spellEnd"/>
      <w:r w:rsidRPr="00531789">
        <w:rPr>
          <w:rFonts w:ascii="Cambria" w:hAnsi="Cambria" w:cs="Courier New"/>
        </w:rPr>
        <w:t xml:space="preserve"> represent the major stores for carbon at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xml:space="preserve"> in both species (Fig. 8). In contrast, free nitrate, free amino acid and protein levels tended to show the opposite trend (especially for the annual, Fig. 8A,B).</w:t>
      </w:r>
    </w:p>
    <w:p w14:paraId="1DB49F5E" w14:textId="77777777" w:rsidR="00DF4522" w:rsidRPr="00531789" w:rsidRDefault="00DF4522" w:rsidP="00DF4522">
      <w:pPr>
        <w:spacing w:line="360" w:lineRule="auto"/>
        <w:jc w:val="both"/>
        <w:rPr>
          <w:rFonts w:ascii="Cambria" w:hAnsi="Cambria" w:cs="Courier New"/>
        </w:rPr>
      </w:pPr>
    </w:p>
    <w:p w14:paraId="355295D7" w14:textId="77777777" w:rsidR="00DF4522" w:rsidRDefault="00DF4522" w:rsidP="00DF4522">
      <w:pPr>
        <w:spacing w:line="360" w:lineRule="auto"/>
        <w:jc w:val="both"/>
        <w:rPr>
          <w:rFonts w:ascii="Cambria" w:hAnsi="Cambria" w:cs="Courier New"/>
        </w:rPr>
      </w:pPr>
      <w:r w:rsidRPr="00531789">
        <w:rPr>
          <w:rFonts w:ascii="Cambria" w:hAnsi="Cambria" w:cs="Courier New"/>
        </w:rPr>
        <w:t>Figure 8 further illustrates the pattern of source limitation in the perennial and sink limitation in the annual seen in the growth and photosynthesis data.  At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growth in the annual shows strong evidence of sink limitation, shown by a high rate of photosynthesis (Fig. 2), high TNC accumulation (Fig. 4) and low amino acid concentration and amino </w:t>
      </w:r>
      <w:proofErr w:type="spellStart"/>
      <w:r w:rsidRPr="00531789">
        <w:rPr>
          <w:rFonts w:ascii="Cambria" w:hAnsi="Cambria" w:cs="Courier New"/>
        </w:rPr>
        <w:t>acid:sucrose</w:t>
      </w:r>
      <w:proofErr w:type="spellEnd"/>
      <w:r w:rsidRPr="00531789">
        <w:rPr>
          <w:rFonts w:ascii="Cambria" w:hAnsi="Cambria" w:cs="Courier New"/>
        </w:rPr>
        <w:t xml:space="preserve"> ratio – indicating that there are sufficient carbon skeletons available for utilisation of the available amino acid supply (Fig</w:t>
      </w:r>
      <w:r>
        <w:rPr>
          <w:rFonts w:ascii="Cambria" w:hAnsi="Cambria" w:cs="Courier New"/>
        </w:rPr>
        <w:t>s</w:t>
      </w:r>
      <w:r w:rsidRPr="00531789">
        <w:rPr>
          <w:rFonts w:ascii="Cambria" w:hAnsi="Cambria" w:cs="Courier New"/>
        </w:rPr>
        <w:t>. 6, 7).  At 180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growth becomes more source limited, with lower carbohydrate and higher nitrate and amino acid concentrations compared to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(Figs. 4, 6, 8A,B).  At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xml:space="preserve">, growth becomes more sink limited, with higher carbohydrate and lower nitrate and lower amino acid concentrations (Figs. 4, 6, 8A,B).  This trend </w:t>
      </w:r>
    </w:p>
    <w:p w14:paraId="3C4B37E4" w14:textId="77777777" w:rsidR="00DF4522" w:rsidRPr="00C84FC3" w:rsidRDefault="00DF4522" w:rsidP="00DF4522">
      <w:pPr>
        <w:jc w:val="both"/>
        <w:rPr>
          <w:rFonts w:ascii="Cambria" w:hAnsi="Cambria" w:cs="Courier New"/>
          <w:sz w:val="20"/>
          <w:szCs w:val="20"/>
        </w:rPr>
      </w:pPr>
      <w:r>
        <w:rPr>
          <w:rFonts w:ascii="Cambria" w:hAnsi="Cambria" w:cs="Courier New"/>
          <w:noProof/>
          <w:lang w:val="en-US"/>
        </w:rPr>
        <w:drawing>
          <wp:anchor distT="0" distB="0" distL="114300" distR="114300" simplePos="0" relativeHeight="251739136" behindDoc="0" locked="0" layoutInCell="1" allowOverlap="1" wp14:anchorId="5B04794A" wp14:editId="55ADE499">
            <wp:simplePos x="0" y="0"/>
            <wp:positionH relativeFrom="column">
              <wp:posOffset>-114300</wp:posOffset>
            </wp:positionH>
            <wp:positionV relativeFrom="paragraph">
              <wp:posOffset>-342900</wp:posOffset>
            </wp:positionV>
            <wp:extent cx="5868670" cy="6972300"/>
            <wp:effectExtent l="0" t="0" r="0" b="12700"/>
            <wp:wrapThrough wrapText="bothSides">
              <wp:wrapPolygon edited="0">
                <wp:start x="0" y="0"/>
                <wp:lineTo x="0" y="21561"/>
                <wp:lineTo x="21502" y="21561"/>
                <wp:lineTo x="21502" y="0"/>
                <wp:lineTo x="0" y="0"/>
              </wp:wrapPolygon>
            </wp:wrapThrough>
            <wp:docPr id="35" name="Picture 35" descr="Macintosh HD:Users:angelawhite:Dropbox:University of Sheffield:Publishing:CO2 Barley 2014 Research Paper:Final Figures:Fig. 8 Metabolite Diagram from Tiffa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angelawhite:Dropbox:University of Sheffield:Publishing:CO2 Barley 2014 Research Paper:Final Figures:Fig. 8 Metabolite Diagram from Tiffany.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68670" cy="6972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4FC3">
        <w:rPr>
          <w:rFonts w:ascii="Cambria" w:hAnsi="Cambria" w:cs="Courier New"/>
          <w:b/>
          <w:sz w:val="20"/>
          <w:szCs w:val="20"/>
        </w:rPr>
        <w:t>Figure 8.</w:t>
      </w:r>
      <w:r w:rsidRPr="00C84FC3">
        <w:rPr>
          <w:rFonts w:ascii="Cambria" w:hAnsi="Cambria" w:cs="Courier New"/>
          <w:sz w:val="20"/>
          <w:szCs w:val="20"/>
        </w:rPr>
        <w:t xml:space="preserve"> Carbon- and nitrogen-based metabolites in annual and perennial barley at pre-dawn and pre-dusk harvests. Data are ratios of metabolite concentrations in leaf, leaf sheath and root of annual and perennial barley at 180 relative to 400 µ</w:t>
      </w:r>
      <w:proofErr w:type="spellStart"/>
      <w:r w:rsidRPr="00C84FC3">
        <w:rPr>
          <w:rFonts w:ascii="Cambria" w:hAnsi="Cambria" w:cs="Courier New"/>
          <w:sz w:val="20"/>
          <w:szCs w:val="20"/>
        </w:rPr>
        <w:t>mol</w:t>
      </w:r>
      <w:proofErr w:type="spellEnd"/>
      <w:r w:rsidRPr="00C84FC3">
        <w:rPr>
          <w:rFonts w:ascii="Cambria" w:hAnsi="Cambria" w:cs="Courier New"/>
          <w:sz w:val="20"/>
          <w:szCs w:val="20"/>
        </w:rPr>
        <w:t xml:space="preserve"> mol</w:t>
      </w:r>
      <w:r w:rsidRPr="00C84FC3">
        <w:rPr>
          <w:rFonts w:ascii="Cambria" w:hAnsi="Cambria" w:cs="Courier New"/>
          <w:sz w:val="20"/>
          <w:szCs w:val="20"/>
          <w:vertAlign w:val="superscript"/>
        </w:rPr>
        <w:t>-1</w:t>
      </w:r>
      <w:r w:rsidRPr="00C84FC3">
        <w:rPr>
          <w:rFonts w:ascii="Cambria" w:hAnsi="Cambria" w:cs="Courier New"/>
          <w:sz w:val="20"/>
          <w:szCs w:val="20"/>
        </w:rPr>
        <w:t xml:space="preserve"> CO</w:t>
      </w:r>
      <w:r w:rsidRPr="00C84FC3">
        <w:rPr>
          <w:rFonts w:ascii="Cambria" w:hAnsi="Cambria" w:cs="Courier New"/>
          <w:sz w:val="20"/>
          <w:szCs w:val="20"/>
          <w:vertAlign w:val="subscript"/>
        </w:rPr>
        <w:t>2</w:t>
      </w:r>
      <w:r w:rsidRPr="00C84FC3">
        <w:rPr>
          <w:rFonts w:ascii="Cambria" w:hAnsi="Cambria" w:cs="Courier New"/>
          <w:sz w:val="20"/>
          <w:szCs w:val="20"/>
        </w:rPr>
        <w:t>, and 1500 relative to 400 µ</w:t>
      </w:r>
      <w:proofErr w:type="spellStart"/>
      <w:r w:rsidRPr="00C84FC3">
        <w:rPr>
          <w:rFonts w:ascii="Cambria" w:hAnsi="Cambria" w:cs="Courier New"/>
          <w:sz w:val="20"/>
          <w:szCs w:val="20"/>
        </w:rPr>
        <w:t>mol</w:t>
      </w:r>
      <w:proofErr w:type="spellEnd"/>
      <w:r w:rsidRPr="00C84FC3">
        <w:rPr>
          <w:rFonts w:ascii="Cambria" w:hAnsi="Cambria" w:cs="Courier New"/>
          <w:sz w:val="20"/>
          <w:szCs w:val="20"/>
        </w:rPr>
        <w:t xml:space="preserve"> mol</w:t>
      </w:r>
      <w:r w:rsidRPr="00C84FC3">
        <w:rPr>
          <w:rFonts w:ascii="Cambria" w:hAnsi="Cambria" w:cs="Courier New"/>
          <w:sz w:val="20"/>
          <w:szCs w:val="20"/>
          <w:vertAlign w:val="superscript"/>
        </w:rPr>
        <w:t>-1</w:t>
      </w:r>
      <w:r w:rsidRPr="00C84FC3">
        <w:rPr>
          <w:rFonts w:ascii="Cambria" w:hAnsi="Cambria" w:cs="Courier New"/>
          <w:sz w:val="20"/>
          <w:szCs w:val="20"/>
        </w:rPr>
        <w:t xml:space="preserve"> CO</w:t>
      </w:r>
      <w:r w:rsidRPr="00C84FC3">
        <w:rPr>
          <w:rFonts w:ascii="Cambria" w:hAnsi="Cambria" w:cs="Courier New"/>
          <w:sz w:val="20"/>
          <w:szCs w:val="20"/>
          <w:vertAlign w:val="subscript"/>
        </w:rPr>
        <w:t>2</w:t>
      </w:r>
      <w:r w:rsidRPr="00C84FC3">
        <w:rPr>
          <w:rFonts w:ascii="Cambria" w:hAnsi="Cambria" w:cs="Courier New"/>
          <w:sz w:val="20"/>
          <w:szCs w:val="20"/>
        </w:rPr>
        <w:t>. Blue denotes a decrease and orange/red an increase compared to 400 µ</w:t>
      </w:r>
      <w:proofErr w:type="spellStart"/>
      <w:r w:rsidRPr="00C84FC3">
        <w:rPr>
          <w:rFonts w:ascii="Cambria" w:hAnsi="Cambria" w:cs="Courier New"/>
          <w:sz w:val="20"/>
          <w:szCs w:val="20"/>
        </w:rPr>
        <w:t>mol</w:t>
      </w:r>
      <w:proofErr w:type="spellEnd"/>
      <w:r w:rsidRPr="00C84FC3">
        <w:rPr>
          <w:rFonts w:ascii="Cambria" w:hAnsi="Cambria" w:cs="Courier New"/>
          <w:sz w:val="20"/>
          <w:szCs w:val="20"/>
        </w:rPr>
        <w:t xml:space="preserve"> mol</w:t>
      </w:r>
      <w:r w:rsidRPr="00C84FC3">
        <w:rPr>
          <w:rFonts w:ascii="Cambria" w:hAnsi="Cambria" w:cs="Courier New"/>
          <w:sz w:val="20"/>
          <w:szCs w:val="20"/>
          <w:vertAlign w:val="superscript"/>
        </w:rPr>
        <w:t>-1</w:t>
      </w:r>
      <w:r w:rsidRPr="00C84FC3">
        <w:rPr>
          <w:rFonts w:ascii="Cambria" w:hAnsi="Cambria" w:cs="Courier New"/>
          <w:sz w:val="20"/>
          <w:szCs w:val="20"/>
        </w:rPr>
        <w:t xml:space="preserve">, according to the colour scale on the left; a ratio of 1 signifies no change. Low and high DP refer to the degree of polymerisation in short- and long-chain </w:t>
      </w:r>
      <w:proofErr w:type="spellStart"/>
      <w:r w:rsidRPr="00C84FC3">
        <w:rPr>
          <w:rFonts w:ascii="Cambria" w:hAnsi="Cambria" w:cs="Courier New"/>
          <w:sz w:val="20"/>
          <w:szCs w:val="20"/>
        </w:rPr>
        <w:t>fructans</w:t>
      </w:r>
      <w:proofErr w:type="spellEnd"/>
      <w:r w:rsidRPr="00C84FC3">
        <w:rPr>
          <w:rFonts w:ascii="Cambria" w:hAnsi="Cambria" w:cs="Courier New"/>
          <w:sz w:val="20"/>
          <w:szCs w:val="20"/>
        </w:rPr>
        <w:t xml:space="preserve"> respectively. A, Annual pre-dawn; B, Annual pre-dusk; C, Perennial pre-dawn; D, Perennial pre-dusk. Exceptionally high ratios, indicated by asterisks, are as follows: annual pre-dawn (A) at 180 µ</w:t>
      </w:r>
      <w:proofErr w:type="spellStart"/>
      <w:r w:rsidRPr="00C84FC3">
        <w:rPr>
          <w:rFonts w:ascii="Cambria" w:hAnsi="Cambria" w:cs="Courier New"/>
          <w:sz w:val="20"/>
          <w:szCs w:val="20"/>
        </w:rPr>
        <w:t>mol</w:t>
      </w:r>
      <w:proofErr w:type="spellEnd"/>
      <w:r w:rsidRPr="00C84FC3">
        <w:rPr>
          <w:rFonts w:ascii="Cambria" w:hAnsi="Cambria" w:cs="Courier New"/>
          <w:sz w:val="20"/>
          <w:szCs w:val="20"/>
        </w:rPr>
        <w:t xml:space="preserve"> mol</w:t>
      </w:r>
      <w:r w:rsidRPr="00C84FC3">
        <w:rPr>
          <w:rFonts w:ascii="Cambria" w:hAnsi="Cambria" w:cs="Courier New"/>
          <w:sz w:val="20"/>
          <w:szCs w:val="20"/>
          <w:vertAlign w:val="superscript"/>
        </w:rPr>
        <w:t>-1</w:t>
      </w:r>
      <w:r w:rsidRPr="00C84FC3">
        <w:rPr>
          <w:rFonts w:ascii="Cambria" w:hAnsi="Cambria" w:cs="Courier New"/>
          <w:sz w:val="20"/>
          <w:szCs w:val="20"/>
        </w:rPr>
        <w:t xml:space="preserve"> CO</w:t>
      </w:r>
      <w:r w:rsidRPr="00C84FC3">
        <w:rPr>
          <w:rFonts w:ascii="Cambria" w:hAnsi="Cambria" w:cs="Courier New"/>
          <w:sz w:val="20"/>
          <w:szCs w:val="20"/>
          <w:vertAlign w:val="subscript"/>
        </w:rPr>
        <w:t>2</w:t>
      </w:r>
      <w:r w:rsidRPr="00C84FC3">
        <w:rPr>
          <w:rFonts w:ascii="Cambria" w:hAnsi="Cambria" w:cs="Courier New"/>
          <w:sz w:val="20"/>
          <w:szCs w:val="20"/>
        </w:rPr>
        <w:t>, nitrate in leaf is 6.5x concentration at 400 µ</w:t>
      </w:r>
      <w:proofErr w:type="spellStart"/>
      <w:r w:rsidRPr="00C84FC3">
        <w:rPr>
          <w:rFonts w:ascii="Cambria" w:hAnsi="Cambria" w:cs="Courier New"/>
          <w:sz w:val="20"/>
          <w:szCs w:val="20"/>
        </w:rPr>
        <w:t>mol</w:t>
      </w:r>
      <w:proofErr w:type="spellEnd"/>
      <w:r w:rsidRPr="00C84FC3">
        <w:rPr>
          <w:rFonts w:ascii="Cambria" w:hAnsi="Cambria" w:cs="Courier New"/>
          <w:sz w:val="20"/>
          <w:szCs w:val="20"/>
        </w:rPr>
        <w:t xml:space="preserve"> mol</w:t>
      </w:r>
      <w:r w:rsidRPr="00C84FC3">
        <w:rPr>
          <w:rFonts w:ascii="Cambria" w:hAnsi="Cambria" w:cs="Courier New"/>
          <w:sz w:val="20"/>
          <w:szCs w:val="20"/>
          <w:vertAlign w:val="superscript"/>
        </w:rPr>
        <w:t>-1</w:t>
      </w:r>
      <w:r w:rsidRPr="00C84FC3">
        <w:rPr>
          <w:rFonts w:ascii="Cambria" w:hAnsi="Cambria" w:cs="Courier New"/>
          <w:sz w:val="20"/>
          <w:szCs w:val="20"/>
        </w:rPr>
        <w:t>, nitrate in leaf sheath is 7.7x concentration at 400 µ</w:t>
      </w:r>
      <w:proofErr w:type="spellStart"/>
      <w:r w:rsidRPr="00C84FC3">
        <w:rPr>
          <w:rFonts w:ascii="Cambria" w:hAnsi="Cambria" w:cs="Courier New"/>
          <w:sz w:val="20"/>
          <w:szCs w:val="20"/>
        </w:rPr>
        <w:t>mol</w:t>
      </w:r>
      <w:proofErr w:type="spellEnd"/>
      <w:r w:rsidRPr="00C84FC3">
        <w:rPr>
          <w:rFonts w:ascii="Cambria" w:hAnsi="Cambria" w:cs="Courier New"/>
          <w:sz w:val="20"/>
          <w:szCs w:val="20"/>
        </w:rPr>
        <w:t xml:space="preserve"> mol</w:t>
      </w:r>
      <w:r w:rsidRPr="00C84FC3">
        <w:rPr>
          <w:rFonts w:ascii="Cambria" w:hAnsi="Cambria" w:cs="Courier New"/>
          <w:sz w:val="20"/>
          <w:szCs w:val="20"/>
          <w:vertAlign w:val="superscript"/>
        </w:rPr>
        <w:t>-1</w:t>
      </w:r>
      <w:r w:rsidRPr="00C84FC3">
        <w:rPr>
          <w:rFonts w:ascii="Cambria" w:hAnsi="Cambria" w:cs="Courier New"/>
          <w:sz w:val="20"/>
          <w:szCs w:val="20"/>
        </w:rPr>
        <w:t xml:space="preserve"> and nitrate in root is 5.5x concentration at 400 µ</w:t>
      </w:r>
      <w:proofErr w:type="spellStart"/>
      <w:r w:rsidRPr="00C84FC3">
        <w:rPr>
          <w:rFonts w:ascii="Cambria" w:hAnsi="Cambria" w:cs="Courier New"/>
          <w:sz w:val="20"/>
          <w:szCs w:val="20"/>
        </w:rPr>
        <w:t>mol</w:t>
      </w:r>
      <w:proofErr w:type="spellEnd"/>
      <w:r w:rsidRPr="00C84FC3">
        <w:rPr>
          <w:rFonts w:ascii="Cambria" w:hAnsi="Cambria" w:cs="Courier New"/>
          <w:sz w:val="20"/>
          <w:szCs w:val="20"/>
        </w:rPr>
        <w:t xml:space="preserve"> mol</w:t>
      </w:r>
      <w:r w:rsidRPr="00C84FC3">
        <w:rPr>
          <w:rFonts w:ascii="Cambria" w:hAnsi="Cambria" w:cs="Courier New"/>
          <w:sz w:val="20"/>
          <w:szCs w:val="20"/>
          <w:vertAlign w:val="superscript"/>
        </w:rPr>
        <w:t>-1</w:t>
      </w:r>
      <w:r w:rsidRPr="00C84FC3">
        <w:rPr>
          <w:rFonts w:ascii="Cambria" w:hAnsi="Cambria" w:cs="Courier New"/>
          <w:sz w:val="20"/>
          <w:szCs w:val="20"/>
        </w:rPr>
        <w:t>; perennial pre-dawn (C), in leaf at 1500 µ</w:t>
      </w:r>
      <w:proofErr w:type="spellStart"/>
      <w:r w:rsidRPr="00C84FC3">
        <w:rPr>
          <w:rFonts w:ascii="Cambria" w:hAnsi="Cambria" w:cs="Courier New"/>
          <w:sz w:val="20"/>
          <w:szCs w:val="20"/>
        </w:rPr>
        <w:t>mol</w:t>
      </w:r>
      <w:proofErr w:type="spellEnd"/>
      <w:r w:rsidRPr="00C84FC3">
        <w:rPr>
          <w:rFonts w:ascii="Cambria" w:hAnsi="Cambria" w:cs="Courier New"/>
          <w:sz w:val="20"/>
          <w:szCs w:val="20"/>
        </w:rPr>
        <w:t xml:space="preserve"> mol</w:t>
      </w:r>
      <w:r w:rsidRPr="00C84FC3">
        <w:rPr>
          <w:rFonts w:ascii="Cambria" w:hAnsi="Cambria" w:cs="Courier New"/>
          <w:sz w:val="20"/>
          <w:szCs w:val="20"/>
          <w:vertAlign w:val="superscript"/>
        </w:rPr>
        <w:t>-1</w:t>
      </w:r>
      <w:r w:rsidRPr="00C84FC3">
        <w:rPr>
          <w:rFonts w:ascii="Cambria" w:hAnsi="Cambria" w:cs="Courier New"/>
          <w:sz w:val="20"/>
          <w:szCs w:val="20"/>
        </w:rPr>
        <w:t xml:space="preserve"> CO</w:t>
      </w:r>
      <w:r w:rsidRPr="00C84FC3">
        <w:rPr>
          <w:rFonts w:ascii="Cambria" w:hAnsi="Cambria" w:cs="Courier New"/>
          <w:sz w:val="20"/>
          <w:szCs w:val="20"/>
          <w:vertAlign w:val="subscript"/>
        </w:rPr>
        <w:t>2</w:t>
      </w:r>
      <w:r w:rsidRPr="00C84FC3">
        <w:rPr>
          <w:rFonts w:ascii="Cambria" w:hAnsi="Cambria" w:cs="Courier New"/>
          <w:sz w:val="20"/>
          <w:szCs w:val="20"/>
        </w:rPr>
        <w:t xml:space="preserve">, low DP </w:t>
      </w:r>
      <w:proofErr w:type="spellStart"/>
      <w:r w:rsidRPr="00C84FC3">
        <w:rPr>
          <w:rFonts w:ascii="Cambria" w:hAnsi="Cambria" w:cs="Courier New"/>
          <w:sz w:val="20"/>
          <w:szCs w:val="20"/>
        </w:rPr>
        <w:t>fructan</w:t>
      </w:r>
      <w:proofErr w:type="spellEnd"/>
      <w:r w:rsidRPr="00C84FC3">
        <w:rPr>
          <w:rFonts w:ascii="Cambria" w:hAnsi="Cambria" w:cs="Courier New"/>
          <w:sz w:val="20"/>
          <w:szCs w:val="20"/>
        </w:rPr>
        <w:t xml:space="preserve"> is 23.4x concentration at 400 µ</w:t>
      </w:r>
      <w:proofErr w:type="spellStart"/>
      <w:r w:rsidRPr="00C84FC3">
        <w:rPr>
          <w:rFonts w:ascii="Cambria" w:hAnsi="Cambria" w:cs="Courier New"/>
          <w:sz w:val="20"/>
          <w:szCs w:val="20"/>
        </w:rPr>
        <w:t>mol</w:t>
      </w:r>
      <w:proofErr w:type="spellEnd"/>
      <w:r w:rsidRPr="00C84FC3">
        <w:rPr>
          <w:rFonts w:ascii="Cambria" w:hAnsi="Cambria" w:cs="Courier New"/>
          <w:sz w:val="20"/>
          <w:szCs w:val="20"/>
        </w:rPr>
        <w:t xml:space="preserve"> mol</w:t>
      </w:r>
      <w:r w:rsidRPr="00C84FC3">
        <w:rPr>
          <w:rFonts w:ascii="Cambria" w:hAnsi="Cambria" w:cs="Courier New"/>
          <w:sz w:val="20"/>
          <w:szCs w:val="20"/>
          <w:vertAlign w:val="superscript"/>
        </w:rPr>
        <w:t>-1</w:t>
      </w:r>
      <w:r w:rsidRPr="00C84FC3">
        <w:rPr>
          <w:rFonts w:ascii="Cambria" w:hAnsi="Cambria" w:cs="Courier New"/>
          <w:sz w:val="20"/>
          <w:szCs w:val="20"/>
        </w:rPr>
        <w:t xml:space="preserve"> and high DP </w:t>
      </w:r>
      <w:proofErr w:type="spellStart"/>
      <w:r w:rsidRPr="00C84FC3">
        <w:rPr>
          <w:rFonts w:ascii="Cambria" w:hAnsi="Cambria" w:cs="Courier New"/>
          <w:sz w:val="20"/>
          <w:szCs w:val="20"/>
        </w:rPr>
        <w:t>fructan</w:t>
      </w:r>
      <w:proofErr w:type="spellEnd"/>
      <w:r w:rsidRPr="00C84FC3">
        <w:rPr>
          <w:rFonts w:ascii="Cambria" w:hAnsi="Cambria" w:cs="Courier New"/>
          <w:sz w:val="20"/>
          <w:szCs w:val="20"/>
        </w:rPr>
        <w:t xml:space="preserve"> is 6.3x concentration at 400 µ</w:t>
      </w:r>
      <w:proofErr w:type="spellStart"/>
      <w:r w:rsidRPr="00C84FC3">
        <w:rPr>
          <w:rFonts w:ascii="Cambria" w:hAnsi="Cambria" w:cs="Courier New"/>
          <w:sz w:val="20"/>
          <w:szCs w:val="20"/>
        </w:rPr>
        <w:t>mol</w:t>
      </w:r>
      <w:proofErr w:type="spellEnd"/>
      <w:r w:rsidRPr="00C84FC3">
        <w:rPr>
          <w:rFonts w:ascii="Cambria" w:hAnsi="Cambria" w:cs="Courier New"/>
          <w:sz w:val="20"/>
          <w:szCs w:val="20"/>
        </w:rPr>
        <w:t xml:space="preserve"> mol</w:t>
      </w:r>
      <w:r w:rsidRPr="00C84FC3">
        <w:rPr>
          <w:rFonts w:ascii="Cambria" w:hAnsi="Cambria" w:cs="Courier New"/>
          <w:sz w:val="20"/>
          <w:szCs w:val="20"/>
          <w:vertAlign w:val="superscript"/>
        </w:rPr>
        <w:t>-1</w:t>
      </w:r>
      <w:r w:rsidRPr="00C84FC3">
        <w:rPr>
          <w:rFonts w:ascii="Cambria" w:hAnsi="Cambria" w:cs="Courier New"/>
          <w:sz w:val="20"/>
          <w:szCs w:val="20"/>
        </w:rPr>
        <w:t>; perennial pre-dusk (D), in leaf at 1500 µ</w:t>
      </w:r>
      <w:proofErr w:type="spellStart"/>
      <w:r w:rsidRPr="00C84FC3">
        <w:rPr>
          <w:rFonts w:ascii="Cambria" w:hAnsi="Cambria" w:cs="Courier New"/>
          <w:sz w:val="20"/>
          <w:szCs w:val="20"/>
        </w:rPr>
        <w:t>mol</w:t>
      </w:r>
      <w:proofErr w:type="spellEnd"/>
      <w:r w:rsidRPr="00C84FC3">
        <w:rPr>
          <w:rFonts w:ascii="Cambria" w:hAnsi="Cambria" w:cs="Courier New"/>
          <w:sz w:val="20"/>
          <w:szCs w:val="20"/>
        </w:rPr>
        <w:t xml:space="preserve"> mol</w:t>
      </w:r>
      <w:r w:rsidRPr="00C84FC3">
        <w:rPr>
          <w:rFonts w:ascii="Cambria" w:hAnsi="Cambria" w:cs="Courier New"/>
          <w:sz w:val="20"/>
          <w:szCs w:val="20"/>
          <w:vertAlign w:val="superscript"/>
        </w:rPr>
        <w:t>-1</w:t>
      </w:r>
      <w:r w:rsidRPr="00C84FC3">
        <w:rPr>
          <w:rFonts w:ascii="Cambria" w:hAnsi="Cambria" w:cs="Courier New"/>
          <w:sz w:val="20"/>
          <w:szCs w:val="20"/>
        </w:rPr>
        <w:t xml:space="preserve"> CO</w:t>
      </w:r>
      <w:r w:rsidRPr="00C84FC3">
        <w:rPr>
          <w:rFonts w:ascii="Cambria" w:hAnsi="Cambria" w:cs="Courier New"/>
          <w:sz w:val="20"/>
          <w:szCs w:val="20"/>
          <w:vertAlign w:val="subscript"/>
        </w:rPr>
        <w:t>2</w:t>
      </w:r>
      <w:r w:rsidRPr="00C84FC3">
        <w:rPr>
          <w:rFonts w:ascii="Cambria" w:hAnsi="Cambria" w:cs="Courier New"/>
          <w:sz w:val="20"/>
          <w:szCs w:val="20"/>
        </w:rPr>
        <w:t xml:space="preserve">, low DP </w:t>
      </w:r>
      <w:proofErr w:type="spellStart"/>
      <w:r w:rsidRPr="00C84FC3">
        <w:rPr>
          <w:rFonts w:ascii="Cambria" w:hAnsi="Cambria" w:cs="Courier New"/>
          <w:sz w:val="20"/>
          <w:szCs w:val="20"/>
        </w:rPr>
        <w:t>fructan</w:t>
      </w:r>
      <w:proofErr w:type="spellEnd"/>
      <w:r w:rsidRPr="00C84FC3">
        <w:rPr>
          <w:rFonts w:ascii="Cambria" w:hAnsi="Cambria" w:cs="Courier New"/>
          <w:sz w:val="20"/>
          <w:szCs w:val="20"/>
        </w:rPr>
        <w:t xml:space="preserve"> is 4.8x concentration at 400 µ</w:t>
      </w:r>
      <w:proofErr w:type="spellStart"/>
      <w:r w:rsidRPr="00C84FC3">
        <w:rPr>
          <w:rFonts w:ascii="Cambria" w:hAnsi="Cambria" w:cs="Courier New"/>
          <w:sz w:val="20"/>
          <w:szCs w:val="20"/>
        </w:rPr>
        <w:t>mol</w:t>
      </w:r>
      <w:proofErr w:type="spellEnd"/>
      <w:r w:rsidRPr="00C84FC3">
        <w:rPr>
          <w:rFonts w:ascii="Cambria" w:hAnsi="Cambria" w:cs="Courier New"/>
          <w:sz w:val="20"/>
          <w:szCs w:val="20"/>
        </w:rPr>
        <w:t xml:space="preserve"> mol</w:t>
      </w:r>
      <w:r w:rsidRPr="00C84FC3">
        <w:rPr>
          <w:rFonts w:ascii="Cambria" w:hAnsi="Cambria" w:cs="Courier New"/>
          <w:sz w:val="20"/>
          <w:szCs w:val="20"/>
          <w:vertAlign w:val="superscript"/>
        </w:rPr>
        <w:t>-1</w:t>
      </w:r>
      <w:r w:rsidRPr="00C84FC3">
        <w:rPr>
          <w:rFonts w:ascii="Cambria" w:hAnsi="Cambria" w:cs="Courier New"/>
          <w:sz w:val="20"/>
          <w:szCs w:val="20"/>
        </w:rPr>
        <w:t xml:space="preserve">.   </w:t>
      </w:r>
    </w:p>
    <w:p w14:paraId="2CABF70D" w14:textId="77777777" w:rsidR="00DF4522" w:rsidRPr="00C84FC3" w:rsidRDefault="00DF4522" w:rsidP="00DF4522">
      <w:pPr>
        <w:jc w:val="both"/>
        <w:rPr>
          <w:rFonts w:ascii="Cambria" w:hAnsi="Cambria" w:cs="Courier New"/>
          <w:sz w:val="20"/>
          <w:szCs w:val="20"/>
        </w:rPr>
      </w:pPr>
    </w:p>
    <w:p w14:paraId="5C3183AA"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is seen at both times of day, but is most pronounced before dawn (Figs. 8A,B),</w:t>
      </w:r>
      <w:r>
        <w:rPr>
          <w:rFonts w:ascii="Cambria" w:hAnsi="Cambria" w:cs="Courier New"/>
        </w:rPr>
        <w:t xml:space="preserve"> </w:t>
      </w:r>
      <w:r w:rsidRPr="00531789">
        <w:rPr>
          <w:rFonts w:ascii="Cambria" w:hAnsi="Cambria" w:cs="Courier New"/>
        </w:rPr>
        <w:t xml:space="preserve">since carbon skeletons and </w:t>
      </w:r>
      <w:proofErr w:type="spellStart"/>
      <w:r w:rsidRPr="00531789">
        <w:rPr>
          <w:rFonts w:ascii="Cambria" w:hAnsi="Cambria" w:cs="Courier New"/>
        </w:rPr>
        <w:t>reductants</w:t>
      </w:r>
      <w:proofErr w:type="spellEnd"/>
      <w:r w:rsidRPr="00531789">
        <w:rPr>
          <w:rFonts w:ascii="Cambria" w:hAnsi="Cambria" w:cs="Courier New"/>
        </w:rPr>
        <w:t xml:space="preserve"> from photosynthesis are required to incorporate free nitrate into amino acids and to assimilate amino acids into proteins.  As a result, the levels of these metabolites decrease during the day as carbohydrates build up.  Although this trend is seen in all organ types, it is most pronounced in leaves, where photosynthesis is strongly coupled to changes in carbon and nitrogen metabolism.</w:t>
      </w:r>
    </w:p>
    <w:p w14:paraId="7294F7B5" w14:textId="77777777" w:rsidR="00DF4522" w:rsidRPr="00531789" w:rsidRDefault="00DF4522" w:rsidP="00DF4522">
      <w:pPr>
        <w:spacing w:line="360" w:lineRule="auto"/>
        <w:jc w:val="both"/>
        <w:rPr>
          <w:rFonts w:ascii="Cambria" w:hAnsi="Cambria" w:cs="Courier New"/>
        </w:rPr>
      </w:pPr>
    </w:p>
    <w:p w14:paraId="57EFCA9F"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At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the perennial shows strong evidence of source limitation, having a lower rate of photosynthesis than the annual (Fig. 2), low TNC accumulation (Fig. 4) and high amino acid concentrations and amino </w:t>
      </w:r>
      <w:proofErr w:type="spellStart"/>
      <w:r w:rsidRPr="00531789">
        <w:rPr>
          <w:rFonts w:ascii="Cambria" w:hAnsi="Cambria" w:cs="Courier New"/>
        </w:rPr>
        <w:t>acid:sucrose</w:t>
      </w:r>
      <w:proofErr w:type="spellEnd"/>
      <w:r w:rsidRPr="00531789">
        <w:rPr>
          <w:rFonts w:ascii="Cambria" w:hAnsi="Cambria" w:cs="Courier New"/>
        </w:rPr>
        <w:t xml:space="preserve"> ratio (Figs. 6, 7).  At 180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 xml:space="preserve">-1 </w:t>
      </w:r>
      <w:r w:rsidRPr="00531789">
        <w:rPr>
          <w:rFonts w:ascii="Cambria" w:hAnsi="Cambria" w:cs="Courier New"/>
        </w:rPr>
        <w:t>CO</w:t>
      </w:r>
      <w:r w:rsidRPr="00531789">
        <w:rPr>
          <w:rFonts w:ascii="Cambria" w:hAnsi="Cambria" w:cs="Courier New"/>
          <w:vertAlign w:val="subscript"/>
        </w:rPr>
        <w:t>2</w:t>
      </w:r>
      <w:r w:rsidRPr="00531789">
        <w:rPr>
          <w:rFonts w:ascii="Cambria" w:hAnsi="Cambria" w:cs="Courier New"/>
        </w:rPr>
        <w:t>, the perennial remains source limited, so levels of free nitrate and amino acids generally do not increase relative to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(Fig. 8C,D).  Just as the perennial shows a greater response of tillering and root allocation (Table 1) and photosynthesis (Fig. 2B) than the annual between 400 and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xml:space="preserve">, as this alleviates source limitation, it also shows a more dramatic decrease in free amino acids and amino </w:t>
      </w:r>
      <w:proofErr w:type="spellStart"/>
      <w:r w:rsidRPr="00531789">
        <w:rPr>
          <w:rFonts w:ascii="Cambria" w:hAnsi="Cambria" w:cs="Courier New"/>
        </w:rPr>
        <w:t>acid:sucrose</w:t>
      </w:r>
      <w:proofErr w:type="spellEnd"/>
      <w:r w:rsidRPr="00531789">
        <w:rPr>
          <w:rFonts w:ascii="Cambria" w:hAnsi="Cambria" w:cs="Courier New"/>
        </w:rPr>
        <w:t xml:space="preserve"> (Figs. 6, 7) as it is better able than the annual to pair additional sugars from photosynthesis with existing free amino acids to bring about a growth response.  However at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growth in the perennial transitions to become sink limited, and the plants have a high carbohydrate content, and low nitrate and low amino acid concentrations (Figs. 4, 6, 8A,B).  Thus the treatments imposed are sufficiently strong that even the annual becomes more source limited at low [CO</w:t>
      </w:r>
      <w:r w:rsidRPr="00531789">
        <w:rPr>
          <w:rFonts w:ascii="Cambria" w:hAnsi="Cambria" w:cs="Courier New"/>
          <w:vertAlign w:val="subscript"/>
        </w:rPr>
        <w:t>2</w:t>
      </w:r>
      <w:r w:rsidRPr="00531789">
        <w:rPr>
          <w:rFonts w:ascii="Cambria" w:hAnsi="Cambria" w:cs="Courier New"/>
        </w:rPr>
        <w:t>], and even the perennial becomes more sink limited at elevated [CO</w:t>
      </w:r>
      <w:r w:rsidRPr="00531789">
        <w:rPr>
          <w:rFonts w:ascii="Cambria" w:hAnsi="Cambria" w:cs="Courier New"/>
          <w:vertAlign w:val="subscript"/>
        </w:rPr>
        <w:t>2</w:t>
      </w:r>
      <w:r w:rsidRPr="00531789">
        <w:rPr>
          <w:rFonts w:ascii="Cambria" w:hAnsi="Cambria" w:cs="Courier New"/>
        </w:rPr>
        <w:t xml:space="preserve">].   </w:t>
      </w:r>
    </w:p>
    <w:p w14:paraId="253D16F2" w14:textId="77777777" w:rsidR="00DF4522" w:rsidRPr="00531789" w:rsidRDefault="00DF4522" w:rsidP="00DF4522">
      <w:pPr>
        <w:spacing w:line="360" w:lineRule="auto"/>
        <w:jc w:val="both"/>
        <w:rPr>
          <w:rFonts w:ascii="Cambria" w:hAnsi="Cambria" w:cs="Courier New"/>
        </w:rPr>
      </w:pPr>
    </w:p>
    <w:p w14:paraId="33A60BF2"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Total non-structural carbohydrate concentrations are higher in the annual than in the perennial in all organs and at all CO</w:t>
      </w:r>
      <w:r w:rsidRPr="00531789">
        <w:rPr>
          <w:rFonts w:ascii="Cambria" w:hAnsi="Cambria" w:cs="Courier New"/>
          <w:vertAlign w:val="subscript"/>
        </w:rPr>
        <w:t xml:space="preserve">2 </w:t>
      </w:r>
      <w:r w:rsidRPr="00531789">
        <w:rPr>
          <w:rFonts w:ascii="Cambria" w:hAnsi="Cambria" w:cs="Courier New"/>
        </w:rPr>
        <w:t>levels except in leaves at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xml:space="preserve"> (Fig. 4). This provides further evidence that growth in the annual is more limited by the sink than by the source, since it is accumulating carbohydrates rather than using them for growth. At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xml:space="preserve">, both annual and perennial are sink limited, leading to a high basal level of TNC in the photosynthetic organs (leaf and leaf sheath).  </w:t>
      </w:r>
      <w:r w:rsidRPr="00531789">
        <w:rPr>
          <w:rFonts w:ascii="Cambria" w:hAnsi="Cambria" w:cs="Arial"/>
        </w:rPr>
        <w:t xml:space="preserve">Accumulation of </w:t>
      </w:r>
      <w:proofErr w:type="spellStart"/>
      <w:r w:rsidRPr="00531789">
        <w:rPr>
          <w:rFonts w:ascii="Cambria" w:hAnsi="Cambria" w:cs="Arial"/>
        </w:rPr>
        <w:t>fructan</w:t>
      </w:r>
      <w:proofErr w:type="spellEnd"/>
      <w:r w:rsidRPr="00531789">
        <w:rPr>
          <w:rFonts w:ascii="Cambria" w:hAnsi="Cambria" w:cs="Arial"/>
        </w:rPr>
        <w:t xml:space="preserve">, a key store for surplus photosynthate during the vegetative growth stage in barley </w:t>
      </w:r>
      <w:r w:rsidRPr="00531789">
        <w:rPr>
          <w:rFonts w:ascii="Cambria" w:hAnsi="Cambria" w:cs="Arial"/>
        </w:rPr>
        <w:fldChar w:fldCharType="begin" w:fldLock="1"/>
      </w:r>
      <w:r w:rsidRPr="00531789">
        <w:rPr>
          <w:rFonts w:ascii="Cambria" w:hAnsi="Cambria" w:cs="Arial"/>
        </w:rPr>
        <w:instrText>ADDIN CSL_CITATION { "citationItems" : [ { "id" : "ITEM-1", "itemData" : { "author" : [ { "dropping-particle" : "", "family" : "Schnyder", "given" : "Hans", "non-dropping-particle" : "", "parse-names" : false, "suffix" : "" } ], "container-title" : "New Phytologist", "id" : "ITEM-1", "issued" : { "date-parts" : [ [ "1993" ] ] }, "page" : "233-245", "title" : "The role of carbohydrate storage and redistribution in the source-sink relations of wheat and barley during grain filling - a review", "type" : "article-journal", "volume" : "123" }, "uris" : [ "http://www.mendeley.com/documents/?uuid=a96ba76f-e7bb-4eae-8406-df68dc700307" ] } ], "mendeley" : { "formattedCitation" : "(Schnyder, 1993)", "plainTextFormattedCitation" : "(Schnyder, 1993)", "previouslyFormattedCitation" : "(Schnyder, 1993)"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(Schnyder, 1993)</w:t>
      </w:r>
      <w:r w:rsidRPr="00531789">
        <w:rPr>
          <w:rFonts w:ascii="Cambria" w:hAnsi="Cambria" w:cs="Arial"/>
        </w:rPr>
        <w:fldChar w:fldCharType="end"/>
      </w:r>
      <w:r w:rsidRPr="00531789">
        <w:rPr>
          <w:rFonts w:ascii="Cambria" w:hAnsi="Cambria" w:cs="Arial"/>
        </w:rPr>
        <w:t>, is particularly high compared to other metabolites under elevated [CO</w:t>
      </w:r>
      <w:r w:rsidRPr="00531789">
        <w:rPr>
          <w:rFonts w:ascii="Cambria" w:hAnsi="Cambria" w:cs="Arial"/>
          <w:vertAlign w:val="subscript"/>
        </w:rPr>
        <w:t>2</w:t>
      </w:r>
      <w:r w:rsidRPr="00531789">
        <w:rPr>
          <w:rFonts w:ascii="Cambria" w:hAnsi="Cambria" w:cs="Courier New"/>
        </w:rPr>
        <w:t>]</w:t>
      </w:r>
      <w:r w:rsidRPr="00531789">
        <w:rPr>
          <w:rFonts w:ascii="Cambria" w:hAnsi="Cambria" w:cs="Arial"/>
        </w:rPr>
        <w:t xml:space="preserve"> in both species (Fig. 8).  Leaf sucrose is a key driver of phloem loading for photosynthate export </w:t>
      </w:r>
      <w:r w:rsidRPr="00531789">
        <w:rPr>
          <w:rFonts w:ascii="Cambria" w:hAnsi="Cambria" w:cs="Arial"/>
        </w:rPr>
        <w:fldChar w:fldCharType="begin" w:fldLock="1"/>
      </w:r>
      <w:r w:rsidRPr="00531789">
        <w:rPr>
          <w:rFonts w:ascii="Cambria" w:hAnsi="Cambria" w:cs="Arial"/>
        </w:rPr>
        <w:instrText>ADDIN CSL_CITATION { "citationItems" : [ { "id" : "ITEM-1", "itemData" : { "DOI" : "10.1104/pp.110.167684", "ISSN" : "1532-2548", "PMID" : "20971857", "author" : [ { "dropping-particle" : "", "family" : "Ainsworth", "given" : "Elizabeth A", "non-dropping-particle" : "", "parse-names" : false, "suffix" : "" }, { "dropping-particle" : "", "family" : "Bush", "given" : "Daniel R", "non-dropping-particle" : "", "parse-names" : false, "suffix" : "" } ], "container-title" : "Plant Physiology", "id" : "ITEM-1", "issue" : "1", "issued" : { "date-parts" : [ [ "2011", "1" ] ] }, "page" : "64-9", "title" : "Carbohydrate export from the leaf: a highly regulated process and target to enhance photosynthesis and productivity.", "type" : "article-journal", "volume" : "155" }, "uris" : [ "http://www.mendeley.com/documents/?uuid=1e757ecd-3097-4ea6-9928-73835421a18c" ] } ], "mendeley" : { "formattedCitation" : "(Ainsworth and Bush, 2011)", "plainTextFormattedCitation" : "(Ainsworth and Bush, 2011)", "previouslyFormattedCitation" : "(Ainsworth and Bush, 2011)"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(Ainsworth and Bush, 2011)</w:t>
      </w:r>
      <w:r w:rsidRPr="00531789">
        <w:rPr>
          <w:rFonts w:ascii="Cambria" w:hAnsi="Cambria" w:cs="Arial"/>
        </w:rPr>
        <w:fldChar w:fldCharType="end"/>
      </w:r>
      <w:r w:rsidRPr="00531789">
        <w:rPr>
          <w:rFonts w:ascii="Cambria" w:hAnsi="Cambria" w:cs="Arial"/>
        </w:rPr>
        <w:t>.  However, the increase in TNC at elevated [CO</w:t>
      </w:r>
      <w:r w:rsidRPr="00531789">
        <w:rPr>
          <w:rFonts w:ascii="Cambria" w:hAnsi="Cambria" w:cs="Arial"/>
          <w:vertAlign w:val="subscript"/>
        </w:rPr>
        <w:t>2</w:t>
      </w:r>
      <w:r w:rsidRPr="00531789">
        <w:rPr>
          <w:rFonts w:ascii="Cambria" w:hAnsi="Cambria" w:cs="Courier New"/>
        </w:rPr>
        <w:t>]</w:t>
      </w:r>
      <w:r w:rsidRPr="00531789">
        <w:rPr>
          <w:rFonts w:ascii="Cambria" w:hAnsi="Cambria" w:cs="Arial"/>
        </w:rPr>
        <w:t xml:space="preserve"> seen here is primarily driven by increases in storage carbohydrates (</w:t>
      </w:r>
      <w:proofErr w:type="spellStart"/>
      <w:r w:rsidRPr="00531789">
        <w:rPr>
          <w:rFonts w:ascii="Cambria" w:hAnsi="Cambria" w:cs="Arial"/>
        </w:rPr>
        <w:t>fructans</w:t>
      </w:r>
      <w:proofErr w:type="spellEnd"/>
      <w:r w:rsidRPr="00531789">
        <w:rPr>
          <w:rFonts w:ascii="Cambria" w:hAnsi="Cambria" w:cs="Arial"/>
        </w:rPr>
        <w:t xml:space="preserve"> and starch, Fig. 8) and not transport carbohydrates (sucrose).  This provides evidence that the carbohydrate accumulation at elevated [CO</w:t>
      </w:r>
      <w:r w:rsidRPr="00531789">
        <w:rPr>
          <w:rFonts w:ascii="Cambria" w:hAnsi="Cambria" w:cs="Arial"/>
          <w:vertAlign w:val="subscript"/>
        </w:rPr>
        <w:t>2</w:t>
      </w:r>
      <w:r w:rsidRPr="00531789">
        <w:rPr>
          <w:rFonts w:ascii="Cambria" w:hAnsi="Cambria" w:cs="Courier New"/>
        </w:rPr>
        <w:t>]</w:t>
      </w:r>
      <w:r w:rsidRPr="00531789">
        <w:rPr>
          <w:rFonts w:ascii="Cambria" w:hAnsi="Cambria" w:cs="Arial"/>
        </w:rPr>
        <w:t xml:space="preserve"> is indicative of sink limitation rather than a reflection of increased phloem loading of recent photosynthate.  Indeed, the increased accumulation of carbohydrates will feed back on phloem transport throughout the plant and phloem loading in the leaf </w:t>
      </w:r>
      <w:r w:rsidRPr="00531789">
        <w:rPr>
          <w:rFonts w:ascii="Cambria" w:hAnsi="Cambria" w:cs="Arial"/>
        </w:rPr>
        <w:fldChar w:fldCharType="begin" w:fldLock="1"/>
      </w:r>
      <w:r w:rsidRPr="00531789">
        <w:rPr>
          <w:rFonts w:ascii="Cambria" w:hAnsi="Cambria" w:cs="Arial"/>
        </w:rPr>
        <w:instrText>ADDIN CSL_CITATION { "citationItems" : [ { "id" : "ITEM-1", "itemData" : { "DOI" : "10.1104/pp.110.167684", "ISSN" : "1532-2548", "PMID" : "20971857", "author" : [ { "dropping-particle" : "", "family" : "Ainsworth", "given" : "Elizabeth A", "non-dropping-particle" : "", "parse-names" : false, "suffix" : "" }, { "dropping-particle" : "", "family" : "Bush", "given" : "Daniel R", "non-dropping-particle" : "", "parse-names" : false, "suffix" : "" } ], "container-title" : "Plant Physiology", "id" : "ITEM-1", "issue" : "1", "issued" : { "date-parts" : [ [ "2011", "1" ] ] }, "page" : "64-9", "title" : "Carbohydrate export from the leaf: a highly regulated process and target to enhance photosynthesis and productivity.", "type" : "article-journal", "volume" : "155" }, "uris" : [ "http://www.mendeley.com/documents/?uuid=1e757ecd-3097-4ea6-9928-73835421a18c" ] } ], "mendeley" : { "formattedCitation" : "(Ainsworth and Bush, 2011)", "plainTextFormattedCitation" : "(Ainsworth and Bush, 2011)", "previouslyFormattedCitation" : "(Ainsworth and Bush, 2011)" }, "properties" : { "noteIndex" : 0 }, "schema" : "https://github.com/citation-style-language/schema/raw/master/csl-citation.json" }</w:instrText>
      </w:r>
      <w:r w:rsidRPr="00531789">
        <w:rPr>
          <w:rFonts w:ascii="Cambria" w:hAnsi="Cambria" w:cs="Arial"/>
        </w:rPr>
        <w:fldChar w:fldCharType="separate"/>
      </w:r>
      <w:r w:rsidRPr="00531789">
        <w:rPr>
          <w:rFonts w:ascii="Cambria" w:hAnsi="Cambria" w:cs="Arial"/>
          <w:noProof/>
        </w:rPr>
        <w:t>(Ainsworth and Bush, 2011)</w:t>
      </w:r>
      <w:r w:rsidRPr="00531789">
        <w:rPr>
          <w:rFonts w:ascii="Cambria" w:hAnsi="Cambria" w:cs="Arial"/>
        </w:rPr>
        <w:fldChar w:fldCharType="end"/>
      </w:r>
      <w:r w:rsidRPr="00531789">
        <w:rPr>
          <w:rFonts w:ascii="Cambria" w:hAnsi="Cambria" w:cs="Arial"/>
        </w:rPr>
        <w:t>, and high foliar TNC concentration is thus an indicator of sink limitation in both species, whilst the fact that TNC does not accumulate in roots under elevated CO</w:t>
      </w:r>
      <w:r w:rsidRPr="00531789">
        <w:rPr>
          <w:rFonts w:ascii="Cambria" w:hAnsi="Cambria" w:cs="Arial"/>
          <w:vertAlign w:val="subscript"/>
        </w:rPr>
        <w:t>2</w:t>
      </w:r>
      <w:r w:rsidRPr="00531789">
        <w:rPr>
          <w:rFonts w:ascii="Cambria" w:hAnsi="Cambria" w:cs="Arial"/>
        </w:rPr>
        <w:t xml:space="preserve"> in the perennial suggests that carbon transport may be more limiting in this species.  </w:t>
      </w:r>
    </w:p>
    <w:p w14:paraId="04250814" w14:textId="77777777" w:rsidR="00DF4522" w:rsidRPr="00531789" w:rsidRDefault="00DF4522" w:rsidP="00DF4522">
      <w:pPr>
        <w:spacing w:line="360" w:lineRule="auto"/>
        <w:jc w:val="both"/>
        <w:rPr>
          <w:rFonts w:ascii="Cambria" w:hAnsi="Cambria" w:cs="Courier New"/>
        </w:rPr>
      </w:pPr>
    </w:p>
    <w:p w14:paraId="1BB38D7B"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The pre-dawn leaf TNC concentrations are consistent with the pattern seen in photosynthesis. At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photosynthetic rate per unit leaf area and leaf TNC concentration are the same in annual and perennial barley. Although the perennial displays a greater response to [CO</w:t>
      </w:r>
      <w:r w:rsidRPr="00531789">
        <w:rPr>
          <w:rFonts w:ascii="Cambria" w:hAnsi="Cambria" w:cs="Courier New"/>
          <w:vertAlign w:val="subscript"/>
        </w:rPr>
        <w:t>2</w:t>
      </w:r>
      <w:r w:rsidRPr="00531789">
        <w:rPr>
          <w:rFonts w:ascii="Cambria" w:hAnsi="Cambria" w:cs="Courier New"/>
        </w:rPr>
        <w:t>] for these parameters, the total rate of photosynthesis and the total concentration of TNC never exceed those of the annual. This implies physiological or developmental limits that are common to both species – the annual is unable to utilise more photosynthate than it acquires at 400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by increasing partitioning to tillers and roots. In contrast, the perennial is able to utilise the additional photosynthate acquired at the highest CO</w:t>
      </w:r>
      <w:r w:rsidRPr="00531789">
        <w:rPr>
          <w:rFonts w:ascii="Cambria" w:hAnsi="Cambria" w:cs="Courier New"/>
          <w:vertAlign w:val="subscript"/>
        </w:rPr>
        <w:t>2</w:t>
      </w:r>
      <w:r w:rsidRPr="00531789">
        <w:rPr>
          <w:rFonts w:ascii="Cambria" w:hAnsi="Cambria" w:cs="Courier New"/>
        </w:rPr>
        <w:t xml:space="preserve"> concentration, but never exceeds the maximum rates of growth and photosynthesis seen in the annual (Figs. 1, 2, S3). This suggests that, whilst the perennial has greater developmental flexibility, its intrinsic capacities for photosynthesis and growth are no greater than those of the annual.</w:t>
      </w:r>
    </w:p>
    <w:p w14:paraId="52477396" w14:textId="77777777" w:rsidR="00DF4522" w:rsidRPr="00531789" w:rsidRDefault="00DF4522" w:rsidP="00DF4522">
      <w:pPr>
        <w:spacing w:line="360" w:lineRule="auto"/>
        <w:jc w:val="both"/>
        <w:rPr>
          <w:rFonts w:ascii="Cambria" w:hAnsi="Cambria" w:cs="Courier New"/>
        </w:rPr>
      </w:pPr>
    </w:p>
    <w:p w14:paraId="1A2A1B69" w14:textId="6038BA62" w:rsidR="00DF4522" w:rsidRPr="00531789" w:rsidRDefault="00DF4522" w:rsidP="00DF4522">
      <w:pPr>
        <w:spacing w:line="360" w:lineRule="auto"/>
        <w:jc w:val="both"/>
        <w:rPr>
          <w:rFonts w:ascii="Cambria" w:hAnsi="Cambria" w:cs="Courier New"/>
        </w:rPr>
      </w:pPr>
      <w:r w:rsidRPr="00531789">
        <w:rPr>
          <w:rFonts w:ascii="Cambria" w:hAnsi="Cambria" w:cs="Courier New"/>
        </w:rPr>
        <w:t>The daily accumulation of TNC in leaf organs is greater in the perennial than in the annual at 400 and 1500 µ</w:t>
      </w:r>
      <w:proofErr w:type="spellStart"/>
      <w:r w:rsidRPr="00531789">
        <w:rPr>
          <w:rFonts w:ascii="Cambria" w:hAnsi="Cambria" w:cs="Courier New"/>
        </w:rPr>
        <w:t>mol</w:t>
      </w:r>
      <w:proofErr w:type="spellEnd"/>
      <w:r w:rsidRPr="00531789">
        <w:rPr>
          <w:rFonts w:ascii="Cambria" w:hAnsi="Cambria" w:cs="Courier New"/>
        </w:rPr>
        <w:t xml:space="preserve"> mol</w:t>
      </w:r>
      <w:r w:rsidRPr="00531789">
        <w:rPr>
          <w:rFonts w:ascii="Cambria" w:hAnsi="Cambria" w:cs="Courier New"/>
          <w:vertAlign w:val="superscript"/>
        </w:rPr>
        <w:t>-1</w:t>
      </w:r>
      <w:r w:rsidRPr="00531789">
        <w:rPr>
          <w:rFonts w:ascii="Cambria" w:hAnsi="Cambria" w:cs="Courier New"/>
        </w:rPr>
        <w:t xml:space="preserve"> CO</w:t>
      </w:r>
      <w:r w:rsidRPr="00531789">
        <w:rPr>
          <w:rFonts w:ascii="Cambria" w:hAnsi="Cambria" w:cs="Courier New"/>
          <w:vertAlign w:val="subscript"/>
        </w:rPr>
        <w:t>2</w:t>
      </w:r>
      <w:r w:rsidRPr="00531789">
        <w:rPr>
          <w:rFonts w:ascii="Cambria" w:hAnsi="Cambria" w:cs="Courier New"/>
        </w:rPr>
        <w:t xml:space="preserve"> (Fig. 5), although the perennial has a lower basal level of TNC (Fig. 4). This low basal level suggests that the perennial is highly efficient at utilising the carbon acquired each day – by developing new sinks or enlarging existing ones, seen in the strong tillering response to elevated [CO</w:t>
      </w:r>
      <w:r w:rsidRPr="00531789">
        <w:rPr>
          <w:rFonts w:ascii="Cambria" w:hAnsi="Cambria" w:cs="Courier New"/>
          <w:vertAlign w:val="subscript"/>
        </w:rPr>
        <w:t>2</w:t>
      </w:r>
      <w:r w:rsidRPr="00531789">
        <w:rPr>
          <w:rFonts w:ascii="Cambria" w:hAnsi="Cambria" w:cs="Courier New"/>
        </w:rPr>
        <w:t xml:space="preserve">] (Table 1), or by increasing TNC storage in the leaf sheath (Fig. 4).  Developing new sinks such as tillers increases sink size, whilst increasing storage in existing sink organs increases sink activity; both enable the plant to </w:t>
      </w:r>
      <w:proofErr w:type="spellStart"/>
      <w:r w:rsidRPr="00531789">
        <w:rPr>
          <w:rFonts w:ascii="Cambria" w:hAnsi="Cambria" w:cs="Courier New"/>
        </w:rPr>
        <w:t>upregulate</w:t>
      </w:r>
      <w:proofErr w:type="spellEnd"/>
      <w:r w:rsidRPr="00531789">
        <w:rPr>
          <w:rFonts w:ascii="Cambria" w:hAnsi="Cambria" w:cs="Courier New"/>
        </w:rPr>
        <w:t xml:space="preserve"> its sink capacity </w:t>
      </w:r>
      <w:r w:rsidRPr="00531789">
        <w:rPr>
          <w:rFonts w:ascii="Cambria" w:hAnsi="Cambria" w:cs="Courier New"/>
        </w:rPr>
        <w:fldChar w:fldCharType="begin" w:fldLock="1"/>
      </w:r>
      <w:r w:rsidR="009133B6">
        <w:rPr>
          <w:rFonts w:ascii="Cambria" w:hAnsi="Cambria" w:cs="Courier New"/>
        </w:rPr>
        <w:instrText>ADDIN CSL_CITATION { "citationItems" : [ { "id" : "ITEM-1", "itemData" : { "author" : [ { "dropping-particle" : "", "family" : "Geiger", "given" : "D R", "non-dropping-particle" : "", "parse-names" : false, "suffix" : "" }, { "dropping-particle" : "", "family" : "Shieh", "given" : "W", "non-dropping-particle" : "", "parse-names" : false, "suffix" : "" } ], "container-title" : "Plant, Cell &amp; Environment", "id" : "ITEM-1", "issue" : "9", "issued" : { "date-parts" : [ [ "1993" ] ] }, "page" : "1017-1018", "title" : "Sink strength: learning to measure, measuring to learn", "type" : "article-journal", "volume" : "16" }, "uris" : [ "http://www.mendeley.com/documents/?uuid=b9f7c79f-01ed-4e5e-a48b-0c89d890af08" ] }, { "id" : "ITEM-2", "itemData" : { "DOI" : "10.1093/jxb/erv447", "ISSN" : "0022-0957", "author" : [ { "dropping-particle" : "", "family" : "White",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"Journal of Experimental Botany", "id" : "ITEM-2", "issue" : "1", "issued" : { "date-parts" : [ [ "2016" ] ] }, "page" : "31-45", "title" : "How can we make plants grow faster? A source\u2013sink perspective on growth rate", "type" : "article-journal", "volume" : "67" }, "uris" : [ "http://www.mendeley.com/documents/?uuid=071fcd57-e076-410e-903a-444abfb30785" ] } ], "mendeley" : { "formattedCitation" : "(Geiger and Shieh, 1993; White &lt;i&gt;et al.&lt;/i&gt;, 2016)", "manualFormatting" : "(Geiger and Shieh, 1993; White et al., 2016)", "plainTextFormattedCitation" : "(Geiger and Shieh, 1993; White et al., 2016)", "previouslyFormattedCitation" : "(Geiger and Shieh, 1993; White &lt;i&gt;et al.&lt;/i&gt;, 2016)" }, "properties" : { "noteIndex" : 0 }, "schema" : "https://github.com/citation-style-language/schema/raw/master/csl-citation.json" }</w:instrText>
      </w:r>
      <w:r w:rsidRPr="00531789">
        <w:rPr>
          <w:rFonts w:ascii="Cambria" w:hAnsi="Cambria" w:cs="Courier New"/>
        </w:rPr>
        <w:fldChar w:fldCharType="separate"/>
      </w:r>
      <w:r w:rsidRPr="00796CB6">
        <w:rPr>
          <w:rFonts w:ascii="Cambria" w:hAnsi="Cambria" w:cs="Courier New"/>
          <w:noProof/>
        </w:rPr>
        <w:t xml:space="preserve">(Geiger and Shieh, 1993; White </w:t>
      </w:r>
      <w:r w:rsidRPr="00796CB6">
        <w:rPr>
          <w:rFonts w:ascii="Cambria" w:hAnsi="Cambria" w:cs="Courier New"/>
          <w:i/>
          <w:noProof/>
        </w:rPr>
        <w:t>et al.</w:t>
      </w:r>
      <w:r w:rsidRPr="00796CB6">
        <w:rPr>
          <w:rFonts w:ascii="Cambria" w:hAnsi="Cambria" w:cs="Courier New"/>
          <w:noProof/>
        </w:rPr>
        <w:t xml:space="preserve">, </w:t>
      </w:r>
      <w:r w:rsidR="000055CC">
        <w:rPr>
          <w:rFonts w:ascii="Cambria" w:hAnsi="Cambria" w:cs="Courier New"/>
          <w:noProof/>
        </w:rPr>
        <w:t>2016</w:t>
      </w:r>
      <w:r w:rsidRPr="00796CB6">
        <w:rPr>
          <w:rFonts w:ascii="Cambria" w:hAnsi="Cambria" w:cs="Courier New"/>
          <w:noProof/>
        </w:rPr>
        <w:t>)</w:t>
      </w:r>
      <w:r w:rsidRPr="00531789">
        <w:rPr>
          <w:rFonts w:ascii="Cambria" w:hAnsi="Cambria" w:cs="Courier New"/>
        </w:rPr>
        <w:fldChar w:fldCharType="end"/>
      </w:r>
      <w:r w:rsidRPr="00531789">
        <w:rPr>
          <w:rFonts w:ascii="Cambria" w:hAnsi="Cambria" w:cs="Courier New"/>
        </w:rPr>
        <w:t xml:space="preserve">.  The high rate of tillering translates to a higher sink capacity and high demand for photosynthate which could explain </w:t>
      </w:r>
      <w:r w:rsidRPr="00531789">
        <w:rPr>
          <w:rFonts w:ascii="Cambria" w:hAnsi="Cambria" w:cs="Arial"/>
        </w:rPr>
        <w:t>the high accumulation of carbohydrates in these organs.</w:t>
      </w:r>
    </w:p>
    <w:p w14:paraId="5C6A3D6C" w14:textId="77777777" w:rsidR="00DF4522" w:rsidRPr="00531789" w:rsidRDefault="00DF4522" w:rsidP="00DF4522">
      <w:pPr>
        <w:spacing w:line="360" w:lineRule="auto"/>
        <w:jc w:val="both"/>
        <w:rPr>
          <w:rFonts w:ascii="Cambria" w:hAnsi="Cambria" w:cs="Courier New"/>
        </w:rPr>
      </w:pPr>
    </w:p>
    <w:p w14:paraId="72C32D80" w14:textId="77777777" w:rsidR="00DF4522" w:rsidRPr="00531789" w:rsidRDefault="00DF4522" w:rsidP="00DF4522">
      <w:pPr>
        <w:spacing w:line="360" w:lineRule="auto"/>
        <w:jc w:val="both"/>
        <w:rPr>
          <w:rFonts w:ascii="Cambria" w:hAnsi="Cambria" w:cs="Courier New"/>
          <w:b/>
        </w:rPr>
      </w:pPr>
      <w:r w:rsidRPr="00531789">
        <w:rPr>
          <w:rFonts w:ascii="Cambria" w:hAnsi="Cambria" w:cs="Courier New"/>
          <w:b/>
        </w:rPr>
        <w:t>Ecological strategies</w:t>
      </w:r>
    </w:p>
    <w:p w14:paraId="44B57C77" w14:textId="77777777" w:rsidR="00DF4522" w:rsidRPr="00531789" w:rsidRDefault="00DF4522" w:rsidP="00DF4522">
      <w:pPr>
        <w:spacing w:line="360" w:lineRule="auto"/>
        <w:jc w:val="both"/>
        <w:rPr>
          <w:rFonts w:ascii="Cambria" w:hAnsi="Cambria" w:cs="Courier New"/>
        </w:rPr>
      </w:pPr>
    </w:p>
    <w:p w14:paraId="0174A98A"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The typical growth strategy of wild annual plants can be caricatured as ‘live fast, die young’, leading to the expectation of a growth strategy that is primarily source limited during the lifetime of the plant, and that enables the annual to maximise the use of available CO</w:t>
      </w:r>
      <w:r w:rsidRPr="00531789">
        <w:rPr>
          <w:rFonts w:ascii="Cambria" w:hAnsi="Cambria" w:cs="Courier New"/>
          <w:vertAlign w:val="subscript"/>
        </w:rPr>
        <w:t>2</w:t>
      </w:r>
      <w:r w:rsidRPr="00531789">
        <w:rPr>
          <w:rFonts w:ascii="Cambria" w:hAnsi="Cambria" w:cs="Courier New"/>
        </w:rPr>
        <w:t xml:space="preserve"> for growth. We therefore expected the annual to be less sink limited than the perennial during vegetative growth</w:t>
      </w:r>
      <w:r>
        <w:rPr>
          <w:rFonts w:ascii="Cambria" w:hAnsi="Cambria" w:cs="Courier New"/>
        </w:rPr>
        <w:t>, especially since it is adapted for fertilised soils</w:t>
      </w:r>
      <w:r w:rsidRPr="00531789">
        <w:rPr>
          <w:rFonts w:ascii="Cambria" w:hAnsi="Cambria" w:cs="Courier New"/>
        </w:rPr>
        <w:t xml:space="preserve">.  In contrast, we expected the perennial to have a more conservative growth habit, ‘live slow, live long’, which limits photosynthesis and growth but is opportunistic, being </w:t>
      </w:r>
      <w:r>
        <w:rPr>
          <w:rFonts w:ascii="Cambria" w:hAnsi="Cambria" w:cs="Courier New"/>
        </w:rPr>
        <w:t xml:space="preserve">better </w:t>
      </w:r>
      <w:r w:rsidRPr="00531789">
        <w:rPr>
          <w:rFonts w:ascii="Cambria" w:hAnsi="Cambria" w:cs="Courier New"/>
        </w:rPr>
        <w:t xml:space="preserve">adapted for the possibility of low nutrients </w:t>
      </w:r>
      <w:r>
        <w:rPr>
          <w:rFonts w:ascii="Cambria" w:hAnsi="Cambria" w:cs="Courier New"/>
        </w:rPr>
        <w:t xml:space="preserve">in a variable environment </w:t>
      </w:r>
      <w:r w:rsidRPr="00531789">
        <w:rPr>
          <w:rFonts w:ascii="Cambria" w:hAnsi="Cambria" w:cs="Courier New"/>
        </w:rPr>
        <w:t>yet able to capitalise on rising [CO</w:t>
      </w:r>
      <w:r w:rsidRPr="00531789">
        <w:rPr>
          <w:rFonts w:ascii="Cambria" w:hAnsi="Cambria" w:cs="Courier New"/>
          <w:vertAlign w:val="subscript"/>
        </w:rPr>
        <w:t>2</w:t>
      </w:r>
      <w:r w:rsidRPr="00531789">
        <w:rPr>
          <w:rFonts w:ascii="Cambria" w:hAnsi="Cambria" w:cs="Courier New"/>
        </w:rPr>
        <w:t xml:space="preserve">] by increasing storage when substrates are available. </w:t>
      </w:r>
    </w:p>
    <w:p w14:paraId="7398D178" w14:textId="77777777" w:rsidR="00DF4522" w:rsidRPr="00531789" w:rsidRDefault="00DF4522" w:rsidP="00DF4522">
      <w:pPr>
        <w:spacing w:line="360" w:lineRule="auto"/>
        <w:jc w:val="both"/>
        <w:rPr>
          <w:rFonts w:ascii="Cambria" w:hAnsi="Cambria" w:cs="Courier New"/>
        </w:rPr>
      </w:pPr>
    </w:p>
    <w:p w14:paraId="48A8ED98"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 xml:space="preserve">Although plants are typically sink limited during the vegetative stage and transition to source limitation at reproduction </w:t>
      </w:r>
      <w:r w:rsidRPr="00531789">
        <w:rPr>
          <w:rFonts w:ascii="Cambria" w:hAnsi="Cambria" w:cs="Courier New"/>
        </w:rPr>
        <w:fldChar w:fldCharType="begin" w:fldLock="1"/>
      </w:r>
      <w:r w:rsidRPr="00531789">
        <w:rPr>
          <w:rFonts w:ascii="Cambria" w:hAnsi="Cambria" w:cs="Courier New"/>
        </w:rPr>
        <w:instrText>ADDIN CSL_CITATION { "citationItems" : [ { "id" : "ITEM-1", "itemData" : { "author" : [ { "dropping-particle" : "", "family" : "Arp", "given" : "W J", "non-dropping-particle" : "", "parse-names" : false, "suffix" : "" } ], "container-title" : "Plant, Cell &amp; Environment", "id" : "ITEM-1", "issued" : { "date-parts" : [ [ "1991" ] ] }, "page" : "869-875", "title" : "Effects of source-sink relations on photosynthetic acclimation to elevated CO2", "type" : "article-journal", "volume" : "14" }, "uris" : [ "http://www.mendeley.com/documents/?uuid=bb80a4ae-185e-48b5-858d-08efd177107a" ] } ], "mendeley" : { "formattedCitation" : "(Arp, 1991)", "plainTextFormattedCitation" : "(Arp, 1991)", "previouslyFormattedCitation" : "(Arp, 1991)" }, "properties" : { "noteIndex" : 0 }, "schema" : "https://github.com/citation-style-language/schema/raw/master/csl-citation.json" }</w:instrText>
      </w:r>
      <w:r w:rsidRPr="00531789">
        <w:rPr>
          <w:rFonts w:ascii="Cambria" w:hAnsi="Cambria" w:cs="Courier New"/>
        </w:rPr>
        <w:fldChar w:fldCharType="separate"/>
      </w:r>
      <w:r w:rsidRPr="00531789">
        <w:rPr>
          <w:rFonts w:ascii="Cambria" w:hAnsi="Cambria" w:cs="Courier New"/>
          <w:noProof/>
        </w:rPr>
        <w:t>(Arp, 1991)</w:t>
      </w:r>
      <w:r w:rsidRPr="00531789">
        <w:rPr>
          <w:rFonts w:ascii="Cambria" w:hAnsi="Cambria" w:cs="Courier New"/>
        </w:rPr>
        <w:fldChar w:fldCharType="end"/>
      </w:r>
      <w:r w:rsidRPr="00531789">
        <w:rPr>
          <w:rFonts w:ascii="Cambria" w:hAnsi="Cambria" w:cs="Courier New"/>
        </w:rPr>
        <w:t xml:space="preserve">, many crops are co-limited by sinks and sources during grain-filling </w:t>
      </w:r>
      <w:r w:rsidRPr="00531789">
        <w:rPr>
          <w:rFonts w:ascii="Cambria" w:hAnsi="Cambria" w:cs="Courier New"/>
        </w:rPr>
        <w:fldChar w:fldCharType="begin" w:fldLock="1"/>
      </w:r>
      <w:r>
        <w:rPr>
          <w:rFonts w:ascii="Cambria" w:hAnsi="Cambria" w:cs="Courier New"/>
        </w:rPr>
        <w:instrText>ADDIN CSL_CITATION { "citationItems" : [ { "id" : "ITEM-1", "itemData" : { "DOI" : "10.2135/cropsci2007.10.0545", "ISSN" : "1435-0653", "author" : [ { "dropping-particle" : "", "family" : "\u00c1lvaro", "given" : "F.", "non-dropping-particle" : "", "parse-names" : false, "suffix" : "" }, { "dropping-particle" : "", "family" : "Royo", "given" : "C.", "non-dropping-particle" : "", "parse-names" : false, "suffix" : "" }, { "dropping-particle" : "", "family" : "Garc\u00eda del Moral", "given" : "L. F.", "non-dropping-particle" : "", "parse-names" : false, "suffix" : "" }, { "dropping-particle" : "", "family" : "Villegas", "given" : "D.", "non-dropping-particle" : "", "parse-names" : false, "suffix" : "" } ], "container-title" : "Crop Science", "id" : "ITEM-1", "issue" : "4", "issued" : { "date-parts" : [ [ "2008" ] ] }, "page" : "1523", "title" : "Grain filling and dry matter translocation responses to source\u2013sink modifications in a historical series of durum wheat", "type" : "article-journal", "volume" : "48" }, "uris" : [ "http://www.mendeley.com/documents/?uuid=bc1c79db-bafd-44a8-a567-4cc46e4e66a9" ] }, { "id" : "ITEM-2", "itemData" : { "DOI" : "10.1016/j.fcr.2008.07.006", "ISSN" : "03784290", "author" : [ { "dropping-particle" : "", "family" : "Acreche", "given" : "Mart\u00edn M.", "non-dropping-particle" : "", "parse-names" : false, "suffix" : "" }, { "dropping-particle" : "", "family" : "Slafer", "given" : "Gustavo A.", "non-dropping-particle" : "", "parse-names" : false, "suffix" : "" } ], "container-title" : "Field Crops Research", "id" : "ITEM-2", "issue" : "2", "issued" : { "date-parts" : [ [ "2009", "2" ] ] }, "page" : "98-105", "title" : "Grain weight, radiation interception and use efficiency as affected by sink-strength in Mediterranean wheats released from 1940 to 2005", "type" : "article-journal", "volume" : "110" }, "uris" : [ "http://www.mendeley.com/documents/?uuid=c4038cd1-032b-4704-8eaf-d32835ccb089" ] }, { "id" : "ITEM-3", "itemData" : { "DOI" : "10.1016/j.copbio.2011.12.013", "ISSN" : "1879-0429", "PMID" : "22261558", "abstract" : "Source and sink strength control plant carbon gain and yield. Source strength was recently engineered by modifying the large subunit of Rubisco, replacing the small subunit, and creating improved thermostable Rubisco activases. This technological breakthrough makes Rubisco engineering feasible at last. Enhancement of leaf transitory starch synthesis or induction of artificial sinks in leaves increased biomass and yield. Importantly, such approaches also had a positive feedback on source strength. In addition, novel targets for the improvement of carbon gain in crops have been identified that are especially relevant in the light of climate change.", "author" : [ { "dropping-particle" : "", "family" : "Peterhansel", "given" : "Christoph", "non-dropping-particle" : "", "parse-names" : false, "suffix" : "" }, { "dropping-particle" : "", "family" : "Offermann", "given" : "Sascha", "non-dropping-particle" : "", "parse-names" : false, "suffix" : "" } ], "container-title" : "Current Opinion in Biotechnology", "id" : "ITEM-3", "issue" : "2", "issued" : { "date-parts" : [ [ "2012", "4" ] ] }, "page" : "204-8", "publisher" : "Elsevier Ltd", "title" : "Re-engineering of carbon fixation in plants - challenges for plant biotechnology to improve yields in a high-CO2 world.", "type" : "article-journal", "volume" : "23" }, "uris" : [ "http://www.mendeley.com/documents/?uuid=d88261af-c545-47f4-bac3-bc6b86d5add4" ] }, { "id" : "ITEM-4", "itemData" : { "DOI" : "10.1093/jxb/ers124", "ISSN" : "1460-2431", "PMID" : "22732107", "abstract" : "A dramatic change in agricultural crops is needed in order to keep pace with the demands of an increasing human population, exponential need for renewable fuels, and uncertain climatic changes. Grasses make up the vast majority of agricultural commodities. How these grasses capture, transport, and store carbohydrates underpins all aspects of crop productivity. Sink-source dynamics within the plant direct how much, where, and when carbohydrates are allocated, as well as determine the harvestable tissue. Carbohydrate partitioning can limit the yield capacity of these plants, thus offering a potential target for crop improvement. Grasses have the ability to buffer this sink-source interaction by transiently storing carbohydrates in stem tissue when production from the source is greater than whole-plant demand. These reserves improve yield stability in grain crops by providing an alternative source when photosynthetic capacity is reduced during the later phases of grain filling, or during periods of environmental and biotic stresses. Domesticated grasses such as sugarcane and sweet sorghum have undergone selection for high accumulation of stem carbohydrates, which serve as the primary sources of sugars for human and animal consumption, as well as ethanol production for fuel. With the enormous expectations placed on agricultural production in the near future, research into carbohydrate partitioning in grasses is essential for maintaining and increasing yields in grass crops. This review highlights the current knowledge of non-structural carbohydrate dynamics in grass stems and discusses the impacts of stem reserves in essential agronomic grasses.", "author" : [ { "dropping-particle" : "", "family" : "Slewinski", "given" : "Thomas L", "non-dropping-particle" : "", "parse-names" : false, "suffix" : "" } ], "container-title" : "Journal of Experimental Botany", "id" : "ITEM-4", "issue" : "13", "issued" : { "date-parts" : [ [ "2012", "8" ] ] }, "note" : "Quoted from text:\n\nThere are periods in the plant life cycle where carbohydrate production in source tissues exceeds the demands of sink tissues, and vice versa. This is in agreement with a more integrative view of sink\u2013source interactions which emphasizes a co-limitation, rather than strictly sink or source limitation (Slafer, 2003; Alvaro et al.,2008; Acreche and Slafer, 2011). For example in wheat, stem carbohydrates progressively accumulate in the stem until the stage of rapid grain filling when stem carbohydrates reserves become mobile and partition to the developing grain (Ruuska et al., 2006).\n\nThe nature of the plant life cycle also has a dramatic impact on whole-plant carbohydrate partitioning (Thompson and Stewart, 1981). Most of the grain-producing grasses are monocarpic annuals with only one chance at producing offspring before the life cycle ends. Thus, carbohydrate reserves buffer against extended periods of low light or drought, allowing plants to produce some viable seed. Perennials go one step further by storing carbohydrates in stems and roots, which may include rhizomes, to fuel re-growth of new tissues in the spring. \n\nStorage and remobilization strategies depend to a large degree on the form in which carbohydrates are stored. Depending on the species, stem carbohydrates can be stored as soluble sugars, such as sucrose, fructans (soluble polymers of fructose), or starch (insoluble polymers of glucose) (Halford et al., 2011). The amount of stored carbohydrate in the stem also varies with the species and cultivar of grass and is dependent on the stage of development and growing conditions. Some grasses that have a central lacuna can also store carbohydrate in the chloranchyma cells along the periphery of the stem.\n\nSome grasses store NSCs in the form of polymers in the storage parenchyma cells, either as starch or as fructans (Fig. 1C) (Morvan-Bertrand et al., 2001; Xue et al., 2008). Grass species that are indigenous to temperate climates and that regularly experience periods of drought and frost typically utilize fructans as a carbohydrate storage pool (Halford et al., 2011). Fructans are synthesized in the vacuolar lumen from imported sucrose (Pollock et al., 2003). Only a few grasses use starch as a primary reserve in thestems (discussed below). Unlike fructans, starch is formed in the plastids/amyloplasts by metabolic events both in the plastid and in the cytosol. Remobilization requires the breakdown of starch in the plastids, then sucrose re- synthesis in the cytosol before export from the cell. For further discussions on starch metabolism, see Zeeman et al. (2010) and Weise et al. (2011).\n\nCarbohydrate partitioning in rice plants is also interesting because plants store carbohydrate reserves as sucrose in the leaves and both starch and sucrose in the stems\u2014a pattern that diverges from many of the grasses (Scofield et al., 2009).\n\nQuantifying NSCs in stems at harvest is one way todetect sink\u2013source imbalances in grain-producing grasses. A recent survey of major domestic cultivars of rice grown under normal agricultural conditions in Japan found that all varieties have significant NSC left in the straw (Park et al., 2011). Other reports indicate that if too much nitrogen is applied to fields, or plants express the staygreen condition longer than is needed for grain fill, stems become saturated with starch (Pan et al., 2011). This starch is then disposed of in the chaff during harvest, which decreases the harvest index. Interestingly, hybrid rice varieties also have reduced harvest index, presumably due to the same phenomenon. These data suggest that rice exhibits more sink than source limitation imposed by constraints in the transport or grain-filling processes. This raises some important questions. Will increasing carbohydrate source strength be enough to increase yield? Does increased and sustained photosynthesis correlate with increased grain fill and harvest index? Carbohydrate partitioning involves not only the production, storage, and utilization of carbohydrates, but is also critically depen- dent on transport. Transport is determined by both the physiology and vascular architecture of the transport system (Dinant and Lemoine, 2010). Rice panicles that produce more spikelets per panicle, so-called \u2018Super Rice\u2019, have problems filling grains produced on the inferior spikelets (Yang and Zhang, 2010b). These plants become more \u2018source limited\u2019 as spikelet density increases, but the grain-filling problem may result from inadequate vascular connections to the inferior spikelet. This results in normal grain filling in the superior spikelet, but reduced in the inferior spikelets, throughout the panicle (Yang et al., 2002). Such morphogenetic constraints in the vascular system can confound investigations into sink\u2013source dynamics (Watson and Casper, 1984) ..... Increasing productivity will most probably require an extensive redesign of the plant, including the physical architecture of the vascular system and buffering capabilities in the stem, not simply the introduction of the C4 photosynthetic syndrome.\n\nIs it possible to optimize the sugar transport streamfurther in order to convert more of the NSCs in the stem into grain mass? As the data highlighted above suggest, there is still much that remains unknown about carbohy- drate partitioning in rice, and how entire life cycle dynamics impact yield. Even though many aspects of carbohydrate partitioning remain elusive, there is potential for improve- ment in the way currently grown cultivars convert carbohy- drate stores into harvested grains.\n\nThe roles and mechanisms of storing and remobilizing stem carbohydrates in wheat have been more intensely studied than in other grain-bearing grasses (Schnyder, 1993; Blum et al., 1994; Wardlaw and Willenbrink, 2000). This is because early researchers discovered a direct correlation between carbohydrate storage in the stems and the ability of the plants to maintain high yield stability under drought or other environmentally deleterious conditions (Bindinger et al., 1977; Asseng and Herwaarden, 2003). Mobilized reserves from the stem tissues can contribute ;20\u201340% of the final grain weight under normal non-stressed growing conditions (Dreccer et al., 2009). \n\nAs breeders and basic scientists raise both source and sink potentials, the physical architecture of the vascular system itself may become the new limiting factor in the carbon economy of the plant (Asli and Houshmandfar, 2011). Buffering the supply with stem carbohydrate reserves may be one way to maximize transport through a constrained vascular route. However, eventually the vascular system itself will have to be altered to accommodate the high rates of transport to the developing florets and grains. More research is needed in this area to identify substantial bottlenecks in transport and grain-filling processes.\n\nPresumably, influx into storage parenchyma cells of thesegrasses is symplasmic, as it is in many tissues that accumulate sugar polymers (Aoki et al., 2004). Stem NSC in wheat, barley, and oat is mostly in the form of fructans stored in the vacuoles of the stem storage parenchyma cells. Other major carbohydrates do not significantly contribute to the NSC reserves, or show little variance between high and low stem NSC lines (Bancal and Tribo\u0131\u00a8, 1993; Ruuska et al., 2006). Starch is present in the stem and leaves of wheat, but has been suggested to function as a source for vegetative growth rather than for mobilization to the grain (Scofield et al., 2009). Fructan synthesis may depend more on sucrose availability, as seen when fructans become rapidly labelled when [14C]sucrose is injected into wheat stems (Hogan and Hendrix, 1986). However, fructan concentrations in wheat are not directly correlated with fructosyltranserase activity (Goggin and Setter, 2004).\n\n\nIn barley, the most promising potential to increaseradiation use efficiency may come from alterations in sink\u2013 source dynamics (Bingham et al., 2007; Newton et al., 2011). Barley appears to be much more sink than source limited. Presumably, the low sink capacity of barley leads to a reduction in photosynthetic productivity due to feedback inhibition.\n\nImproving stress tolerance in wheat by manipulating NSCs in stems has already been put into practice in areas where environmental conditions are suboptimal (Ehdaie et al., 2006). Such is the case in Australia where severe and terminal droughts are common (Bell et al., 2010). Wheat cultivars that have high NSCs in stems show improved floret fertility, grain filling, and yield stability when grown under rain-fed or drought conditions. When these lines are grown under irrigated and non-stress conditions, yields from high stem NSC lines are comparable with those of low NSC lines, suggesting there are no yield penalties associated with high NSCs if the plant does not experience stress (Foulkes et al., 2007).\n\nClosing the yield gap will require drastic exploitation of the sink\u2013source relationship in the grass crops. However, most sink or source components that directly affect yield appear to be negatively correlated with each other (Slafer et al., 1996). The nature of these negative relationships remains unknown. Therefore, new descriptive models are needed that diverge from simple sink- or source-limited systems, to whole-plant entire life cycle systems to understand these relationships fully.\n\nCan larger stem NSC reserves increase radiation use efficiency in the grasses (Reynolds et al., 2011)? It has been suggested that in barley, one of the most promising ways to increase radiation use efficiency is to increase sink strength and storage capacity (Newton et al., 2011), which includes NSC reserves in the stems.", "page" : "4647-70", "title" : "Non-structural carbohydrate partitioning in grass stems: a target to increase yield stability, stress tolerance, and biofuel production.", "type" : "article-journal", "volume" : "63" }, "uris" : [ "http://www.mendeley.com/documents/?uuid=21ab6445-1653-4121-b68f-0126cb60d2ee" ] } ], "mendeley" : { "formattedCitation" : "(\u00c1lvaro &lt;i&gt;et al.&lt;/i&gt;, 2008; Acreche and Slafer, 2009; Peterhansel and Offermann, 2012; Slewinski, 2012)", "plainTextFormattedCitation" : "(\u00c1lvaro et al., 2008; Acreche and Slafer, 2009; Peterhansel and Offermann, 2012; Slewinski, 2012)", "previouslyFormattedCitation" : "(\u00c1lvaro &lt;i&gt;et al.&lt;/i&gt;, 2008; Acreche and Slafer, 2009; Peterhansel and Offermann, 2012; Slewinski, 2012)" }, "properties" : { "noteIndex" : 0 }, "schema" : "https://github.com/citation-style-language/schema/raw/master/csl-citation.json" }</w:instrText>
      </w:r>
      <w:r w:rsidRPr="00531789">
        <w:rPr>
          <w:rFonts w:ascii="Cambria" w:hAnsi="Cambria" w:cs="Courier New"/>
        </w:rPr>
        <w:fldChar w:fldCharType="separate"/>
      </w:r>
      <w:r w:rsidRPr="002C5907">
        <w:rPr>
          <w:rFonts w:ascii="Cambria" w:hAnsi="Cambria" w:cs="Courier New"/>
          <w:noProof/>
        </w:rPr>
        <w:t xml:space="preserve">(Álvaro </w:t>
      </w:r>
      <w:r w:rsidRPr="002C5907">
        <w:rPr>
          <w:rFonts w:ascii="Cambria" w:hAnsi="Cambria" w:cs="Courier New"/>
          <w:i/>
          <w:noProof/>
        </w:rPr>
        <w:t>et al.</w:t>
      </w:r>
      <w:r w:rsidRPr="002C5907">
        <w:rPr>
          <w:rFonts w:ascii="Cambria" w:hAnsi="Cambria" w:cs="Courier New"/>
          <w:noProof/>
        </w:rPr>
        <w:t>, 2008; Acreche and Slafer, 2009; Peterhansel and Offermann, 2012; Slewinski, 2012)</w:t>
      </w:r>
      <w:r w:rsidRPr="00531789">
        <w:rPr>
          <w:rFonts w:ascii="Cambria" w:hAnsi="Cambria" w:cs="Courier New"/>
        </w:rPr>
        <w:fldChar w:fldCharType="end"/>
      </w:r>
      <w:r w:rsidRPr="00531789">
        <w:rPr>
          <w:rFonts w:ascii="Cambria" w:hAnsi="Cambria" w:cs="Courier New"/>
        </w:rPr>
        <w:t xml:space="preserve">.  We anticipated that during the vegetative stage, the ‘live slow’ perennial would be more sink limited than the ‘live fast’ annual </w:t>
      </w:r>
      <w:r w:rsidRPr="00531789">
        <w:rPr>
          <w:rFonts w:ascii="Cambria" w:hAnsi="Cambria" w:cs="Courier New"/>
        </w:rPr>
        <w:fldChar w:fldCharType="begin" w:fldLock="1"/>
      </w:r>
      <w:r>
        <w:rPr>
          <w:rFonts w:ascii="Cambria" w:hAnsi="Cambria" w:cs="Courier New"/>
        </w:rPr>
        <w:instrText>ADDIN CSL_CITATION { "citationItems" : [ { "id" : "ITEM-1", "itemData" : { "ISBN" : "0011-183X", "author" : [ { "dropping-particle" : "", "family" : "Jaikumar", "given" : "Nikhil S", "non-dropping-particle" : "", "parse-names" : false, "suffix" : "" }, { "dropping-particle" : "", "family" : "Snapp", "given" : "Sieglinde S", "non-dropping-particle" : "", "parse-names" : false, "suffix" : "" }, { "dropping-particle" : "", "family" : "Flore", "given" : "James A", "non-dropping-particle" : "", "parse-names" : false, "suffix" : "" }, { "dropping-particle" : "", "family" : "Loescher", "given" : "Wayne", "non-dropping-particle" : "", "parse-names" : false, "suffix" : "" } ], "container-title" : "Crop Science", "id" : "ITEM-1", "issued" : { "date-parts" : [ [ "2014" ] ] }, "page" : "274-283", "title" : "Photosynthetic Responses in Annual Rye, Perennial Wheat, and Perennial Rye Subjected to Modest Source: Sink Ratio Changes", "type" : "article-journal", "volume" : "54" }, "uris" : [ "http://www.mendeley.com/documents/?uuid=4586da10-7cdb-47f8-84b1-4ad27a5284ad" ] } ], "mendeley" : { "formattedCitation" : "(Jaikumar &lt;i&gt;et al.&lt;/i&gt;, 2014)", "plainTextFormattedCitation" : "(Jaikumar et al., 2014)", "previouslyFormattedCitation" : "(Jaikumar &lt;i&gt;et al.&lt;/i&gt;, 2014)" }, "properties" : { "noteIndex" : 0 }, "schema" : "https://github.com/citation-style-language/schema/raw/master/csl-citation.json" }</w:instrText>
      </w:r>
      <w:r w:rsidRPr="00531789">
        <w:rPr>
          <w:rFonts w:ascii="Cambria" w:hAnsi="Cambria" w:cs="Courier New"/>
        </w:rPr>
        <w:fldChar w:fldCharType="separate"/>
      </w:r>
      <w:r w:rsidRPr="002C5907">
        <w:rPr>
          <w:rFonts w:ascii="Cambria" w:hAnsi="Cambria" w:cs="Courier New"/>
          <w:noProof/>
        </w:rPr>
        <w:t xml:space="preserve">(Jaikumar </w:t>
      </w:r>
      <w:r w:rsidRPr="002C5907">
        <w:rPr>
          <w:rFonts w:ascii="Cambria" w:hAnsi="Cambria" w:cs="Courier New"/>
          <w:i/>
          <w:noProof/>
        </w:rPr>
        <w:t>et al.</w:t>
      </w:r>
      <w:r w:rsidRPr="002C5907">
        <w:rPr>
          <w:rFonts w:ascii="Cambria" w:hAnsi="Cambria" w:cs="Courier New"/>
          <w:noProof/>
        </w:rPr>
        <w:t>, 2014)</w:t>
      </w:r>
      <w:r w:rsidRPr="00531789">
        <w:rPr>
          <w:rFonts w:ascii="Cambria" w:hAnsi="Cambria" w:cs="Courier New"/>
        </w:rPr>
        <w:fldChar w:fldCharType="end"/>
      </w:r>
      <w:r w:rsidRPr="00531789">
        <w:rPr>
          <w:rFonts w:ascii="Cambria" w:hAnsi="Cambria" w:cs="Courier New"/>
        </w:rPr>
        <w:t xml:space="preserve">.  The results confounded these expectations. </w:t>
      </w:r>
    </w:p>
    <w:p w14:paraId="13AFAF1F" w14:textId="77777777" w:rsidR="00DF4522" w:rsidRPr="00531789" w:rsidRDefault="00DF4522" w:rsidP="00DF4522">
      <w:pPr>
        <w:spacing w:line="360" w:lineRule="auto"/>
        <w:jc w:val="both"/>
        <w:rPr>
          <w:rFonts w:ascii="Cambria" w:hAnsi="Cambria" w:cs="Courier New"/>
        </w:rPr>
      </w:pPr>
    </w:p>
    <w:p w14:paraId="55DDF600"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 xml:space="preserve">The perennial adopts more of a ‘live fast’ strategy than anticipated; perennials generally store carbon for future use </w:t>
      </w:r>
      <w:r w:rsidRPr="00531789">
        <w:rPr>
          <w:rFonts w:ascii="Cambria" w:hAnsi="Cambria" w:cs="Courier New"/>
        </w:rPr>
        <w:fldChar w:fldCharType="begin" w:fldLock="1"/>
      </w:r>
      <w:r>
        <w:rPr>
          <w:rFonts w:ascii="Cambria" w:hAnsi="Cambria" w:cs="Courier New"/>
        </w:rPr>
        <w:instrText>ADDIN CSL_CITATION { "citationItems" : [ { "id" : "ITEM-1", "itemData" : { "DOI" : "10.1111/j.1469-8137.2012.04274.x", "ISSN" : "1469-8137", "PMID" : "22924406", "abstract" : "Life history theory posits that slower-growing species should invest proportionally more resources to storage, structural (e.g. stems) or defence traits than fast-growing species. Previously, we showed that the slower-growing monocarpic plants had lower mortality rates and higher bolting probabilities after two defoliation events. Here, we consider a mechanistic explanation, that the slower-growing species invested relatively more resources to storage. We compared the relative levels of root storage compounds between eight monocarpic species using metabolomic profiling, and characterized plant growth using a size-corrected estimate of relative growth rate (RGR). Growth rate was negatively correlated with the proportional allocation of root metabolites identified as sucrose, raffinose and stachyose and with amino acids known for their roles in nitrogen storage, particularly proline and arginine. The total amount and concentration of energy-corrected carbohydrates were also negatively correlated with RGR. Our results show for the first time that slower-growing species invest proportionally more of their total root metabolites in carbon- and nitrogen-storage compounds. We conclude that the increased investment in these reserves is an important resource allocation strategy underlying the growth-survival trade-off in plants.", "author" : [ { "dropping-particle" : "", "family" : "Atkinson", "given" : "Rebecca R L", "non-dropping-particle" : "", "parse-names" : false, "suffix" : "" }, { "dropping-particle" : "", "family" : "Burrell", "given" : "Mike M", "non-dropping-particle" : "", "parse-names" : false, "suffix" : "" }, { "dropping-particle" : "", "family" : "Osborne", "given" : "Colin P", "non-dropping-particle" : "", "parse-names" : false, "suffix" : "" }, { "dropping-particle" : "", "family" : "Rose", "given" : "Karen E", "non-dropping-particle" : "", "parse-names" : false, "suffix" : "" }, { "dropping-particle" : "", "family" : "Rees", "given" : "Mark", "non-dropping-particle" : "", "parse-names" : false, "suffix" : "" } ], "container-title" : "New Phytologist", "id" : "ITEM-1", "issue" : "1", "issued" : { "date-parts" : [ [ "2012", "10" ] ] }, "page" : "200-11", "title" : "A non-targeted metabolomics approach to quantifying differences in root storage between fast- and slow-growing plants.", "type" : "article-journal", "volume" : "196" }, "uris" : [ "http://www.mendeley.com/documents/?uuid=79aa9d4d-1520-44c2-8fde-d9ac3cf30287" ] } ], "mendeley" : { "formattedCitation" : "(Atkinson &lt;i&gt;et al.&lt;/i&gt;, 2012)", "plainTextFormattedCitation" : "(Atkinson et al., 2012)", "previouslyFormattedCitation" : "(Atkinson &lt;i&gt;et al.&lt;/i&gt;, 2012)" }, "properties" : { "noteIndex" : 0 }, "schema" : "https://github.com/citation-style-language/schema/raw/master/csl-citation.json" }</w:instrText>
      </w:r>
      <w:r w:rsidRPr="00531789">
        <w:rPr>
          <w:rFonts w:ascii="Cambria" w:hAnsi="Cambria" w:cs="Courier New"/>
        </w:rPr>
        <w:fldChar w:fldCharType="separate"/>
      </w:r>
      <w:r w:rsidRPr="002C5907">
        <w:rPr>
          <w:rFonts w:ascii="Cambria" w:hAnsi="Cambria" w:cs="Courier New"/>
          <w:noProof/>
        </w:rPr>
        <w:t xml:space="preserve">(Atkinson </w:t>
      </w:r>
      <w:r w:rsidRPr="002C5907">
        <w:rPr>
          <w:rFonts w:ascii="Cambria" w:hAnsi="Cambria" w:cs="Courier New"/>
          <w:i/>
          <w:noProof/>
        </w:rPr>
        <w:t>et al.</w:t>
      </w:r>
      <w:r w:rsidRPr="002C5907">
        <w:rPr>
          <w:rFonts w:ascii="Cambria" w:hAnsi="Cambria" w:cs="Courier New"/>
          <w:noProof/>
        </w:rPr>
        <w:t>, 2012)</w:t>
      </w:r>
      <w:r w:rsidRPr="00531789">
        <w:rPr>
          <w:rFonts w:ascii="Cambria" w:hAnsi="Cambria" w:cs="Courier New"/>
        </w:rPr>
        <w:fldChar w:fldCharType="end"/>
      </w:r>
      <w:r w:rsidRPr="00531789">
        <w:rPr>
          <w:rFonts w:ascii="Cambria" w:hAnsi="Cambria" w:cs="Courier New"/>
        </w:rPr>
        <w:t>, yet here the perennial showed a dramatic increase in growth under elevated [CO</w:t>
      </w:r>
      <w:r w:rsidRPr="00531789">
        <w:rPr>
          <w:rFonts w:ascii="Cambria" w:hAnsi="Cambria" w:cs="Courier New"/>
          <w:vertAlign w:val="subscript"/>
        </w:rPr>
        <w:t>2</w:t>
      </w:r>
      <w:r w:rsidRPr="00531789">
        <w:rPr>
          <w:rFonts w:ascii="Cambria" w:hAnsi="Cambria" w:cs="Courier New"/>
        </w:rPr>
        <w:t xml:space="preserve">] rather than an increase in storage, indicating source limitation. Coming from a fluctuating natural environment, and being able to grow in a variety of habitats including roadsides, ditches and rich grassy meadows and at varying altitudes </w:t>
      </w:r>
      <w:r w:rsidRPr="00531789">
        <w:rPr>
          <w:rFonts w:ascii="Cambria" w:hAnsi="Cambria" w:cs="Courier New"/>
        </w:rPr>
        <w:fldChar w:fldCharType="begin" w:fldLock="1"/>
      </w:r>
      <w:r w:rsidRPr="00531789">
        <w:rPr>
          <w:rFonts w:ascii="Cambria" w:hAnsi="Cambria" w:cs="Courier New"/>
        </w:rPr>
        <w:instrText>ADDIN CSL_CITATION { "citationItems" : [ { "id" : "ITEM-1", "itemData" : { "ISSN" : "0255-0105", "author" : [ { "dropping-particle" : "", "family" : "Bothmer", "given" : "Roland", "non-dropping-particle" : "von", "parse-names" : false, "suffix" : "" } ], "container-title" : "Annalen des Naturhistorischen Museums in Wien, Serie B", "id" : "ITEM-1", "issued" : { "date-parts" : [ [ "1996" ] ] }, "page" : "107-116", "title" : "Distribution and habitat preferences in the genus Hordeum in Iran and Turkey", "type" : "article-journal", "volume" : "98-Suppl." }, "uris" : [ "http://www.mendeley.com/documents/?uuid=a5a8cb05-a032-40ec-9973-49f43d06e606" ] } ], "mendeley" : { "formattedCitation" : "(von Bothmer, 1996)", "plainTextFormattedCitation" : "(von Bothmer, 1996)", "previouslyFormattedCitation" : "(von Bothmer, 1996)" }, "properties" : { "noteIndex" : 0 }, "schema" : "https://github.com/citation-style-language/schema/raw/master/csl-citation.json" }</w:instrText>
      </w:r>
      <w:r w:rsidRPr="00531789">
        <w:rPr>
          <w:rFonts w:ascii="Cambria" w:hAnsi="Cambria" w:cs="Courier New"/>
        </w:rPr>
        <w:fldChar w:fldCharType="separate"/>
      </w:r>
      <w:r w:rsidRPr="00531789">
        <w:rPr>
          <w:rFonts w:ascii="Cambria" w:hAnsi="Cambria" w:cs="Courier New"/>
          <w:noProof/>
        </w:rPr>
        <w:t>(von Bothmer, 1996)</w:t>
      </w:r>
      <w:r w:rsidRPr="00531789">
        <w:rPr>
          <w:rFonts w:ascii="Cambria" w:hAnsi="Cambria" w:cs="Courier New"/>
        </w:rPr>
        <w:fldChar w:fldCharType="end"/>
      </w:r>
      <w:r w:rsidRPr="00531789">
        <w:rPr>
          <w:rFonts w:ascii="Cambria" w:hAnsi="Cambria" w:cs="Courier New"/>
        </w:rPr>
        <w:t>, the wild perennial has the plasticity to maximise growth when CO</w:t>
      </w:r>
      <w:r w:rsidRPr="00531789">
        <w:rPr>
          <w:rFonts w:ascii="Cambria" w:hAnsi="Cambria" w:cs="Courier New"/>
          <w:vertAlign w:val="subscript"/>
        </w:rPr>
        <w:t>2</w:t>
      </w:r>
      <w:r w:rsidRPr="00531789">
        <w:rPr>
          <w:rFonts w:ascii="Cambria" w:hAnsi="Cambria" w:cs="Courier New"/>
        </w:rPr>
        <w:t xml:space="preserve"> is abundant.  However, a perennial confined to unproductive habitats might be expected to display slower growth and greater sink limitation.</w:t>
      </w:r>
    </w:p>
    <w:p w14:paraId="3F33519D" w14:textId="77777777" w:rsidR="00DF4522" w:rsidRPr="00531789" w:rsidRDefault="00DF4522" w:rsidP="00DF4522">
      <w:pPr>
        <w:spacing w:line="360" w:lineRule="auto"/>
        <w:jc w:val="both"/>
        <w:rPr>
          <w:rFonts w:ascii="Cambria" w:hAnsi="Cambria" w:cs="Courier New"/>
        </w:rPr>
      </w:pPr>
    </w:p>
    <w:p w14:paraId="2ECED84A" w14:textId="735E7DF9" w:rsidR="00DF4522" w:rsidRPr="00531789" w:rsidRDefault="00DF4522" w:rsidP="00DF4522">
      <w:pPr>
        <w:spacing w:line="360" w:lineRule="auto"/>
        <w:jc w:val="both"/>
        <w:rPr>
          <w:rFonts w:ascii="Cambria" w:hAnsi="Cambria" w:cs="Courier New"/>
        </w:rPr>
      </w:pPr>
      <w:r w:rsidRPr="00531789">
        <w:rPr>
          <w:rFonts w:ascii="Cambria" w:hAnsi="Cambria" w:cs="Courier New"/>
        </w:rPr>
        <w:t xml:space="preserve">In contrast, the developmental plasticity of the annual appears to have been altered through selective breeding such that it cannot adapt to live faster when conditions allow and </w:t>
      </w:r>
      <w:r>
        <w:rPr>
          <w:rFonts w:ascii="Cambria" w:hAnsi="Cambria" w:cs="Courier New"/>
        </w:rPr>
        <w:t xml:space="preserve">the results of this study show that </w:t>
      </w:r>
      <w:r w:rsidRPr="00531789">
        <w:rPr>
          <w:rFonts w:ascii="Cambria" w:hAnsi="Cambria" w:cs="Courier New"/>
        </w:rPr>
        <w:t>it is sink limited</w:t>
      </w:r>
      <w:r>
        <w:rPr>
          <w:rFonts w:ascii="Cambria" w:hAnsi="Cambria" w:cs="Courier New"/>
        </w:rPr>
        <w:t xml:space="preserve"> during vegetative growth, in addition to being sink limited during reproduction </w:t>
      </w:r>
      <w:r w:rsidRPr="00531789">
        <w:rPr>
          <w:rFonts w:ascii="Cambria" w:hAnsi="Cambria" w:cs="Courier New"/>
        </w:rPr>
        <w:fldChar w:fldCharType="begin" w:fldLock="1"/>
      </w:r>
      <w:r w:rsidR="000865EF">
        <w:rPr>
          <w:rFonts w:ascii="Cambria" w:hAnsi="Cambria" w:cs="Courier New"/>
        </w:rPr>
        <w:instrText>ADDIN CSL_CITATION { "citationItems" : [ { "id" : "ITEM-1", "itemData" : { "DOI" : "10.1016/j.fcr.2006.11.005", "ISSN" : "03784290", "author" : [ { "dropping-particle" : "", "family" : "Bingham", "given" : "Ian J.", "non-dropping-particle" : "", "parse-names" : false, "suffix" : "" }, { "dropping-particle" : "", "family" : "Blake", "given" : "Jonathan", "non-dropping-particle" : "", "parse-names" : false, "suffix" : "" }, { "dropping-particle" : "", "family" : "Foulkes", "given" : "M. John", "non-dropping-particle" : "", "parse-names" : false, "suffix" : "" }, { "dropping-particle" : "", "family" : "Spink", "given" : "John", "non-dropping-particle" : "", "parse-names" : false, "suffix" : "" } ], "container-title" : "Field Crops Research", "id" : "ITEM-1", "issue" : "2", "issued" : { "date-parts" : [ [ "2007", "3" ] ] }, "page" : "198-211", "title" : "Is barley yield in the UK sink limited?", "type" : "article-journal", "volume" : "101" }, "uris" : [ "http://www.mendeley.com/documents/?uuid=4d6220d6-baa7-40e5-a9dc-e5712127fd68" ] }, { "id" : "ITEM-2", "itemData" : { "DOI" : "10.1016/j.fcr.2013.05.016", "ISSN" : "03784290", "author" : [ { "dropping-particle" : "", "family" : "Serrago", "given" : "Rom\u00e1n A", "non-dropping-particle" : "", "parse-names" : false, "suffix" : "" }, { "dropping-particle" : "", "family" : "Alzueta", "given" : "Ignacio", "non-dropping-particle" : "", "parse-names" : false, "suffix" : "" }, { "dropping-particle" : "", "family" : "Savin", "given" : "Roxana", "non-dropping-particle" : "", "parse-names" : false, "suffix" : "" }, { "dropping-particle" : "", "family" : "Slafer", "given" : "Gustavo A", "non-dropping-particle" : "", "parse-names" : false, "suffix" : "" } ], "container-title" : "Field Crops Research", "id" : "ITEM-2", "issued" : { "date-parts" : [ [ "2013", "8" ] ] }, "page" : "42-51", "publisher" : "Elsevier B.V.", "title" : "Understanding grain yield responses to source\u2013sink ratios during grain filling in wheat and barley under contrasting environments", "type" : "article-journal", "volume" : "150" }, "uris" : [ "http://www.mendeley.com/documents/?uuid=369654bb-6b42-46c3-b263-b6ba3c2009f8" ] }, { "id" : "ITEM-3", "itemData" : { "author" : [ { "dropping-particle" : "", "family" : "Schnyder", "given" : "Hans", "non-dropping-particle" : "", "parse-names" : false, "suffix" : "" } ], "container-title" : "New Phytologist", "id" : "ITEM-3", "issued" : { "date-parts" : [ [ "1993" ] ] }, "page" : "233-245", "title" : "The role of carbohydrate storage and redistribution in the source-sink relations of wheat and barley during grain filling - a review", "type" : "article-journal", "volume" : "123" }, "uris" : [ "http://www.mendeley.com/documents/?uuid=a96ba76f-e7bb-4eae-8406-df68dc700307" ] } ], "mendeley" : { "formattedCitation" : "(Schnyder, 1993; Bingham &lt;i&gt;et al.&lt;/i&gt;, 2007; Serrago &lt;i&gt;et al.&lt;/i&gt;, 2013)", "plainTextFormattedCitation" : "(Schnyder, 1993; Bingham et al., 2007; Serrago et al., 2013)", "previouslyFormattedCitation" : "(Schnyder, 1993; Bingham &lt;i&gt;et al.&lt;/i&gt;, 2007; Serrago &lt;i&gt;et al.&lt;/i&gt;, 2013)" }, "properties" : { "noteIndex" : 0 }, "schema" : "https://github.com/citation-style-language/schema/raw/master/csl-citation.json" }</w:instrText>
      </w:r>
      <w:r w:rsidRPr="00531789">
        <w:rPr>
          <w:rFonts w:ascii="Cambria" w:hAnsi="Cambria" w:cs="Courier New"/>
        </w:rPr>
        <w:fldChar w:fldCharType="separate"/>
      </w:r>
      <w:r w:rsidR="000865EF" w:rsidRPr="000865EF">
        <w:rPr>
          <w:rFonts w:ascii="Cambria" w:hAnsi="Cambria" w:cs="Courier New"/>
          <w:noProof/>
        </w:rPr>
        <w:t xml:space="preserve">(Schnyder, 1993; Bingham </w:t>
      </w:r>
      <w:r w:rsidR="000865EF" w:rsidRPr="000865EF">
        <w:rPr>
          <w:rFonts w:ascii="Cambria" w:hAnsi="Cambria" w:cs="Courier New"/>
          <w:i/>
          <w:noProof/>
        </w:rPr>
        <w:t>et al.</w:t>
      </w:r>
      <w:r w:rsidR="000865EF" w:rsidRPr="000865EF">
        <w:rPr>
          <w:rFonts w:ascii="Cambria" w:hAnsi="Cambria" w:cs="Courier New"/>
          <w:noProof/>
        </w:rPr>
        <w:t xml:space="preserve">, 2007; Serrago </w:t>
      </w:r>
      <w:r w:rsidR="000865EF" w:rsidRPr="000865EF">
        <w:rPr>
          <w:rFonts w:ascii="Cambria" w:hAnsi="Cambria" w:cs="Courier New"/>
          <w:i/>
          <w:noProof/>
        </w:rPr>
        <w:t>et al.</w:t>
      </w:r>
      <w:r w:rsidR="000865EF" w:rsidRPr="000865EF">
        <w:rPr>
          <w:rFonts w:ascii="Cambria" w:hAnsi="Cambria" w:cs="Courier New"/>
          <w:noProof/>
        </w:rPr>
        <w:t>, 2013)</w:t>
      </w:r>
      <w:r w:rsidRPr="00531789">
        <w:rPr>
          <w:rFonts w:ascii="Cambria" w:hAnsi="Cambria" w:cs="Courier New"/>
        </w:rPr>
        <w:fldChar w:fldCharType="end"/>
      </w:r>
      <w:r>
        <w:rPr>
          <w:rFonts w:ascii="Cambria" w:hAnsi="Cambria" w:cs="Courier New"/>
        </w:rPr>
        <w:t>.  This suggests that</w:t>
      </w:r>
      <w:r w:rsidRPr="00531789">
        <w:rPr>
          <w:rFonts w:ascii="Cambria" w:hAnsi="Cambria" w:cs="Courier New"/>
        </w:rPr>
        <w:t xml:space="preserve"> the annual would remain sink limited in the reproductive stage </w:t>
      </w:r>
      <w:r>
        <w:rPr>
          <w:rFonts w:ascii="Cambria" w:hAnsi="Cambria" w:cs="Courier New"/>
        </w:rPr>
        <w:t xml:space="preserve">even </w:t>
      </w:r>
      <w:r w:rsidRPr="00531789">
        <w:rPr>
          <w:rFonts w:ascii="Cambria" w:hAnsi="Cambria" w:cs="Courier New"/>
        </w:rPr>
        <w:t>under elevated [CO</w:t>
      </w:r>
      <w:r w:rsidRPr="00531789">
        <w:rPr>
          <w:rFonts w:ascii="Cambria" w:hAnsi="Cambria" w:cs="Courier New"/>
          <w:vertAlign w:val="subscript"/>
        </w:rPr>
        <w:t>2</w:t>
      </w:r>
      <w:r w:rsidRPr="00531789">
        <w:rPr>
          <w:rFonts w:ascii="Cambria" w:hAnsi="Cambria" w:cs="Courier New"/>
        </w:rPr>
        <w:t>], and its limited developmental plasticity seen in the low [CO</w:t>
      </w:r>
      <w:r w:rsidRPr="00531789">
        <w:rPr>
          <w:rFonts w:ascii="Cambria" w:hAnsi="Cambria" w:cs="Courier New"/>
          <w:vertAlign w:val="subscript"/>
        </w:rPr>
        <w:t>2</w:t>
      </w:r>
      <w:r w:rsidRPr="00531789">
        <w:rPr>
          <w:rFonts w:ascii="Cambria" w:hAnsi="Cambria" w:cs="Courier New"/>
        </w:rPr>
        <w:t>] responses of tillering and root allocation would be mirrored in a poor ability to create sufficient grain sinks to efficiently utilise additional carbon resources under elevated [CO</w:t>
      </w:r>
      <w:r w:rsidRPr="00531789">
        <w:rPr>
          <w:rFonts w:ascii="Cambria" w:hAnsi="Cambria" w:cs="Courier New"/>
          <w:vertAlign w:val="subscript"/>
        </w:rPr>
        <w:t>2</w:t>
      </w:r>
      <w:r w:rsidRPr="00531789">
        <w:rPr>
          <w:rFonts w:ascii="Cambria" w:hAnsi="Cambria" w:cs="Courier New"/>
        </w:rPr>
        <w:t>].  If this were the case, it would be important in the current global context of rising atmospheric [CO</w:t>
      </w:r>
      <w:r w:rsidRPr="00531789">
        <w:rPr>
          <w:rFonts w:ascii="Cambria" w:hAnsi="Cambria" w:cs="Courier New"/>
          <w:vertAlign w:val="subscript"/>
        </w:rPr>
        <w:t>2</w:t>
      </w:r>
      <w:r w:rsidRPr="00531789">
        <w:rPr>
          <w:rFonts w:ascii="Cambria" w:hAnsi="Cambria" w:cs="Courier New"/>
        </w:rPr>
        <w:t xml:space="preserve">], since the sink strength of barley would limit yield of this important crop, and a concerted effort to increase sink strength would be a vital part of breeding programmes in order to increase yield.  </w:t>
      </w:r>
    </w:p>
    <w:p w14:paraId="504C6A12" w14:textId="77777777" w:rsidR="00DF4522" w:rsidRPr="00531789" w:rsidRDefault="00DF4522" w:rsidP="00DF4522">
      <w:pPr>
        <w:spacing w:line="360" w:lineRule="auto"/>
        <w:jc w:val="both"/>
        <w:rPr>
          <w:rFonts w:ascii="Cambria" w:hAnsi="Cambria" w:cs="Courier New"/>
          <w:b/>
        </w:rPr>
      </w:pPr>
    </w:p>
    <w:p w14:paraId="1E8E108E" w14:textId="77777777" w:rsidR="00DF4522" w:rsidRPr="00531789" w:rsidRDefault="00DF4522" w:rsidP="00DF4522">
      <w:pPr>
        <w:rPr>
          <w:rFonts w:ascii="Cambria" w:hAnsi="Cambria"/>
          <w:b/>
        </w:rPr>
      </w:pPr>
      <w:r w:rsidRPr="00531789">
        <w:rPr>
          <w:rFonts w:ascii="Cambria" w:hAnsi="Cambria"/>
          <w:b/>
        </w:rPr>
        <w:t>CONCLUSIONS</w:t>
      </w:r>
    </w:p>
    <w:p w14:paraId="4B1DCD29" w14:textId="77777777" w:rsidR="00DF4522" w:rsidRPr="00531789" w:rsidRDefault="00DF4522" w:rsidP="00DF4522">
      <w:pPr>
        <w:spacing w:line="360" w:lineRule="auto"/>
        <w:jc w:val="both"/>
        <w:rPr>
          <w:rFonts w:ascii="Cambria" w:hAnsi="Cambria" w:cs="Courier New"/>
        </w:rPr>
      </w:pPr>
    </w:p>
    <w:p w14:paraId="515472DD" w14:textId="77777777" w:rsidR="00DF4522" w:rsidRPr="00531789" w:rsidRDefault="00DF4522" w:rsidP="00DF4522">
      <w:pPr>
        <w:spacing w:line="360" w:lineRule="auto"/>
        <w:jc w:val="both"/>
        <w:rPr>
          <w:rFonts w:ascii="Cambria" w:hAnsi="Cambria" w:cs="Courier New"/>
        </w:rPr>
      </w:pPr>
      <w:r w:rsidRPr="00531789">
        <w:rPr>
          <w:rFonts w:ascii="Cambria" w:hAnsi="Cambria" w:cs="Courier New"/>
        </w:rPr>
        <w:t>Contrary to expectations that the fast-growing annual would be less sink limited and show a greater increase in growth and photosynthesis in response to elevated [CO</w:t>
      </w:r>
      <w:r w:rsidRPr="00531789">
        <w:rPr>
          <w:rFonts w:ascii="Cambria" w:hAnsi="Cambria" w:cs="Courier New"/>
          <w:vertAlign w:val="subscript"/>
        </w:rPr>
        <w:t>2</w:t>
      </w:r>
      <w:r w:rsidRPr="00531789">
        <w:rPr>
          <w:rFonts w:ascii="Cambria" w:hAnsi="Cambria" w:cs="Courier New"/>
        </w:rPr>
        <w:t xml:space="preserve">], and that the slow-growing perennial would be more sink limited, the results of this study suggest that annual barley is more sink limited and perennial barley is more source limited during the vegetative growth stage.  Our findings thus suggest that annual barley </w:t>
      </w:r>
      <w:proofErr w:type="spellStart"/>
      <w:r w:rsidRPr="00531789">
        <w:rPr>
          <w:rFonts w:ascii="Cambria" w:hAnsi="Cambria" w:cs="Courier New"/>
        </w:rPr>
        <w:t>germplasm</w:t>
      </w:r>
      <w:proofErr w:type="spellEnd"/>
      <w:r w:rsidRPr="00531789">
        <w:rPr>
          <w:rFonts w:ascii="Cambria" w:hAnsi="Cambria" w:cs="Courier New"/>
        </w:rPr>
        <w:t xml:space="preserve"> is optimised for growth at current [CO</w:t>
      </w:r>
      <w:r w:rsidRPr="00531789">
        <w:rPr>
          <w:rFonts w:ascii="Cambria" w:hAnsi="Cambria" w:cs="Courier New"/>
          <w:vertAlign w:val="subscript"/>
        </w:rPr>
        <w:t>2</w:t>
      </w:r>
      <w:r w:rsidRPr="00531789">
        <w:rPr>
          <w:rFonts w:ascii="Cambria" w:hAnsi="Cambria" w:cs="Courier New"/>
        </w:rPr>
        <w:t>] and that future elevated [CO</w:t>
      </w:r>
      <w:r w:rsidRPr="00531789">
        <w:rPr>
          <w:rFonts w:ascii="Cambria" w:hAnsi="Cambria" w:cs="Courier New"/>
          <w:vertAlign w:val="subscript"/>
        </w:rPr>
        <w:t>2</w:t>
      </w:r>
      <w:r w:rsidRPr="00531789">
        <w:rPr>
          <w:rFonts w:ascii="Cambria" w:hAnsi="Cambria" w:cs="Courier New"/>
        </w:rPr>
        <w:t>] is unlikely to facilitate yield increases in this species.  The lack of developmental plasticity in the annual means that new sinks are not readily initiated, which could result in a critical lack of flexibility for developing additional grain sinks and thus increasing yield under elevated [CO</w:t>
      </w:r>
      <w:r w:rsidRPr="00531789">
        <w:rPr>
          <w:rFonts w:ascii="Cambria" w:hAnsi="Cambria" w:cs="Courier New"/>
          <w:vertAlign w:val="subscript"/>
        </w:rPr>
        <w:t>2</w:t>
      </w:r>
      <w:r w:rsidRPr="00531789">
        <w:rPr>
          <w:rFonts w:ascii="Cambria" w:hAnsi="Cambria" w:cs="Courier New"/>
        </w:rPr>
        <w:t xml:space="preserve">].  The holistic approach taken here enables a broad view of the carbon source-sink balance to be taken, encompassing measurements of resource acquisition, storage, and allocation to growth, in a model system of congeneric species.  In order to draw firm conclusions of agricultural relevance, it will be vital to extend such research: including nitrogen as well as carbon source-sink manipulations, following source-sink processes throughout crop development to their impact on yield; investigating these processes in a wider range of cereal varieties and wild species; and carrying out agronomically relevant experiments in the field.  </w:t>
      </w:r>
    </w:p>
    <w:p w14:paraId="2FC76160" w14:textId="77777777" w:rsidR="00DF4522" w:rsidRPr="00531789" w:rsidRDefault="00DF4522" w:rsidP="00DF4522">
      <w:pPr>
        <w:spacing w:line="360" w:lineRule="auto"/>
        <w:jc w:val="both"/>
        <w:rPr>
          <w:rFonts w:ascii="Cambria" w:hAnsi="Cambria" w:cs="Courier New"/>
        </w:rPr>
      </w:pPr>
    </w:p>
    <w:p w14:paraId="0EEF7898" w14:textId="77777777" w:rsidR="00DF4522" w:rsidRPr="00531789" w:rsidRDefault="00DF4522" w:rsidP="00DF4522">
      <w:pPr>
        <w:spacing w:line="360" w:lineRule="auto"/>
        <w:rPr>
          <w:rFonts w:ascii="Cambria" w:hAnsi="Cambria" w:cs="Arial"/>
        </w:rPr>
      </w:pPr>
      <w:r w:rsidRPr="00531789">
        <w:rPr>
          <w:rFonts w:ascii="Cambria" w:hAnsi="Cambria" w:cs="Arial"/>
        </w:rPr>
        <w:br w:type="page"/>
      </w:r>
    </w:p>
    <w:p w14:paraId="13F21518" w14:textId="77777777" w:rsidR="00DF4522" w:rsidRPr="00CC177B" w:rsidRDefault="00DF4522" w:rsidP="00DF4522">
      <w:pPr>
        <w:pStyle w:val="Heading2"/>
        <w:tabs>
          <w:tab w:val="center" w:pos="4150"/>
        </w:tabs>
        <w:rPr>
          <w:rFonts w:ascii="Cambria" w:hAnsi="Cambria"/>
          <w:color w:val="auto"/>
        </w:rPr>
      </w:pPr>
      <w:bookmarkStart w:id="110" w:name="_Toc331253026"/>
      <w:bookmarkStart w:id="111" w:name="_Toc322267600"/>
      <w:bookmarkStart w:id="112" w:name="_Toc322267722"/>
      <w:bookmarkStart w:id="113" w:name="_Toc322267886"/>
      <w:r w:rsidRPr="00CC177B">
        <w:rPr>
          <w:rFonts w:ascii="Cambria" w:hAnsi="Cambria"/>
          <w:color w:val="auto"/>
        </w:rPr>
        <w:t>SUPPLEMENTA</w:t>
      </w:r>
      <w:r>
        <w:rPr>
          <w:rFonts w:ascii="Cambria" w:hAnsi="Cambria"/>
          <w:color w:val="auto"/>
        </w:rPr>
        <w:t>RY</w:t>
      </w:r>
      <w:r w:rsidRPr="00CC177B">
        <w:rPr>
          <w:rFonts w:ascii="Cambria" w:hAnsi="Cambria"/>
          <w:color w:val="auto"/>
        </w:rPr>
        <w:t xml:space="preserve"> MATERIAL</w:t>
      </w:r>
      <w:bookmarkEnd w:id="110"/>
      <w:r>
        <w:rPr>
          <w:rFonts w:ascii="Cambria" w:hAnsi="Cambria"/>
          <w:color w:val="auto"/>
        </w:rPr>
        <w:tab/>
      </w:r>
    </w:p>
    <w:p w14:paraId="49200432" w14:textId="77777777" w:rsidR="00DF4522" w:rsidRDefault="00DF4522" w:rsidP="00DF4522">
      <w:pPr>
        <w:pStyle w:val="Heading2"/>
        <w:rPr>
          <w:rFonts w:ascii="Cambria" w:hAnsi="Cambria"/>
          <w:color w:val="auto"/>
        </w:rPr>
      </w:pPr>
    </w:p>
    <w:p w14:paraId="6C4DE121" w14:textId="77777777" w:rsidR="00DF4522" w:rsidRDefault="00DF4522" w:rsidP="00DF4522">
      <w:pPr>
        <w:pStyle w:val="Heading2"/>
        <w:rPr>
          <w:rFonts w:ascii="Cambria" w:hAnsi="Cambria"/>
          <w:color w:val="auto"/>
        </w:rPr>
      </w:pPr>
    </w:p>
    <w:p w14:paraId="02C2AF92" w14:textId="77777777" w:rsidR="00DF4522" w:rsidRDefault="00DF4522" w:rsidP="00DF4522">
      <w:pPr>
        <w:pStyle w:val="Heading2"/>
        <w:rPr>
          <w:rFonts w:ascii="Cambria" w:hAnsi="Cambria"/>
          <w:color w:val="auto"/>
        </w:rPr>
      </w:pPr>
      <w:r>
        <w:rPr>
          <w:rFonts w:ascii="Arial" w:hAnsi="Arial" w:cs="Courier New"/>
          <w:noProof/>
          <w:lang w:val="en-US"/>
        </w:rPr>
        <w:drawing>
          <wp:anchor distT="0" distB="0" distL="114300" distR="114300" simplePos="0" relativeHeight="251742208" behindDoc="0" locked="0" layoutInCell="1" allowOverlap="1" wp14:anchorId="0B279DD3" wp14:editId="09DE4BC5">
            <wp:simplePos x="0" y="0"/>
            <wp:positionH relativeFrom="column">
              <wp:posOffset>914400</wp:posOffset>
            </wp:positionH>
            <wp:positionV relativeFrom="paragraph">
              <wp:posOffset>308610</wp:posOffset>
            </wp:positionV>
            <wp:extent cx="3310890" cy="3310890"/>
            <wp:effectExtent l="0" t="0" r="0" b="0"/>
            <wp:wrapThrough wrapText="bothSides">
              <wp:wrapPolygon edited="0">
                <wp:start x="0" y="0"/>
                <wp:lineTo x="0" y="21376"/>
                <wp:lineTo x="21376" y="21376"/>
                <wp:lineTo x="21376" y="0"/>
                <wp:lineTo x="0" y="0"/>
              </wp:wrapPolygon>
            </wp:wrapThrough>
            <wp:docPr id="37" name="Picture 37" descr="Macintosh HD:Users:angie:Dropbox:University of Sheffield:Publishing:Barley 2014 Research Paper:Final Figures:Calibration 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gie:Dropbox:University of Sheffield:Publishing:Barley 2014 Research Paper:Final Figures:Calibration plot.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10890" cy="3310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D61BD5" w14:textId="77777777" w:rsidR="00DF4522" w:rsidRDefault="00DF4522" w:rsidP="00DF4522">
      <w:pPr>
        <w:pStyle w:val="Heading2"/>
        <w:rPr>
          <w:rFonts w:ascii="Cambria" w:hAnsi="Cambria"/>
          <w:color w:val="auto"/>
        </w:rPr>
      </w:pPr>
    </w:p>
    <w:p w14:paraId="0DF658CE" w14:textId="77777777" w:rsidR="00DF4522" w:rsidRDefault="00DF4522" w:rsidP="00DF4522">
      <w:pPr>
        <w:pStyle w:val="Heading2"/>
        <w:rPr>
          <w:rFonts w:ascii="Cambria" w:hAnsi="Cambria"/>
          <w:color w:val="auto"/>
        </w:rPr>
      </w:pPr>
    </w:p>
    <w:p w14:paraId="3EB99792" w14:textId="77777777" w:rsidR="00DF4522" w:rsidRDefault="00DF4522" w:rsidP="00DF4522">
      <w:pPr>
        <w:pStyle w:val="Heading2"/>
        <w:rPr>
          <w:rFonts w:ascii="Cambria" w:hAnsi="Cambria"/>
          <w:color w:val="auto"/>
        </w:rPr>
      </w:pPr>
    </w:p>
    <w:p w14:paraId="70F88BDB" w14:textId="77777777" w:rsidR="00DF4522" w:rsidRDefault="00DF4522" w:rsidP="00DF4522">
      <w:pPr>
        <w:pStyle w:val="Heading2"/>
        <w:rPr>
          <w:rFonts w:ascii="Cambria" w:hAnsi="Cambria"/>
          <w:color w:val="auto"/>
        </w:rPr>
      </w:pPr>
    </w:p>
    <w:p w14:paraId="0A1A33B1" w14:textId="77777777" w:rsidR="00DF4522" w:rsidRDefault="00DF4522" w:rsidP="00DF4522">
      <w:pPr>
        <w:pStyle w:val="Heading2"/>
        <w:rPr>
          <w:rFonts w:ascii="Cambria" w:hAnsi="Cambria"/>
          <w:color w:val="auto"/>
        </w:rPr>
      </w:pPr>
    </w:p>
    <w:p w14:paraId="2A3DCCC4" w14:textId="77777777" w:rsidR="00DF4522" w:rsidRDefault="00DF4522" w:rsidP="00DF4522">
      <w:pPr>
        <w:pStyle w:val="Heading2"/>
        <w:rPr>
          <w:rFonts w:ascii="Cambria" w:hAnsi="Cambria"/>
          <w:color w:val="auto"/>
        </w:rPr>
      </w:pPr>
    </w:p>
    <w:p w14:paraId="1FE54F46" w14:textId="77777777" w:rsidR="00DF4522" w:rsidRDefault="00DF4522" w:rsidP="00DF4522">
      <w:pPr>
        <w:pStyle w:val="Heading2"/>
        <w:rPr>
          <w:rFonts w:ascii="Cambria" w:hAnsi="Cambria"/>
          <w:color w:val="auto"/>
        </w:rPr>
      </w:pPr>
    </w:p>
    <w:p w14:paraId="3B1F02A0" w14:textId="77777777" w:rsidR="00DF4522" w:rsidRDefault="00DF4522" w:rsidP="00DF4522">
      <w:pPr>
        <w:pStyle w:val="Heading2"/>
        <w:rPr>
          <w:rFonts w:ascii="Cambria" w:hAnsi="Cambria"/>
          <w:color w:val="auto"/>
        </w:rPr>
      </w:pPr>
    </w:p>
    <w:p w14:paraId="2FB497EE" w14:textId="77777777" w:rsidR="00DF4522" w:rsidRDefault="00DF4522" w:rsidP="00DF4522"/>
    <w:p w14:paraId="3E355D34" w14:textId="77777777" w:rsidR="00DF4522" w:rsidRPr="00B55C58" w:rsidRDefault="00DF4522" w:rsidP="00DF4522"/>
    <w:bookmarkEnd w:id="111"/>
    <w:bookmarkEnd w:id="112"/>
    <w:bookmarkEnd w:id="113"/>
    <w:p w14:paraId="20456245" w14:textId="77777777" w:rsidR="00DF4522" w:rsidRDefault="00DF4522" w:rsidP="00DF4522">
      <w:pPr>
        <w:spacing w:line="360" w:lineRule="auto"/>
        <w:jc w:val="both"/>
        <w:rPr>
          <w:rFonts w:ascii="Cambria" w:hAnsi="Cambria" w:cs="Courier New"/>
          <w:b/>
        </w:rPr>
      </w:pPr>
    </w:p>
    <w:p w14:paraId="20D7A465" w14:textId="77777777" w:rsidR="00DF4522" w:rsidRPr="00CC177B" w:rsidRDefault="00DF4522" w:rsidP="00DF4522">
      <w:pPr>
        <w:jc w:val="both"/>
        <w:rPr>
          <w:rFonts w:ascii="Cambria" w:hAnsi="Cambria" w:cs="Courier New"/>
          <w:b/>
          <w:sz w:val="20"/>
          <w:szCs w:val="20"/>
        </w:rPr>
      </w:pPr>
    </w:p>
    <w:p w14:paraId="0BCA7A6E" w14:textId="77777777" w:rsidR="00DF4522" w:rsidRPr="00CC177B" w:rsidRDefault="00DF4522" w:rsidP="00DF4522">
      <w:pPr>
        <w:jc w:val="both"/>
        <w:rPr>
          <w:rFonts w:ascii="Cambria" w:hAnsi="Cambria" w:cs="Courier New"/>
          <w:sz w:val="20"/>
          <w:szCs w:val="20"/>
        </w:rPr>
      </w:pPr>
      <w:r w:rsidRPr="00CC177B">
        <w:rPr>
          <w:rFonts w:ascii="Cambria" w:hAnsi="Cambria" w:cs="Courier New"/>
          <w:b/>
          <w:sz w:val="20"/>
          <w:szCs w:val="20"/>
        </w:rPr>
        <w:t>Figure S1.</w:t>
      </w:r>
      <w:r w:rsidRPr="00CC177B">
        <w:rPr>
          <w:rFonts w:ascii="Cambria" w:hAnsi="Cambria" w:cs="Courier New"/>
          <w:sz w:val="20"/>
          <w:szCs w:val="20"/>
        </w:rPr>
        <w:t xml:space="preserve">  Log mass against log area, for the additional subset of annual and perennial barley plants harvested throughout the duration of the study in order to establish a calibration between mass and area for the plants in the main study.  r</w:t>
      </w:r>
      <w:r w:rsidRPr="00CC177B">
        <w:rPr>
          <w:rFonts w:ascii="Cambria" w:hAnsi="Cambria" w:cs="Courier New"/>
          <w:sz w:val="20"/>
          <w:szCs w:val="20"/>
          <w:vertAlign w:val="superscript"/>
        </w:rPr>
        <w:t>2</w:t>
      </w:r>
      <w:r w:rsidRPr="00CC177B">
        <w:rPr>
          <w:rFonts w:ascii="Cambria" w:hAnsi="Cambria" w:cs="Courier New"/>
          <w:sz w:val="20"/>
          <w:szCs w:val="20"/>
        </w:rPr>
        <w:t xml:space="preserve"> = 0.97, meaning that differences in species and plant area account for 97% of variation in plant mass.  Lines show linear regression of area and mass.  Log mass = 1.53 log area – 13.11 (annual); log mass = 1.06 log area – 8.37 (perennial). </w:t>
      </w:r>
    </w:p>
    <w:p w14:paraId="71C7893A" w14:textId="77777777" w:rsidR="00DF4522" w:rsidRDefault="00DF4522" w:rsidP="00DF4522">
      <w:pPr>
        <w:spacing w:line="360" w:lineRule="auto"/>
        <w:jc w:val="both"/>
        <w:rPr>
          <w:rFonts w:ascii="Cambria" w:hAnsi="Cambria" w:cs="Courier New"/>
          <w:b/>
        </w:rPr>
      </w:pPr>
    </w:p>
    <w:p w14:paraId="0EE869EA" w14:textId="77777777" w:rsidR="00DF4522" w:rsidRDefault="00DF4522" w:rsidP="00DF4522">
      <w:pPr>
        <w:widowControl w:val="0"/>
        <w:autoSpaceDE w:val="0"/>
        <w:autoSpaceDN w:val="0"/>
        <w:adjustRightInd w:val="0"/>
        <w:spacing w:line="360" w:lineRule="auto"/>
        <w:ind w:left="480" w:hanging="480"/>
        <w:rPr>
          <w:rFonts w:ascii="Cambria" w:hAnsi="Cambria" w:cs="Courier New"/>
        </w:rPr>
      </w:pPr>
    </w:p>
    <w:p w14:paraId="0533E298" w14:textId="77777777" w:rsidR="00DF4522" w:rsidRDefault="00DF4522" w:rsidP="00DF4522">
      <w:pPr>
        <w:widowControl w:val="0"/>
        <w:autoSpaceDE w:val="0"/>
        <w:autoSpaceDN w:val="0"/>
        <w:adjustRightInd w:val="0"/>
        <w:spacing w:line="360" w:lineRule="auto"/>
        <w:ind w:left="480" w:hanging="480"/>
        <w:rPr>
          <w:rFonts w:ascii="Cambria" w:hAnsi="Cambria" w:cs="Courier New"/>
        </w:rPr>
      </w:pPr>
    </w:p>
    <w:p w14:paraId="3288979E" w14:textId="77777777" w:rsidR="00DF4522" w:rsidRDefault="00DF4522" w:rsidP="00DF4522">
      <w:pPr>
        <w:widowControl w:val="0"/>
        <w:autoSpaceDE w:val="0"/>
        <w:autoSpaceDN w:val="0"/>
        <w:adjustRightInd w:val="0"/>
        <w:spacing w:line="360" w:lineRule="auto"/>
        <w:ind w:left="480" w:hanging="480"/>
        <w:rPr>
          <w:rFonts w:ascii="Cambria" w:hAnsi="Cambria" w:cs="Courier New"/>
        </w:rPr>
      </w:pPr>
      <w:r>
        <w:rPr>
          <w:rFonts w:ascii="Cambria" w:hAnsi="Cambria" w:cs="Courier New"/>
        </w:rPr>
        <w:br w:type="page"/>
      </w:r>
    </w:p>
    <w:p w14:paraId="3D2D5D4B" w14:textId="3DBE4FE8" w:rsidR="00DF4522" w:rsidRDefault="00DF4522" w:rsidP="00DF4522">
      <w:pPr>
        <w:widowControl w:val="0"/>
        <w:autoSpaceDE w:val="0"/>
        <w:autoSpaceDN w:val="0"/>
        <w:adjustRightInd w:val="0"/>
        <w:spacing w:line="360" w:lineRule="auto"/>
        <w:ind w:left="480" w:hanging="480"/>
        <w:rPr>
          <w:rFonts w:ascii="Cambria" w:hAnsi="Cambria" w:cs="Courier New"/>
        </w:rPr>
      </w:pPr>
    </w:p>
    <w:p w14:paraId="1060D85F" w14:textId="490C5F6E" w:rsidR="00DF4522" w:rsidRDefault="00CF63E4" w:rsidP="00DF4522">
      <w:pPr>
        <w:widowControl w:val="0"/>
        <w:autoSpaceDE w:val="0"/>
        <w:autoSpaceDN w:val="0"/>
        <w:adjustRightInd w:val="0"/>
        <w:spacing w:line="360" w:lineRule="auto"/>
        <w:ind w:left="480" w:hanging="480"/>
        <w:rPr>
          <w:rFonts w:ascii="Cambria" w:hAnsi="Cambria" w:cs="Courier New"/>
        </w:rPr>
      </w:pPr>
      <w:r>
        <w:rPr>
          <w:rFonts w:ascii="Arial" w:hAnsi="Arial" w:cs="Courier New"/>
          <w:noProof/>
          <w:color w:val="FF0000"/>
          <w:lang w:val="en-US"/>
        </w:rPr>
        <w:drawing>
          <wp:anchor distT="0" distB="0" distL="114300" distR="114300" simplePos="0" relativeHeight="251743232" behindDoc="0" locked="0" layoutInCell="1" allowOverlap="1" wp14:anchorId="300D8D2C" wp14:editId="0FB3BDD6">
            <wp:simplePos x="0" y="0"/>
            <wp:positionH relativeFrom="column">
              <wp:posOffset>-342900</wp:posOffset>
            </wp:positionH>
            <wp:positionV relativeFrom="paragraph">
              <wp:posOffset>189230</wp:posOffset>
            </wp:positionV>
            <wp:extent cx="6057900" cy="6057900"/>
            <wp:effectExtent l="0" t="0" r="0" b="12700"/>
            <wp:wrapThrough wrapText="bothSides">
              <wp:wrapPolygon edited="0">
                <wp:start x="9509" y="181"/>
                <wp:lineTo x="6340" y="543"/>
                <wp:lineTo x="1268" y="1358"/>
                <wp:lineTo x="1268" y="1811"/>
                <wp:lineTo x="815" y="2083"/>
                <wp:lineTo x="634" y="2898"/>
                <wp:lineTo x="634" y="3351"/>
                <wp:lineTo x="906" y="3985"/>
                <wp:lineTo x="1268" y="4709"/>
                <wp:lineTo x="815" y="6158"/>
                <wp:lineTo x="543" y="7426"/>
                <wp:lineTo x="634" y="7608"/>
                <wp:lineTo x="1268" y="7608"/>
                <wp:lineTo x="0" y="8604"/>
                <wp:lineTo x="0" y="13585"/>
                <wp:lineTo x="634" y="14853"/>
                <wp:lineTo x="634" y="19834"/>
                <wp:lineTo x="1268" y="20649"/>
                <wp:lineTo x="1268" y="20740"/>
                <wp:lineTo x="9962" y="21374"/>
                <wp:lineTo x="10596" y="21555"/>
                <wp:lineTo x="12317" y="21555"/>
                <wp:lineTo x="12860" y="21374"/>
                <wp:lineTo x="20196" y="20740"/>
                <wp:lineTo x="20468" y="20649"/>
                <wp:lineTo x="20649" y="19653"/>
                <wp:lineTo x="20649" y="19200"/>
                <wp:lineTo x="21192" y="17751"/>
                <wp:lineTo x="21283" y="17298"/>
                <wp:lineTo x="20921" y="16483"/>
                <wp:lineTo x="20558" y="16302"/>
                <wp:lineTo x="20740" y="14853"/>
                <wp:lineTo x="21102" y="14038"/>
                <wp:lineTo x="21102" y="12589"/>
                <wp:lineTo x="20649" y="11955"/>
                <wp:lineTo x="20740" y="10506"/>
                <wp:lineTo x="21283" y="9057"/>
                <wp:lineTo x="20921" y="8242"/>
                <wp:lineTo x="20649" y="6340"/>
                <wp:lineTo x="21192" y="5253"/>
                <wp:lineTo x="20740" y="3532"/>
                <wp:lineTo x="20649" y="1449"/>
                <wp:lineTo x="18747" y="1087"/>
                <wp:lineTo x="13313" y="181"/>
                <wp:lineTo x="9509" y="181"/>
              </wp:wrapPolygon>
            </wp:wrapThrough>
            <wp:docPr id="38" name="Picture 38" descr="Macintosh HD:Users:angie:Dropbox:University of Sheffield:Publishing:Barley 2014 Research Paper:Final Figures:Family of growth curv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gie:Dropbox:University of Sheffield:Publishing:Barley 2014 Research Paper:Final Figures:Family of growth curves.pd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57900" cy="6057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596AFB" w14:textId="77777777" w:rsidR="00DF4522" w:rsidRDefault="00DF4522" w:rsidP="00DF4522">
      <w:pPr>
        <w:widowControl w:val="0"/>
        <w:autoSpaceDE w:val="0"/>
        <w:autoSpaceDN w:val="0"/>
        <w:adjustRightInd w:val="0"/>
        <w:spacing w:line="360" w:lineRule="auto"/>
        <w:ind w:left="480" w:hanging="480"/>
        <w:rPr>
          <w:rFonts w:ascii="Cambria" w:hAnsi="Cambria" w:cs="Courier New"/>
        </w:rPr>
      </w:pPr>
    </w:p>
    <w:p w14:paraId="776A2168" w14:textId="77777777" w:rsidR="00DF4522" w:rsidRDefault="00DF4522" w:rsidP="00DF4522">
      <w:pPr>
        <w:widowControl w:val="0"/>
        <w:autoSpaceDE w:val="0"/>
        <w:autoSpaceDN w:val="0"/>
        <w:adjustRightInd w:val="0"/>
        <w:spacing w:line="360" w:lineRule="auto"/>
        <w:ind w:left="480" w:hanging="480"/>
        <w:rPr>
          <w:rFonts w:ascii="Cambria" w:hAnsi="Cambria" w:cs="Courier New"/>
        </w:rPr>
      </w:pPr>
    </w:p>
    <w:p w14:paraId="5E4E84EE" w14:textId="77777777" w:rsidR="00DF4522" w:rsidRDefault="00DF4522" w:rsidP="00CF63E4">
      <w:pPr>
        <w:widowControl w:val="0"/>
        <w:autoSpaceDE w:val="0"/>
        <w:autoSpaceDN w:val="0"/>
        <w:adjustRightInd w:val="0"/>
        <w:spacing w:line="360" w:lineRule="auto"/>
        <w:rPr>
          <w:rFonts w:ascii="Cambria" w:hAnsi="Cambria" w:cs="Courier New"/>
        </w:rPr>
      </w:pPr>
    </w:p>
    <w:p w14:paraId="054E84D1" w14:textId="77777777" w:rsidR="00DF4522" w:rsidRPr="00CC177B" w:rsidRDefault="00DF4522" w:rsidP="00DF4522">
      <w:pPr>
        <w:jc w:val="both"/>
        <w:rPr>
          <w:rFonts w:ascii="Cambria" w:hAnsi="Cambria" w:cs="Courier New"/>
          <w:sz w:val="20"/>
          <w:szCs w:val="20"/>
        </w:rPr>
      </w:pPr>
      <w:r w:rsidRPr="00CC177B">
        <w:rPr>
          <w:rFonts w:ascii="Cambria" w:hAnsi="Cambria"/>
          <w:b/>
          <w:sz w:val="20"/>
          <w:szCs w:val="20"/>
        </w:rPr>
        <w:t>F</w:t>
      </w:r>
      <w:r w:rsidRPr="00CC177B">
        <w:rPr>
          <w:rFonts w:ascii="Cambria" w:hAnsi="Cambria" w:cs="Courier New"/>
          <w:b/>
          <w:sz w:val="20"/>
          <w:szCs w:val="20"/>
        </w:rPr>
        <w:t>igure S2.</w:t>
      </w:r>
      <w:r w:rsidRPr="00CC177B">
        <w:rPr>
          <w:rFonts w:ascii="Cambria" w:hAnsi="Cambria" w:cs="Courier New"/>
          <w:sz w:val="20"/>
          <w:szCs w:val="20"/>
        </w:rPr>
        <w:t xml:space="preserve">  Growth curves for all individuals in the main study used to obtain relative growth rate.  Log predicted mass, obtained using mass-area calibration from additional plants (shown in Fig. S1), is plotted against plant age.  Blue lines show the overall mean using fixed effects from model; pink lines show growth curves for individual plants.  Each plant has a unique ID: A denotes annual individuals and PM and PE denote the two accessions of perennial individuals; numbers were assigned to individuals at random.</w:t>
      </w:r>
    </w:p>
    <w:p w14:paraId="3049FE0C" w14:textId="77777777" w:rsidR="00DF4522" w:rsidRDefault="00DF4522" w:rsidP="00DF4522">
      <w:pPr>
        <w:pStyle w:val="Heading2"/>
      </w:pPr>
    </w:p>
    <w:p w14:paraId="21A3EE13" w14:textId="77777777" w:rsidR="00DF4522" w:rsidRDefault="00DF4522" w:rsidP="00DF4522">
      <w:pPr>
        <w:pStyle w:val="Heading2"/>
      </w:pPr>
    </w:p>
    <w:p w14:paraId="28F10EF8" w14:textId="77777777" w:rsidR="00DF4522" w:rsidRDefault="00DF4522" w:rsidP="00DF4522">
      <w:pPr>
        <w:pStyle w:val="Heading2"/>
      </w:pPr>
    </w:p>
    <w:p w14:paraId="42D7FF2F" w14:textId="77777777" w:rsidR="00DF4522" w:rsidRDefault="00DF4522" w:rsidP="00DF4522">
      <w:pPr>
        <w:pStyle w:val="Heading2"/>
      </w:pPr>
      <w:r>
        <w:rPr>
          <w:rFonts w:ascii="Arial" w:hAnsi="Arial" w:cs="Courier New"/>
          <w:noProof/>
          <w:color w:val="FF0000"/>
          <w:lang w:val="en-US"/>
        </w:rPr>
        <w:drawing>
          <wp:anchor distT="0" distB="0" distL="114300" distR="114300" simplePos="0" relativeHeight="251741184" behindDoc="0" locked="0" layoutInCell="1" allowOverlap="1" wp14:anchorId="42CD91AD" wp14:editId="635A84FE">
            <wp:simplePos x="0" y="0"/>
            <wp:positionH relativeFrom="column">
              <wp:posOffset>-114300</wp:posOffset>
            </wp:positionH>
            <wp:positionV relativeFrom="paragraph">
              <wp:posOffset>213995</wp:posOffset>
            </wp:positionV>
            <wp:extent cx="2739390" cy="2054860"/>
            <wp:effectExtent l="0" t="0" r="3810" b="2540"/>
            <wp:wrapThrough wrapText="bothSides">
              <wp:wrapPolygon edited="0">
                <wp:start x="0" y="0"/>
                <wp:lineTo x="0" y="21360"/>
                <wp:lineTo x="21430" y="21360"/>
                <wp:lineTo x="21430" y="0"/>
                <wp:lineTo x="0" y="0"/>
              </wp:wrapPolygon>
            </wp:wrapThrough>
            <wp:docPr id="39" name="Picture 39" descr="Macintosh HD:Users:angie:Dropbox:University of Sheffield:Publishing:Barley 2014 Research Paper:Final Figures:S3. ACi Panel:ACi 1500p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ngie:Dropbox:University of Sheffield:Publishing:Barley 2014 Research Paper:Final Figures:S3. ACi Panel:ACi 1500ppm.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39390" cy="20548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Courier New"/>
          <w:noProof/>
          <w:color w:val="FF0000"/>
          <w:lang w:val="en-US"/>
        </w:rPr>
        <w:drawing>
          <wp:anchor distT="0" distB="0" distL="114300" distR="114300" simplePos="0" relativeHeight="251740160" behindDoc="0" locked="0" layoutInCell="1" allowOverlap="1" wp14:anchorId="22ACFABD" wp14:editId="611BDECE">
            <wp:simplePos x="0" y="0"/>
            <wp:positionH relativeFrom="column">
              <wp:posOffset>2743200</wp:posOffset>
            </wp:positionH>
            <wp:positionV relativeFrom="paragraph">
              <wp:posOffset>213995</wp:posOffset>
            </wp:positionV>
            <wp:extent cx="2726690" cy="2045335"/>
            <wp:effectExtent l="0" t="0" r="0" b="12065"/>
            <wp:wrapThrough wrapText="bothSides">
              <wp:wrapPolygon edited="0">
                <wp:start x="0" y="0"/>
                <wp:lineTo x="0" y="21459"/>
                <wp:lineTo x="21328" y="21459"/>
                <wp:lineTo x="21328" y="0"/>
                <wp:lineTo x="0" y="0"/>
              </wp:wrapPolygon>
            </wp:wrapThrough>
            <wp:docPr id="40" name="Picture 40" descr="Macintosh HD:Users:angie:Dropbox:University of Sheffield:Publishing:Barley 2014 Research Paper:Final Figures:S3. ACi Panel:ACi 400p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angie:Dropbox:University of Sheffield:Publishing:Barley 2014 Research Paper:Final Figures:S3. ACi Panel:ACi 400ppm.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26690" cy="2045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6585AA" w14:textId="77777777" w:rsidR="00DF4522" w:rsidRDefault="00DF4522" w:rsidP="00DF4522">
      <w:pPr>
        <w:jc w:val="both"/>
        <w:rPr>
          <w:rFonts w:ascii="Cambria" w:hAnsi="Cambria" w:cs="Courier New"/>
          <w:b/>
          <w:sz w:val="20"/>
          <w:szCs w:val="20"/>
        </w:rPr>
      </w:pPr>
    </w:p>
    <w:p w14:paraId="18C5B190" w14:textId="77777777" w:rsidR="00DF4522" w:rsidRDefault="00DF4522" w:rsidP="00DF4522">
      <w:pPr>
        <w:jc w:val="both"/>
        <w:rPr>
          <w:rFonts w:ascii="Cambria" w:hAnsi="Cambria" w:cs="Courier New"/>
          <w:b/>
          <w:sz w:val="20"/>
          <w:szCs w:val="20"/>
        </w:rPr>
      </w:pPr>
    </w:p>
    <w:p w14:paraId="73399CE1" w14:textId="77777777" w:rsidR="00DF4522" w:rsidRPr="00B55C58" w:rsidRDefault="00DF4522" w:rsidP="00DF4522">
      <w:pPr>
        <w:jc w:val="both"/>
        <w:rPr>
          <w:rFonts w:ascii="Cambria" w:hAnsi="Cambria" w:cs="Courier New"/>
          <w:sz w:val="20"/>
          <w:szCs w:val="20"/>
        </w:rPr>
      </w:pPr>
      <w:r w:rsidRPr="00B55C58">
        <w:rPr>
          <w:rFonts w:ascii="Cambria" w:hAnsi="Cambria" w:cs="Courier New"/>
          <w:b/>
          <w:sz w:val="20"/>
          <w:szCs w:val="20"/>
        </w:rPr>
        <w:t xml:space="preserve">Figure S3. </w:t>
      </w:r>
      <w:r w:rsidRPr="00B55C58">
        <w:rPr>
          <w:rFonts w:ascii="Cambria" w:hAnsi="Cambria" w:cs="Courier New"/>
          <w:sz w:val="20"/>
          <w:szCs w:val="20"/>
        </w:rPr>
        <w:t>A/</w:t>
      </w:r>
      <w:proofErr w:type="spellStart"/>
      <w:r w:rsidRPr="00B55C58">
        <w:rPr>
          <w:rFonts w:ascii="Cambria" w:hAnsi="Cambria" w:cs="Courier New"/>
          <w:sz w:val="20"/>
          <w:szCs w:val="20"/>
        </w:rPr>
        <w:t>C</w:t>
      </w:r>
      <w:r w:rsidRPr="00B55C58">
        <w:rPr>
          <w:rFonts w:ascii="Cambria" w:hAnsi="Cambria" w:cs="Courier New"/>
          <w:sz w:val="20"/>
          <w:szCs w:val="20"/>
          <w:vertAlign w:val="subscript"/>
        </w:rPr>
        <w:t>i</w:t>
      </w:r>
      <w:proofErr w:type="spellEnd"/>
      <w:r w:rsidRPr="00B55C58">
        <w:rPr>
          <w:rFonts w:ascii="Cambria" w:hAnsi="Cambria" w:cs="Courier New"/>
          <w:sz w:val="20"/>
          <w:szCs w:val="20"/>
        </w:rPr>
        <w:t xml:space="preserve"> curves for four individual plants, performed 54 days after germination.  The carboxylation efficiency of </w:t>
      </w:r>
      <w:proofErr w:type="spellStart"/>
      <w:r w:rsidRPr="00B55C58">
        <w:rPr>
          <w:rFonts w:ascii="Cambria" w:hAnsi="Cambria" w:cs="Courier New"/>
          <w:sz w:val="20"/>
          <w:szCs w:val="20"/>
        </w:rPr>
        <w:t>Rubisco</w:t>
      </w:r>
      <w:proofErr w:type="spellEnd"/>
      <w:r w:rsidRPr="00B55C58">
        <w:rPr>
          <w:rFonts w:ascii="Cambria" w:hAnsi="Cambria" w:cs="Courier New"/>
          <w:sz w:val="20"/>
          <w:szCs w:val="20"/>
        </w:rPr>
        <w:t xml:space="preserve"> (</w:t>
      </w:r>
      <w:proofErr w:type="spellStart"/>
      <w:r w:rsidRPr="00B55C58">
        <w:rPr>
          <w:rFonts w:ascii="Cambria" w:hAnsi="Cambria" w:cs="Courier New"/>
          <w:sz w:val="20"/>
          <w:szCs w:val="20"/>
        </w:rPr>
        <w:t>V</w:t>
      </w:r>
      <w:r w:rsidRPr="00B55C58">
        <w:rPr>
          <w:rFonts w:ascii="Cambria" w:hAnsi="Cambria" w:cs="Courier New"/>
          <w:sz w:val="20"/>
          <w:szCs w:val="20"/>
          <w:vertAlign w:val="subscript"/>
        </w:rPr>
        <w:t>c,max</w:t>
      </w:r>
      <w:proofErr w:type="spellEnd"/>
      <w:r w:rsidRPr="00B55C58">
        <w:rPr>
          <w:rFonts w:ascii="Cambria" w:hAnsi="Cambria" w:cs="Courier New"/>
          <w:sz w:val="20"/>
          <w:szCs w:val="20"/>
        </w:rPr>
        <w:t xml:space="preserve">, proportional to the initial slope of the curve) is </w:t>
      </w:r>
      <w:proofErr w:type="spellStart"/>
      <w:r w:rsidRPr="00B55C58">
        <w:rPr>
          <w:rFonts w:ascii="Cambria" w:hAnsi="Cambria" w:cs="Courier New"/>
          <w:sz w:val="20"/>
          <w:szCs w:val="20"/>
        </w:rPr>
        <w:t>downregulated</w:t>
      </w:r>
      <w:proofErr w:type="spellEnd"/>
      <w:r w:rsidRPr="00B55C58">
        <w:rPr>
          <w:rFonts w:ascii="Cambria" w:hAnsi="Cambria" w:cs="Courier New"/>
          <w:sz w:val="20"/>
          <w:szCs w:val="20"/>
        </w:rPr>
        <w:t xml:space="preserve"> in the annual at 1500 µ</w:t>
      </w:r>
      <w:proofErr w:type="spellStart"/>
      <w:r w:rsidRPr="00B55C58">
        <w:rPr>
          <w:rFonts w:ascii="Cambria" w:hAnsi="Cambria" w:cs="Courier New"/>
          <w:sz w:val="20"/>
          <w:szCs w:val="20"/>
        </w:rPr>
        <w:t>mol</w:t>
      </w:r>
      <w:proofErr w:type="spellEnd"/>
      <w:r w:rsidRPr="00B55C58">
        <w:rPr>
          <w:rFonts w:ascii="Cambria" w:hAnsi="Cambria" w:cs="Courier New"/>
          <w:sz w:val="20"/>
          <w:szCs w:val="20"/>
        </w:rPr>
        <w:t xml:space="preserve"> mol</w:t>
      </w:r>
      <w:r w:rsidRPr="00B55C58">
        <w:rPr>
          <w:rFonts w:ascii="Cambria" w:hAnsi="Cambria" w:cs="Courier New"/>
          <w:sz w:val="20"/>
          <w:szCs w:val="20"/>
          <w:vertAlign w:val="superscript"/>
        </w:rPr>
        <w:t>-1</w:t>
      </w:r>
      <w:r w:rsidRPr="00B55C58">
        <w:rPr>
          <w:rFonts w:ascii="Cambria" w:hAnsi="Cambria" w:cs="Courier New"/>
          <w:sz w:val="20"/>
          <w:szCs w:val="20"/>
        </w:rPr>
        <w:t xml:space="preserve"> compared to 400 µ</w:t>
      </w:r>
      <w:proofErr w:type="spellStart"/>
      <w:r w:rsidRPr="00B55C58">
        <w:rPr>
          <w:rFonts w:ascii="Cambria" w:hAnsi="Cambria" w:cs="Courier New"/>
          <w:sz w:val="20"/>
          <w:szCs w:val="20"/>
        </w:rPr>
        <w:t>mol</w:t>
      </w:r>
      <w:proofErr w:type="spellEnd"/>
      <w:r w:rsidRPr="00B55C58">
        <w:rPr>
          <w:rFonts w:ascii="Cambria" w:hAnsi="Cambria" w:cs="Courier New"/>
          <w:sz w:val="20"/>
          <w:szCs w:val="20"/>
        </w:rPr>
        <w:t xml:space="preserve"> mol</w:t>
      </w:r>
      <w:r w:rsidRPr="00B55C58">
        <w:rPr>
          <w:rFonts w:ascii="Cambria" w:hAnsi="Cambria" w:cs="Courier New"/>
          <w:sz w:val="20"/>
          <w:szCs w:val="20"/>
          <w:vertAlign w:val="superscript"/>
        </w:rPr>
        <w:t>-1</w:t>
      </w:r>
      <w:r w:rsidRPr="00B55C58">
        <w:rPr>
          <w:rFonts w:ascii="Cambria" w:hAnsi="Cambria" w:cs="Courier New"/>
          <w:sz w:val="20"/>
          <w:szCs w:val="20"/>
        </w:rPr>
        <w:t>, whilst remaining constant in the perennial.  Curves are representative of a larger dataset.  Growth conditions are as follows.  A, elevated CO</w:t>
      </w:r>
      <w:r w:rsidRPr="00B55C58">
        <w:rPr>
          <w:rFonts w:ascii="Cambria" w:hAnsi="Cambria" w:cs="Courier New"/>
          <w:sz w:val="20"/>
          <w:szCs w:val="20"/>
          <w:vertAlign w:val="subscript"/>
        </w:rPr>
        <w:t>2</w:t>
      </w:r>
      <w:r w:rsidRPr="00B55C58">
        <w:rPr>
          <w:rFonts w:ascii="Cambria" w:hAnsi="Cambria" w:cs="Courier New"/>
          <w:sz w:val="20"/>
          <w:szCs w:val="20"/>
        </w:rPr>
        <w:t>: 1500 µ</w:t>
      </w:r>
      <w:proofErr w:type="spellStart"/>
      <w:r w:rsidRPr="00B55C58">
        <w:rPr>
          <w:rFonts w:ascii="Cambria" w:hAnsi="Cambria" w:cs="Courier New"/>
          <w:sz w:val="20"/>
          <w:szCs w:val="20"/>
        </w:rPr>
        <w:t>mol</w:t>
      </w:r>
      <w:proofErr w:type="spellEnd"/>
      <w:r w:rsidRPr="00B55C58">
        <w:rPr>
          <w:rFonts w:ascii="Cambria" w:hAnsi="Cambria" w:cs="Courier New"/>
          <w:sz w:val="20"/>
          <w:szCs w:val="20"/>
        </w:rPr>
        <w:t xml:space="preserve"> mol</w:t>
      </w:r>
      <w:r w:rsidRPr="00B55C58">
        <w:rPr>
          <w:rFonts w:ascii="Cambria" w:hAnsi="Cambria" w:cs="Courier New"/>
          <w:sz w:val="20"/>
          <w:szCs w:val="20"/>
          <w:vertAlign w:val="superscript"/>
        </w:rPr>
        <w:t>-1</w:t>
      </w:r>
      <w:r w:rsidRPr="00B55C58">
        <w:rPr>
          <w:rFonts w:ascii="Cambria" w:hAnsi="Cambria" w:cs="Courier New"/>
          <w:sz w:val="20"/>
          <w:szCs w:val="20"/>
        </w:rPr>
        <w:t>; B, current CO</w:t>
      </w:r>
      <w:r w:rsidRPr="00B55C58">
        <w:rPr>
          <w:rFonts w:ascii="Cambria" w:hAnsi="Cambria" w:cs="Courier New"/>
          <w:sz w:val="20"/>
          <w:szCs w:val="20"/>
          <w:vertAlign w:val="subscript"/>
        </w:rPr>
        <w:t>2</w:t>
      </w:r>
      <w:r w:rsidRPr="00B55C58">
        <w:rPr>
          <w:rFonts w:ascii="Cambria" w:hAnsi="Cambria" w:cs="Courier New"/>
          <w:sz w:val="20"/>
          <w:szCs w:val="20"/>
        </w:rPr>
        <w:t>: 400 µ</w:t>
      </w:r>
      <w:proofErr w:type="spellStart"/>
      <w:r w:rsidRPr="00B55C58">
        <w:rPr>
          <w:rFonts w:ascii="Cambria" w:hAnsi="Cambria" w:cs="Courier New"/>
          <w:sz w:val="20"/>
          <w:szCs w:val="20"/>
        </w:rPr>
        <w:t>mol</w:t>
      </w:r>
      <w:proofErr w:type="spellEnd"/>
      <w:r w:rsidRPr="00B55C58">
        <w:rPr>
          <w:rFonts w:ascii="Cambria" w:hAnsi="Cambria" w:cs="Courier New"/>
          <w:sz w:val="20"/>
          <w:szCs w:val="20"/>
        </w:rPr>
        <w:t xml:space="preserve"> mol</w:t>
      </w:r>
      <w:r w:rsidRPr="00B55C58">
        <w:rPr>
          <w:rFonts w:ascii="Cambria" w:hAnsi="Cambria" w:cs="Courier New"/>
          <w:sz w:val="20"/>
          <w:szCs w:val="20"/>
          <w:vertAlign w:val="superscript"/>
        </w:rPr>
        <w:t>-1</w:t>
      </w:r>
      <w:r w:rsidRPr="00B55C58">
        <w:rPr>
          <w:rFonts w:ascii="Cambria" w:hAnsi="Cambria" w:cs="Courier New"/>
          <w:sz w:val="20"/>
          <w:szCs w:val="20"/>
        </w:rPr>
        <w:t xml:space="preserve">. </w:t>
      </w:r>
      <w:r>
        <w:rPr>
          <w:rFonts w:ascii="Cambria" w:hAnsi="Cambria" w:cs="Courier New"/>
          <w:sz w:val="20"/>
          <w:szCs w:val="20"/>
        </w:rPr>
        <w:t xml:space="preserve">  A/</w:t>
      </w:r>
      <w:proofErr w:type="spellStart"/>
      <w:r>
        <w:rPr>
          <w:rFonts w:ascii="Cambria" w:hAnsi="Cambria" w:cs="Courier New"/>
          <w:sz w:val="20"/>
          <w:szCs w:val="20"/>
        </w:rPr>
        <w:t>C</w:t>
      </w:r>
      <w:r w:rsidRPr="006F1875">
        <w:rPr>
          <w:rFonts w:ascii="Cambria" w:hAnsi="Cambria" w:cs="Courier New"/>
          <w:sz w:val="20"/>
          <w:szCs w:val="20"/>
          <w:vertAlign w:val="subscript"/>
        </w:rPr>
        <w:t>i</w:t>
      </w:r>
      <w:proofErr w:type="spellEnd"/>
      <w:r>
        <w:rPr>
          <w:rFonts w:ascii="Cambria" w:hAnsi="Cambria" w:cs="Courier New"/>
          <w:sz w:val="20"/>
          <w:szCs w:val="20"/>
        </w:rPr>
        <w:t xml:space="preserve"> curves were performed on 15 individuals, but here representative curves are shown.</w:t>
      </w:r>
    </w:p>
    <w:p w14:paraId="04444D17" w14:textId="77777777" w:rsidR="00DF4522" w:rsidRPr="00B55C58" w:rsidRDefault="00DF4522" w:rsidP="00DF4522">
      <w:pPr>
        <w:jc w:val="both"/>
        <w:rPr>
          <w:rFonts w:ascii="Cambria" w:hAnsi="Cambria" w:cs="Courier New"/>
          <w:sz w:val="20"/>
          <w:szCs w:val="20"/>
        </w:rPr>
      </w:pPr>
    </w:p>
    <w:p w14:paraId="4B4E2DD1" w14:textId="77777777" w:rsidR="00DF4522" w:rsidRPr="00B55C58" w:rsidRDefault="00DF4522" w:rsidP="00DF4522">
      <w:pPr>
        <w:jc w:val="both"/>
        <w:rPr>
          <w:rFonts w:ascii="Cambria" w:hAnsi="Cambria" w:cs="Courier New"/>
          <w:sz w:val="20"/>
          <w:szCs w:val="20"/>
        </w:rPr>
      </w:pPr>
    </w:p>
    <w:p w14:paraId="11408930" w14:textId="77777777" w:rsidR="00DF4522" w:rsidRDefault="00DF4522" w:rsidP="00DF4522"/>
    <w:p w14:paraId="73DBBD3E" w14:textId="77777777" w:rsidR="00DF4522" w:rsidRDefault="00DF4522" w:rsidP="00DF4522"/>
    <w:p w14:paraId="4FF7E650" w14:textId="77777777" w:rsidR="00DF4522" w:rsidRDefault="00DF4522" w:rsidP="00DF4522"/>
    <w:p w14:paraId="744B6F63" w14:textId="77777777" w:rsidR="00DF4522" w:rsidRDefault="00DF4522" w:rsidP="00DF4522"/>
    <w:p w14:paraId="0CFD317D" w14:textId="77777777" w:rsidR="00DF4522" w:rsidRDefault="00DF4522" w:rsidP="00DF4522"/>
    <w:p w14:paraId="68603A16" w14:textId="77777777" w:rsidR="00DF4522" w:rsidRDefault="00DF4522" w:rsidP="00DF4522"/>
    <w:p w14:paraId="4EA1483D" w14:textId="77777777" w:rsidR="00DF4522" w:rsidRDefault="00DF4522" w:rsidP="00DF4522"/>
    <w:p w14:paraId="1C5D3BBB" w14:textId="77777777" w:rsidR="00DF4522" w:rsidRDefault="00DF4522" w:rsidP="00DF4522"/>
    <w:p w14:paraId="3FC93A2B" w14:textId="77777777" w:rsidR="00DF4522" w:rsidRDefault="00DF4522" w:rsidP="00DF4522"/>
    <w:p w14:paraId="25C9572B" w14:textId="77777777" w:rsidR="00DF4522" w:rsidRDefault="00DF4522" w:rsidP="00DF4522"/>
    <w:p w14:paraId="3821D467" w14:textId="77777777" w:rsidR="00DF4522" w:rsidRDefault="00DF4522" w:rsidP="00DF4522"/>
    <w:p w14:paraId="04DE4DB6" w14:textId="77777777" w:rsidR="00DF4522" w:rsidRDefault="00DF4522" w:rsidP="00DF4522"/>
    <w:p w14:paraId="5F57EDDF" w14:textId="77777777" w:rsidR="00DF4522" w:rsidRDefault="00DF4522" w:rsidP="00DF4522"/>
    <w:p w14:paraId="4B4D6B0A" w14:textId="77777777" w:rsidR="00DF4522" w:rsidRDefault="00DF4522" w:rsidP="00DF4522"/>
    <w:p w14:paraId="74102F1A" w14:textId="77777777" w:rsidR="00DF4522" w:rsidRDefault="00DF4522" w:rsidP="00DF4522">
      <w:pPr>
        <w:tabs>
          <w:tab w:val="left" w:pos="6262"/>
          <w:tab w:val="right" w:pos="8300"/>
        </w:tabs>
        <w:spacing w:line="360" w:lineRule="auto"/>
        <w:jc w:val="both"/>
        <w:rPr>
          <w:rFonts w:ascii="Cambria" w:hAnsi="Cambria" w:cs="Courier New"/>
          <w:b/>
          <w:sz w:val="20"/>
          <w:szCs w:val="20"/>
        </w:rPr>
      </w:pPr>
      <w:r>
        <w:rPr>
          <w:rFonts w:ascii="Cambria" w:hAnsi="Cambria" w:cs="Courier New"/>
          <w:b/>
          <w:sz w:val="20"/>
          <w:szCs w:val="20"/>
        </w:rPr>
        <w:br w:type="page"/>
      </w:r>
    </w:p>
    <w:p w14:paraId="2BEBFBCC" w14:textId="77777777" w:rsidR="00DF4522" w:rsidRDefault="00DF4522" w:rsidP="00DF4522">
      <w:pPr>
        <w:tabs>
          <w:tab w:val="left" w:pos="6262"/>
          <w:tab w:val="right" w:pos="8300"/>
        </w:tabs>
        <w:spacing w:line="360" w:lineRule="auto"/>
        <w:jc w:val="both"/>
        <w:rPr>
          <w:rFonts w:ascii="Cambria" w:hAnsi="Cambria" w:cs="Courier New"/>
          <w:b/>
          <w:sz w:val="20"/>
          <w:szCs w:val="20"/>
        </w:rPr>
      </w:pPr>
    </w:p>
    <w:p w14:paraId="66DA0C8A" w14:textId="654DACB6" w:rsidR="00F26016" w:rsidRDefault="00DF4522" w:rsidP="00DF4522">
      <w:pPr>
        <w:tabs>
          <w:tab w:val="left" w:pos="6262"/>
          <w:tab w:val="right" w:pos="8300"/>
        </w:tabs>
        <w:spacing w:line="360" w:lineRule="auto"/>
        <w:jc w:val="both"/>
        <w:sectPr w:rsidR="00F26016" w:rsidSect="00485E23">
          <w:headerReference w:type="even" r:id="rId50"/>
          <w:headerReference w:type="default" r:id="rId51"/>
          <w:footerReference w:type="even" r:id="rId52"/>
          <w:footerReference w:type="default" r:id="rId53"/>
          <w:headerReference w:type="first" r:id="rId54"/>
          <w:footerReference w:type="first" r:id="rId55"/>
          <w:pgSz w:w="11900" w:h="16840"/>
          <w:pgMar w:top="1418" w:right="1418" w:bottom="1418" w:left="2268" w:header="708" w:footer="1134" w:gutter="0"/>
          <w:cols w:space="708"/>
          <w:docGrid w:linePitch="360"/>
        </w:sectPr>
      </w:pPr>
      <w:r w:rsidRPr="00B55C58">
        <w:rPr>
          <w:rFonts w:ascii="Cambria" w:hAnsi="Cambria" w:cs="Courier New"/>
          <w:b/>
          <w:sz w:val="20"/>
          <w:szCs w:val="20"/>
        </w:rPr>
        <w:t>Table S1.</w:t>
      </w:r>
      <w:r w:rsidRPr="00B55C58">
        <w:rPr>
          <w:rFonts w:ascii="Cambria" w:hAnsi="Cambria" w:cs="Courier New"/>
          <w:b/>
          <w:color w:val="FF0000"/>
          <w:sz w:val="20"/>
          <w:szCs w:val="20"/>
        </w:rPr>
        <w:t xml:space="preserve">  </w:t>
      </w:r>
      <w:r w:rsidRPr="00B55C58">
        <w:rPr>
          <w:rFonts w:ascii="Cambria" w:hAnsi="Cambria" w:cs="Courier New"/>
          <w:sz w:val="20"/>
          <w:szCs w:val="20"/>
        </w:rPr>
        <w:t>Raw metabolite data used to produce Figs. 4, 5, 6, 7, 8.</w:t>
      </w:r>
      <w:r w:rsidRPr="00B55C58">
        <w:rPr>
          <w:rFonts w:ascii="Cambria" w:hAnsi="Cambria" w:cs="Courier New"/>
          <w:sz w:val="20"/>
          <w:szCs w:val="20"/>
        </w:rPr>
        <w:tab/>
      </w:r>
      <w:r>
        <w:rPr>
          <w:rFonts w:ascii="Cambria" w:hAnsi="Cambria" w:cs="Courier New"/>
          <w:sz w:val="20"/>
          <w:szCs w:val="20"/>
        </w:rPr>
        <w:tab/>
      </w:r>
    </w:p>
    <w:tbl>
      <w:tblPr>
        <w:tblW w:w="15181" w:type="dxa"/>
        <w:tblInd w:w="93" w:type="dxa"/>
        <w:tblLook w:val="04A0" w:firstRow="1" w:lastRow="0" w:firstColumn="1" w:lastColumn="0" w:noHBand="0" w:noVBand="1"/>
      </w:tblPr>
      <w:tblGrid>
        <w:gridCol w:w="1140"/>
        <w:gridCol w:w="1200"/>
        <w:gridCol w:w="834"/>
        <w:gridCol w:w="980"/>
        <w:gridCol w:w="1140"/>
        <w:gridCol w:w="780"/>
        <w:gridCol w:w="780"/>
        <w:gridCol w:w="980"/>
        <w:gridCol w:w="660"/>
        <w:gridCol w:w="920"/>
        <w:gridCol w:w="741"/>
        <w:gridCol w:w="785"/>
        <w:gridCol w:w="732"/>
        <w:gridCol w:w="860"/>
        <w:gridCol w:w="960"/>
        <w:gridCol w:w="689"/>
        <w:gridCol w:w="1000"/>
      </w:tblGrid>
      <w:tr w:rsidR="00F26016" w:rsidRPr="00F26016" w14:paraId="5B1FDFB0" w14:textId="77777777" w:rsidTr="00F26016">
        <w:trPr>
          <w:trHeight w:val="300"/>
        </w:trPr>
        <w:tc>
          <w:tcPr>
            <w:tcW w:w="1140" w:type="dxa"/>
            <w:tcBorders>
              <w:top w:val="single" w:sz="4" w:space="0" w:color="auto"/>
              <w:left w:val="single" w:sz="4" w:space="0" w:color="auto"/>
              <w:bottom w:val="single" w:sz="4" w:space="0" w:color="auto"/>
              <w:right w:val="single" w:sz="4" w:space="0" w:color="auto"/>
            </w:tcBorders>
            <w:shd w:val="clear" w:color="000000" w:fill="C5D9F1"/>
            <w:noWrap/>
            <w:hideMark/>
          </w:tcPr>
          <w:p w14:paraId="35509C68" w14:textId="593B93EB" w:rsidR="00F26016" w:rsidRPr="00F26016" w:rsidRDefault="00EC11D7" w:rsidP="00F26016">
            <w:pPr>
              <w:jc w:val="center"/>
              <w:rPr>
                <w:rFonts w:ascii="Calibri" w:eastAsia="Times New Roman" w:hAnsi="Calibri" w:cs="Times New Roman"/>
                <w:b/>
                <w:bCs/>
                <w:color w:val="000000"/>
                <w:sz w:val="16"/>
                <w:szCs w:val="16"/>
              </w:rPr>
            </w:pPr>
            <w:r>
              <w:rPr>
                <w:rFonts w:ascii="Calibri" w:eastAsia="Times New Roman" w:hAnsi="Calibri" w:cs="Times New Roman"/>
                <w:b/>
                <w:bCs/>
                <w:color w:val="000000"/>
                <w:sz w:val="16"/>
                <w:szCs w:val="16"/>
              </w:rPr>
              <w:t>P</w:t>
            </w:r>
            <w:r w:rsidR="00F26016" w:rsidRPr="00F26016">
              <w:rPr>
                <w:rFonts w:ascii="Calibri" w:eastAsia="Times New Roman" w:hAnsi="Calibri" w:cs="Times New Roman"/>
                <w:b/>
                <w:bCs/>
                <w:color w:val="000000"/>
                <w:sz w:val="16"/>
                <w:szCs w:val="16"/>
              </w:rPr>
              <w:t>lant Number</w:t>
            </w:r>
          </w:p>
        </w:tc>
        <w:tc>
          <w:tcPr>
            <w:tcW w:w="1200" w:type="dxa"/>
            <w:tcBorders>
              <w:top w:val="single" w:sz="4" w:space="0" w:color="auto"/>
              <w:left w:val="nil"/>
              <w:bottom w:val="single" w:sz="4" w:space="0" w:color="auto"/>
              <w:right w:val="single" w:sz="4" w:space="0" w:color="auto"/>
            </w:tcBorders>
            <w:shd w:val="clear" w:color="000000" w:fill="C5D9F1"/>
            <w:noWrap/>
            <w:hideMark/>
          </w:tcPr>
          <w:p w14:paraId="708D22F6" w14:textId="77777777" w:rsidR="00F26016" w:rsidRPr="00F26016" w:rsidRDefault="00F26016" w:rsidP="00F26016">
            <w:pPr>
              <w:jc w:val="center"/>
              <w:rPr>
                <w:rFonts w:ascii="Calibri" w:eastAsia="Times New Roman" w:hAnsi="Calibri" w:cs="Times New Roman"/>
                <w:b/>
                <w:bCs/>
                <w:color w:val="000000"/>
                <w:sz w:val="16"/>
                <w:szCs w:val="16"/>
              </w:rPr>
            </w:pPr>
            <w:r w:rsidRPr="00F26016">
              <w:rPr>
                <w:rFonts w:ascii="Calibri" w:eastAsia="Times New Roman" w:hAnsi="Calibri" w:cs="Times New Roman"/>
                <w:b/>
                <w:bCs/>
                <w:color w:val="000000"/>
                <w:sz w:val="16"/>
                <w:szCs w:val="16"/>
              </w:rPr>
              <w:t>Accession Code</w:t>
            </w:r>
          </w:p>
        </w:tc>
        <w:tc>
          <w:tcPr>
            <w:tcW w:w="834" w:type="dxa"/>
            <w:tcBorders>
              <w:top w:val="single" w:sz="4" w:space="0" w:color="auto"/>
              <w:left w:val="nil"/>
              <w:bottom w:val="single" w:sz="4" w:space="0" w:color="auto"/>
              <w:right w:val="single" w:sz="4" w:space="0" w:color="auto"/>
            </w:tcBorders>
            <w:shd w:val="clear" w:color="000000" w:fill="C5D9F1"/>
            <w:noWrap/>
            <w:hideMark/>
          </w:tcPr>
          <w:p w14:paraId="308DF198" w14:textId="77777777" w:rsidR="00AB181E" w:rsidRDefault="00AB181E" w:rsidP="00F26016">
            <w:pPr>
              <w:jc w:val="center"/>
              <w:rPr>
                <w:rFonts w:ascii="Calibri" w:eastAsia="Times New Roman" w:hAnsi="Calibri" w:cs="Times New Roman"/>
                <w:b/>
                <w:bCs/>
                <w:color w:val="000000"/>
                <w:sz w:val="16"/>
                <w:szCs w:val="16"/>
              </w:rPr>
            </w:pPr>
          </w:p>
          <w:p w14:paraId="718327C2" w14:textId="77777777" w:rsidR="00F26016" w:rsidRPr="00F26016" w:rsidRDefault="00F26016" w:rsidP="00F26016">
            <w:pPr>
              <w:jc w:val="center"/>
              <w:rPr>
                <w:rFonts w:ascii="Calibri" w:eastAsia="Times New Roman" w:hAnsi="Calibri" w:cs="Times New Roman"/>
                <w:b/>
                <w:bCs/>
                <w:color w:val="000000"/>
                <w:sz w:val="16"/>
                <w:szCs w:val="16"/>
              </w:rPr>
            </w:pPr>
            <w:r w:rsidRPr="00F26016">
              <w:rPr>
                <w:rFonts w:ascii="Calibri" w:eastAsia="Times New Roman" w:hAnsi="Calibri" w:cs="Times New Roman"/>
                <w:b/>
                <w:bCs/>
                <w:color w:val="000000"/>
                <w:sz w:val="16"/>
                <w:szCs w:val="16"/>
              </w:rPr>
              <w:t>Species</w:t>
            </w:r>
          </w:p>
        </w:tc>
        <w:tc>
          <w:tcPr>
            <w:tcW w:w="980" w:type="dxa"/>
            <w:tcBorders>
              <w:top w:val="single" w:sz="4" w:space="0" w:color="auto"/>
              <w:left w:val="nil"/>
              <w:bottom w:val="single" w:sz="4" w:space="0" w:color="auto"/>
              <w:right w:val="single" w:sz="4" w:space="0" w:color="auto"/>
            </w:tcBorders>
            <w:shd w:val="clear" w:color="000000" w:fill="C5D9F1"/>
            <w:noWrap/>
            <w:hideMark/>
          </w:tcPr>
          <w:p w14:paraId="4F9928FF" w14:textId="77777777" w:rsidR="00F26016" w:rsidRPr="00F26016" w:rsidRDefault="00F26016" w:rsidP="00F26016">
            <w:pPr>
              <w:jc w:val="center"/>
              <w:rPr>
                <w:rFonts w:ascii="Calibri" w:eastAsia="Times New Roman" w:hAnsi="Calibri" w:cs="Times New Roman"/>
                <w:b/>
                <w:bCs/>
                <w:color w:val="000000"/>
                <w:sz w:val="16"/>
                <w:szCs w:val="16"/>
              </w:rPr>
            </w:pPr>
            <w:r w:rsidRPr="00F26016">
              <w:rPr>
                <w:rFonts w:ascii="Calibri" w:eastAsia="Times New Roman" w:hAnsi="Calibri" w:cs="Times New Roman"/>
                <w:b/>
                <w:bCs/>
                <w:color w:val="000000"/>
                <w:sz w:val="16"/>
                <w:szCs w:val="16"/>
              </w:rPr>
              <w:t>Harvest Week</w:t>
            </w:r>
          </w:p>
        </w:tc>
        <w:tc>
          <w:tcPr>
            <w:tcW w:w="1140" w:type="dxa"/>
            <w:tcBorders>
              <w:top w:val="single" w:sz="4" w:space="0" w:color="auto"/>
              <w:left w:val="nil"/>
              <w:bottom w:val="single" w:sz="4" w:space="0" w:color="auto"/>
              <w:right w:val="single" w:sz="4" w:space="0" w:color="auto"/>
            </w:tcBorders>
            <w:shd w:val="clear" w:color="000000" w:fill="C5D9F1"/>
            <w:noWrap/>
            <w:hideMark/>
          </w:tcPr>
          <w:p w14:paraId="41C6B1A7" w14:textId="77777777" w:rsidR="00F26016" w:rsidRPr="00F26016" w:rsidRDefault="00F26016" w:rsidP="00F26016">
            <w:pPr>
              <w:jc w:val="center"/>
              <w:rPr>
                <w:rFonts w:ascii="Calibri" w:eastAsia="Times New Roman" w:hAnsi="Calibri" w:cs="Times New Roman"/>
                <w:b/>
                <w:bCs/>
                <w:color w:val="000000"/>
                <w:sz w:val="16"/>
                <w:szCs w:val="16"/>
              </w:rPr>
            </w:pPr>
            <w:r w:rsidRPr="00F26016">
              <w:rPr>
                <w:rFonts w:ascii="Calibri" w:eastAsia="Times New Roman" w:hAnsi="Calibri" w:cs="Times New Roman"/>
                <w:b/>
                <w:bCs/>
                <w:color w:val="000000"/>
                <w:sz w:val="16"/>
                <w:szCs w:val="16"/>
              </w:rPr>
              <w:t>Time of Harvest</w:t>
            </w:r>
          </w:p>
        </w:tc>
        <w:tc>
          <w:tcPr>
            <w:tcW w:w="780" w:type="dxa"/>
            <w:tcBorders>
              <w:top w:val="single" w:sz="4" w:space="0" w:color="auto"/>
              <w:left w:val="nil"/>
              <w:bottom w:val="single" w:sz="4" w:space="0" w:color="auto"/>
              <w:right w:val="single" w:sz="4" w:space="0" w:color="auto"/>
            </w:tcBorders>
            <w:shd w:val="clear" w:color="000000" w:fill="C5D9F1"/>
            <w:noWrap/>
            <w:hideMark/>
          </w:tcPr>
          <w:p w14:paraId="0EA6D033" w14:textId="77777777" w:rsidR="00AB181E" w:rsidRDefault="00AB181E" w:rsidP="00F26016">
            <w:pPr>
              <w:jc w:val="center"/>
              <w:rPr>
                <w:rFonts w:ascii="Calibri" w:eastAsia="Times New Roman" w:hAnsi="Calibri" w:cs="Times New Roman"/>
                <w:b/>
                <w:bCs/>
                <w:color w:val="000000"/>
                <w:sz w:val="16"/>
                <w:szCs w:val="16"/>
              </w:rPr>
            </w:pPr>
          </w:p>
          <w:p w14:paraId="7E9A2689" w14:textId="77777777" w:rsidR="00F26016" w:rsidRPr="00F26016" w:rsidRDefault="00F26016" w:rsidP="00F26016">
            <w:pPr>
              <w:jc w:val="center"/>
              <w:rPr>
                <w:rFonts w:ascii="Calibri" w:eastAsia="Times New Roman" w:hAnsi="Calibri" w:cs="Times New Roman"/>
                <w:b/>
                <w:bCs/>
                <w:color w:val="000000"/>
                <w:sz w:val="16"/>
                <w:szCs w:val="16"/>
              </w:rPr>
            </w:pPr>
            <w:r w:rsidRPr="00F26016">
              <w:rPr>
                <w:rFonts w:ascii="Calibri" w:eastAsia="Times New Roman" w:hAnsi="Calibri" w:cs="Times New Roman"/>
                <w:b/>
                <w:bCs/>
                <w:color w:val="000000"/>
                <w:sz w:val="16"/>
                <w:szCs w:val="16"/>
              </w:rPr>
              <w:t>CO</w:t>
            </w:r>
            <w:r w:rsidRPr="006B7721">
              <w:rPr>
                <w:rFonts w:ascii="Calibri" w:eastAsia="Times New Roman" w:hAnsi="Calibri" w:cs="Times New Roman"/>
                <w:b/>
                <w:bCs/>
                <w:color w:val="000000"/>
                <w:sz w:val="16"/>
                <w:szCs w:val="16"/>
                <w:vertAlign w:val="subscript"/>
              </w:rPr>
              <w:t>2</w:t>
            </w:r>
          </w:p>
        </w:tc>
        <w:tc>
          <w:tcPr>
            <w:tcW w:w="780" w:type="dxa"/>
            <w:tcBorders>
              <w:top w:val="single" w:sz="4" w:space="0" w:color="auto"/>
              <w:left w:val="nil"/>
              <w:bottom w:val="single" w:sz="4" w:space="0" w:color="auto"/>
              <w:right w:val="single" w:sz="4" w:space="0" w:color="auto"/>
            </w:tcBorders>
            <w:shd w:val="clear" w:color="000000" w:fill="C5D9F1"/>
            <w:noWrap/>
            <w:hideMark/>
          </w:tcPr>
          <w:p w14:paraId="20D46155" w14:textId="77777777" w:rsidR="00AB181E" w:rsidRDefault="00AB181E" w:rsidP="00F26016">
            <w:pPr>
              <w:jc w:val="center"/>
              <w:rPr>
                <w:rFonts w:ascii="Calibri" w:eastAsia="Times New Roman" w:hAnsi="Calibri" w:cs="Times New Roman"/>
                <w:b/>
                <w:bCs/>
                <w:color w:val="000000"/>
                <w:sz w:val="16"/>
                <w:szCs w:val="16"/>
              </w:rPr>
            </w:pPr>
          </w:p>
          <w:p w14:paraId="7AC551EC" w14:textId="77777777" w:rsidR="00F26016" w:rsidRPr="00F26016" w:rsidRDefault="00F26016" w:rsidP="00F26016">
            <w:pPr>
              <w:jc w:val="center"/>
              <w:rPr>
                <w:rFonts w:ascii="Calibri" w:eastAsia="Times New Roman" w:hAnsi="Calibri" w:cs="Times New Roman"/>
                <w:b/>
                <w:bCs/>
                <w:color w:val="000000"/>
                <w:sz w:val="16"/>
                <w:szCs w:val="16"/>
              </w:rPr>
            </w:pPr>
            <w:r w:rsidRPr="00F26016">
              <w:rPr>
                <w:rFonts w:ascii="Calibri" w:eastAsia="Times New Roman" w:hAnsi="Calibri" w:cs="Times New Roman"/>
                <w:b/>
                <w:bCs/>
                <w:color w:val="000000"/>
                <w:sz w:val="16"/>
                <w:szCs w:val="16"/>
              </w:rPr>
              <w:t>Organ</w:t>
            </w:r>
          </w:p>
        </w:tc>
        <w:tc>
          <w:tcPr>
            <w:tcW w:w="980" w:type="dxa"/>
            <w:tcBorders>
              <w:top w:val="single" w:sz="4" w:space="0" w:color="auto"/>
              <w:left w:val="nil"/>
              <w:bottom w:val="single" w:sz="4" w:space="0" w:color="auto"/>
              <w:right w:val="single" w:sz="4" w:space="0" w:color="auto"/>
            </w:tcBorders>
            <w:shd w:val="clear" w:color="000000" w:fill="C5D9F1"/>
            <w:noWrap/>
            <w:hideMark/>
          </w:tcPr>
          <w:p w14:paraId="7EE4CA2F" w14:textId="77777777" w:rsidR="00F26016" w:rsidRPr="00F26016" w:rsidRDefault="00F26016" w:rsidP="00F26016">
            <w:pPr>
              <w:jc w:val="center"/>
              <w:rPr>
                <w:rFonts w:ascii="Calibri" w:eastAsia="Times New Roman" w:hAnsi="Calibri" w:cs="Times New Roman"/>
                <w:b/>
                <w:bCs/>
                <w:color w:val="000000"/>
                <w:sz w:val="16"/>
                <w:szCs w:val="16"/>
              </w:rPr>
            </w:pPr>
            <w:r w:rsidRPr="00F26016">
              <w:rPr>
                <w:rFonts w:ascii="Calibri" w:eastAsia="Times New Roman" w:hAnsi="Calibri" w:cs="Times New Roman"/>
                <w:b/>
                <w:bCs/>
                <w:color w:val="000000"/>
                <w:sz w:val="16"/>
                <w:szCs w:val="16"/>
              </w:rPr>
              <w:t>Harvest Age</w:t>
            </w:r>
          </w:p>
        </w:tc>
        <w:tc>
          <w:tcPr>
            <w:tcW w:w="660" w:type="dxa"/>
            <w:tcBorders>
              <w:top w:val="single" w:sz="4" w:space="0" w:color="auto"/>
              <w:left w:val="nil"/>
              <w:bottom w:val="single" w:sz="4" w:space="0" w:color="auto"/>
              <w:right w:val="single" w:sz="4" w:space="0" w:color="auto"/>
            </w:tcBorders>
            <w:shd w:val="clear" w:color="000000" w:fill="C5D9F1"/>
            <w:noWrap/>
            <w:vAlign w:val="bottom"/>
            <w:hideMark/>
          </w:tcPr>
          <w:p w14:paraId="2A2D6C3B" w14:textId="77777777" w:rsidR="00F26016" w:rsidRPr="00F26016" w:rsidRDefault="00F26016" w:rsidP="00F26016">
            <w:pPr>
              <w:rPr>
                <w:rFonts w:ascii="Calibri" w:eastAsia="Times New Roman" w:hAnsi="Calibri" w:cs="Times New Roman"/>
                <w:b/>
                <w:bCs/>
                <w:color w:val="000000"/>
                <w:sz w:val="16"/>
                <w:szCs w:val="16"/>
              </w:rPr>
            </w:pPr>
            <w:r w:rsidRPr="00F26016">
              <w:rPr>
                <w:rFonts w:ascii="Calibri" w:eastAsia="Times New Roman" w:hAnsi="Calibri" w:cs="Times New Roman"/>
                <w:b/>
                <w:bCs/>
                <w:color w:val="000000"/>
                <w:sz w:val="16"/>
                <w:szCs w:val="16"/>
              </w:rPr>
              <w:t>Starch</w:t>
            </w:r>
          </w:p>
        </w:tc>
        <w:tc>
          <w:tcPr>
            <w:tcW w:w="920" w:type="dxa"/>
            <w:tcBorders>
              <w:top w:val="single" w:sz="4" w:space="0" w:color="auto"/>
              <w:left w:val="nil"/>
              <w:bottom w:val="single" w:sz="4" w:space="0" w:color="auto"/>
              <w:right w:val="single" w:sz="4" w:space="0" w:color="auto"/>
            </w:tcBorders>
            <w:shd w:val="clear" w:color="000000" w:fill="C5D9F1"/>
            <w:noWrap/>
            <w:vAlign w:val="bottom"/>
            <w:hideMark/>
          </w:tcPr>
          <w:p w14:paraId="2B9DD05A" w14:textId="77777777" w:rsidR="00F26016" w:rsidRPr="00F26016" w:rsidRDefault="00F26016" w:rsidP="00F26016">
            <w:pPr>
              <w:rPr>
                <w:rFonts w:ascii="Calibri" w:eastAsia="Times New Roman" w:hAnsi="Calibri" w:cs="Times New Roman"/>
                <w:b/>
                <w:bCs/>
                <w:color w:val="000000"/>
                <w:sz w:val="16"/>
                <w:szCs w:val="16"/>
              </w:rPr>
            </w:pPr>
            <w:r w:rsidRPr="00F26016">
              <w:rPr>
                <w:rFonts w:ascii="Calibri" w:eastAsia="Times New Roman" w:hAnsi="Calibri" w:cs="Times New Roman"/>
                <w:b/>
                <w:bCs/>
                <w:color w:val="000000"/>
                <w:sz w:val="16"/>
                <w:szCs w:val="16"/>
              </w:rPr>
              <w:t xml:space="preserve">HDP </w:t>
            </w:r>
            <w:proofErr w:type="spellStart"/>
            <w:r w:rsidRPr="00F26016">
              <w:rPr>
                <w:rFonts w:ascii="Calibri" w:eastAsia="Times New Roman" w:hAnsi="Calibri" w:cs="Times New Roman"/>
                <w:b/>
                <w:bCs/>
                <w:color w:val="000000"/>
                <w:sz w:val="16"/>
                <w:szCs w:val="16"/>
              </w:rPr>
              <w:t>Fructan</w:t>
            </w:r>
            <w:proofErr w:type="spellEnd"/>
          </w:p>
        </w:tc>
        <w:tc>
          <w:tcPr>
            <w:tcW w:w="741" w:type="dxa"/>
            <w:tcBorders>
              <w:top w:val="single" w:sz="4" w:space="0" w:color="auto"/>
              <w:left w:val="nil"/>
              <w:bottom w:val="single" w:sz="4" w:space="0" w:color="auto"/>
              <w:right w:val="single" w:sz="4" w:space="0" w:color="auto"/>
            </w:tcBorders>
            <w:shd w:val="clear" w:color="000000" w:fill="C5D9F1"/>
            <w:noWrap/>
            <w:vAlign w:val="bottom"/>
            <w:hideMark/>
          </w:tcPr>
          <w:p w14:paraId="604EDA05" w14:textId="77777777" w:rsidR="00F26016" w:rsidRPr="00F26016" w:rsidRDefault="00F26016" w:rsidP="00F26016">
            <w:pPr>
              <w:rPr>
                <w:rFonts w:ascii="Calibri" w:eastAsia="Times New Roman" w:hAnsi="Calibri" w:cs="Times New Roman"/>
                <w:b/>
                <w:bCs/>
                <w:color w:val="000000"/>
                <w:sz w:val="16"/>
                <w:szCs w:val="16"/>
              </w:rPr>
            </w:pPr>
            <w:r w:rsidRPr="00F26016">
              <w:rPr>
                <w:rFonts w:ascii="Calibri" w:eastAsia="Times New Roman" w:hAnsi="Calibri" w:cs="Times New Roman"/>
                <w:b/>
                <w:bCs/>
                <w:color w:val="000000"/>
                <w:sz w:val="16"/>
                <w:szCs w:val="16"/>
              </w:rPr>
              <w:t>Glucose</w:t>
            </w:r>
          </w:p>
        </w:tc>
        <w:tc>
          <w:tcPr>
            <w:tcW w:w="785" w:type="dxa"/>
            <w:tcBorders>
              <w:top w:val="single" w:sz="4" w:space="0" w:color="auto"/>
              <w:left w:val="nil"/>
              <w:bottom w:val="single" w:sz="4" w:space="0" w:color="auto"/>
              <w:right w:val="single" w:sz="4" w:space="0" w:color="auto"/>
            </w:tcBorders>
            <w:shd w:val="clear" w:color="000000" w:fill="C5D9F1"/>
            <w:noWrap/>
            <w:vAlign w:val="bottom"/>
            <w:hideMark/>
          </w:tcPr>
          <w:p w14:paraId="4C0EDD0A" w14:textId="77777777" w:rsidR="00F26016" w:rsidRPr="00F26016" w:rsidRDefault="00F26016" w:rsidP="00F26016">
            <w:pPr>
              <w:rPr>
                <w:rFonts w:ascii="Calibri" w:eastAsia="Times New Roman" w:hAnsi="Calibri" w:cs="Times New Roman"/>
                <w:b/>
                <w:bCs/>
                <w:color w:val="000000"/>
                <w:sz w:val="16"/>
                <w:szCs w:val="16"/>
              </w:rPr>
            </w:pPr>
            <w:r w:rsidRPr="00F26016">
              <w:rPr>
                <w:rFonts w:ascii="Calibri" w:eastAsia="Times New Roman" w:hAnsi="Calibri" w:cs="Times New Roman"/>
                <w:b/>
                <w:bCs/>
                <w:color w:val="000000"/>
                <w:sz w:val="16"/>
                <w:szCs w:val="16"/>
              </w:rPr>
              <w:t>Fructose</w:t>
            </w:r>
          </w:p>
        </w:tc>
        <w:tc>
          <w:tcPr>
            <w:tcW w:w="732" w:type="dxa"/>
            <w:tcBorders>
              <w:top w:val="single" w:sz="4" w:space="0" w:color="auto"/>
              <w:left w:val="nil"/>
              <w:bottom w:val="single" w:sz="4" w:space="0" w:color="auto"/>
              <w:right w:val="single" w:sz="4" w:space="0" w:color="auto"/>
            </w:tcBorders>
            <w:shd w:val="clear" w:color="000000" w:fill="C5D9F1"/>
            <w:noWrap/>
            <w:vAlign w:val="bottom"/>
            <w:hideMark/>
          </w:tcPr>
          <w:p w14:paraId="71429FB2" w14:textId="77777777" w:rsidR="00F26016" w:rsidRPr="00F26016" w:rsidRDefault="00F26016" w:rsidP="00F26016">
            <w:pPr>
              <w:rPr>
                <w:rFonts w:ascii="Calibri" w:eastAsia="Times New Roman" w:hAnsi="Calibri" w:cs="Times New Roman"/>
                <w:b/>
                <w:bCs/>
                <w:color w:val="000000"/>
                <w:sz w:val="16"/>
                <w:szCs w:val="16"/>
              </w:rPr>
            </w:pPr>
            <w:r w:rsidRPr="00F26016">
              <w:rPr>
                <w:rFonts w:ascii="Calibri" w:eastAsia="Times New Roman" w:hAnsi="Calibri" w:cs="Times New Roman"/>
                <w:b/>
                <w:bCs/>
                <w:color w:val="000000"/>
                <w:sz w:val="16"/>
                <w:szCs w:val="16"/>
              </w:rPr>
              <w:t>Sucrose</w:t>
            </w:r>
          </w:p>
        </w:tc>
        <w:tc>
          <w:tcPr>
            <w:tcW w:w="860" w:type="dxa"/>
            <w:tcBorders>
              <w:top w:val="single" w:sz="4" w:space="0" w:color="auto"/>
              <w:left w:val="nil"/>
              <w:bottom w:val="single" w:sz="4" w:space="0" w:color="auto"/>
              <w:right w:val="single" w:sz="4" w:space="0" w:color="auto"/>
            </w:tcBorders>
            <w:shd w:val="clear" w:color="000000" w:fill="C5D9F1"/>
            <w:noWrap/>
            <w:vAlign w:val="bottom"/>
            <w:hideMark/>
          </w:tcPr>
          <w:p w14:paraId="23F5726A" w14:textId="77777777" w:rsidR="00F26016" w:rsidRPr="00F26016" w:rsidRDefault="00F26016" w:rsidP="00F26016">
            <w:pPr>
              <w:rPr>
                <w:rFonts w:ascii="Calibri" w:eastAsia="Times New Roman" w:hAnsi="Calibri" w:cs="Times New Roman"/>
                <w:b/>
                <w:bCs/>
                <w:color w:val="000000"/>
                <w:sz w:val="16"/>
                <w:szCs w:val="16"/>
              </w:rPr>
            </w:pPr>
            <w:r w:rsidRPr="00F26016">
              <w:rPr>
                <w:rFonts w:ascii="Calibri" w:eastAsia="Times New Roman" w:hAnsi="Calibri" w:cs="Times New Roman"/>
                <w:b/>
                <w:bCs/>
                <w:color w:val="000000"/>
                <w:sz w:val="16"/>
                <w:szCs w:val="16"/>
              </w:rPr>
              <w:t xml:space="preserve">LDP </w:t>
            </w:r>
            <w:proofErr w:type="spellStart"/>
            <w:r w:rsidRPr="00F26016">
              <w:rPr>
                <w:rFonts w:ascii="Calibri" w:eastAsia="Times New Roman" w:hAnsi="Calibri" w:cs="Times New Roman"/>
                <w:b/>
                <w:bCs/>
                <w:color w:val="000000"/>
                <w:sz w:val="16"/>
                <w:szCs w:val="16"/>
              </w:rPr>
              <w:t>Fructan</w:t>
            </w:r>
            <w:proofErr w:type="spellEnd"/>
          </w:p>
        </w:tc>
        <w:tc>
          <w:tcPr>
            <w:tcW w:w="960" w:type="dxa"/>
            <w:tcBorders>
              <w:top w:val="single" w:sz="4" w:space="0" w:color="auto"/>
              <w:left w:val="nil"/>
              <w:bottom w:val="single" w:sz="4" w:space="0" w:color="auto"/>
              <w:right w:val="single" w:sz="4" w:space="0" w:color="auto"/>
            </w:tcBorders>
            <w:shd w:val="clear" w:color="000000" w:fill="C5D9F1"/>
            <w:noWrap/>
            <w:vAlign w:val="bottom"/>
            <w:hideMark/>
          </w:tcPr>
          <w:p w14:paraId="1A332500" w14:textId="77777777" w:rsidR="00F26016" w:rsidRPr="00F26016" w:rsidRDefault="00F26016" w:rsidP="00F26016">
            <w:pPr>
              <w:rPr>
                <w:rFonts w:ascii="Calibri" w:eastAsia="Times New Roman" w:hAnsi="Calibri" w:cs="Times New Roman"/>
                <w:b/>
                <w:bCs/>
                <w:color w:val="000000"/>
                <w:sz w:val="16"/>
                <w:szCs w:val="16"/>
              </w:rPr>
            </w:pPr>
            <w:r w:rsidRPr="00F26016">
              <w:rPr>
                <w:rFonts w:ascii="Calibri" w:eastAsia="Times New Roman" w:hAnsi="Calibri" w:cs="Times New Roman"/>
                <w:b/>
                <w:bCs/>
                <w:color w:val="000000"/>
                <w:sz w:val="16"/>
                <w:szCs w:val="16"/>
              </w:rPr>
              <w:t>Amino Acids</w:t>
            </w:r>
          </w:p>
        </w:tc>
        <w:tc>
          <w:tcPr>
            <w:tcW w:w="689" w:type="dxa"/>
            <w:tcBorders>
              <w:top w:val="single" w:sz="4" w:space="0" w:color="auto"/>
              <w:left w:val="nil"/>
              <w:bottom w:val="single" w:sz="4" w:space="0" w:color="auto"/>
              <w:right w:val="single" w:sz="4" w:space="0" w:color="auto"/>
            </w:tcBorders>
            <w:shd w:val="clear" w:color="000000" w:fill="C5D9F1"/>
            <w:noWrap/>
            <w:vAlign w:val="bottom"/>
            <w:hideMark/>
          </w:tcPr>
          <w:p w14:paraId="371F3855" w14:textId="77777777" w:rsidR="00F26016" w:rsidRPr="00F26016" w:rsidRDefault="00F26016" w:rsidP="00F26016">
            <w:pPr>
              <w:rPr>
                <w:rFonts w:ascii="Calibri" w:eastAsia="Times New Roman" w:hAnsi="Calibri" w:cs="Times New Roman"/>
                <w:b/>
                <w:bCs/>
                <w:color w:val="000000"/>
                <w:sz w:val="16"/>
                <w:szCs w:val="16"/>
              </w:rPr>
            </w:pPr>
            <w:r w:rsidRPr="00F26016">
              <w:rPr>
                <w:rFonts w:ascii="Calibri" w:eastAsia="Times New Roman" w:hAnsi="Calibri" w:cs="Times New Roman"/>
                <w:b/>
                <w:bCs/>
                <w:color w:val="000000"/>
                <w:sz w:val="16"/>
                <w:szCs w:val="16"/>
              </w:rPr>
              <w:t>Nitrate</w:t>
            </w:r>
          </w:p>
        </w:tc>
        <w:tc>
          <w:tcPr>
            <w:tcW w:w="1000" w:type="dxa"/>
            <w:tcBorders>
              <w:top w:val="single" w:sz="4" w:space="0" w:color="auto"/>
              <w:left w:val="nil"/>
              <w:bottom w:val="single" w:sz="4" w:space="0" w:color="auto"/>
              <w:right w:val="single" w:sz="4" w:space="0" w:color="auto"/>
            </w:tcBorders>
            <w:shd w:val="clear" w:color="000000" w:fill="C5D9F1"/>
            <w:noWrap/>
            <w:vAlign w:val="bottom"/>
            <w:hideMark/>
          </w:tcPr>
          <w:p w14:paraId="43C0EBB9" w14:textId="77777777" w:rsidR="00F26016" w:rsidRPr="00F26016" w:rsidRDefault="00F26016" w:rsidP="00F26016">
            <w:pPr>
              <w:rPr>
                <w:rFonts w:ascii="Calibri" w:eastAsia="Times New Roman" w:hAnsi="Calibri" w:cs="Times New Roman"/>
                <w:b/>
                <w:bCs/>
                <w:color w:val="000000"/>
                <w:sz w:val="16"/>
                <w:szCs w:val="16"/>
              </w:rPr>
            </w:pPr>
            <w:r w:rsidRPr="00F26016">
              <w:rPr>
                <w:rFonts w:ascii="Calibri" w:eastAsia="Times New Roman" w:hAnsi="Calibri" w:cs="Times New Roman"/>
                <w:b/>
                <w:bCs/>
                <w:color w:val="000000"/>
                <w:sz w:val="16"/>
                <w:szCs w:val="16"/>
              </w:rPr>
              <w:t>Protein</w:t>
            </w:r>
          </w:p>
        </w:tc>
      </w:tr>
      <w:tr w:rsidR="00F26016" w:rsidRPr="00F26016" w14:paraId="18A1782E" w14:textId="77777777" w:rsidTr="00F26016">
        <w:trPr>
          <w:trHeight w:val="320"/>
        </w:trPr>
        <w:tc>
          <w:tcPr>
            <w:tcW w:w="1140" w:type="dxa"/>
            <w:tcBorders>
              <w:top w:val="nil"/>
              <w:left w:val="single" w:sz="8" w:space="0" w:color="auto"/>
              <w:bottom w:val="single" w:sz="8" w:space="0" w:color="auto"/>
              <w:right w:val="nil"/>
            </w:tcBorders>
            <w:shd w:val="clear" w:color="000000" w:fill="C5D9F1"/>
            <w:noWrap/>
            <w:hideMark/>
          </w:tcPr>
          <w:p w14:paraId="70D547B7" w14:textId="77777777" w:rsidR="00F26016" w:rsidRPr="00F26016" w:rsidRDefault="00F26016" w:rsidP="00F26016">
            <w:pPr>
              <w:jc w:val="center"/>
              <w:rPr>
                <w:rFonts w:ascii="Calibri" w:eastAsia="Times New Roman" w:hAnsi="Calibri" w:cs="Times New Roman"/>
                <w:b/>
                <w:bCs/>
                <w:color w:val="000000"/>
                <w:sz w:val="16"/>
                <w:szCs w:val="16"/>
              </w:rPr>
            </w:pPr>
            <w:r w:rsidRPr="00F26016">
              <w:rPr>
                <w:rFonts w:ascii="Calibri" w:eastAsia="Times New Roman" w:hAnsi="Calibri" w:cs="Times New Roman"/>
                <w:b/>
                <w:bCs/>
                <w:color w:val="000000"/>
                <w:sz w:val="16"/>
                <w:szCs w:val="16"/>
              </w:rPr>
              <w:t> </w:t>
            </w:r>
          </w:p>
        </w:tc>
        <w:tc>
          <w:tcPr>
            <w:tcW w:w="1200" w:type="dxa"/>
            <w:tcBorders>
              <w:top w:val="nil"/>
              <w:left w:val="nil"/>
              <w:bottom w:val="single" w:sz="8" w:space="0" w:color="auto"/>
              <w:right w:val="nil"/>
            </w:tcBorders>
            <w:shd w:val="clear" w:color="000000" w:fill="C5D9F1"/>
            <w:noWrap/>
            <w:hideMark/>
          </w:tcPr>
          <w:p w14:paraId="412D1D15" w14:textId="77777777" w:rsidR="00F26016" w:rsidRPr="00F26016" w:rsidRDefault="00F26016" w:rsidP="00F26016">
            <w:pPr>
              <w:jc w:val="center"/>
              <w:rPr>
                <w:rFonts w:ascii="Calibri" w:eastAsia="Times New Roman" w:hAnsi="Calibri" w:cs="Times New Roman"/>
                <w:b/>
                <w:bCs/>
                <w:color w:val="000000"/>
                <w:sz w:val="16"/>
                <w:szCs w:val="16"/>
              </w:rPr>
            </w:pPr>
            <w:r w:rsidRPr="00F26016">
              <w:rPr>
                <w:rFonts w:ascii="Calibri" w:eastAsia="Times New Roman" w:hAnsi="Calibri" w:cs="Times New Roman"/>
                <w:b/>
                <w:bCs/>
                <w:color w:val="000000"/>
                <w:sz w:val="16"/>
                <w:szCs w:val="16"/>
              </w:rPr>
              <w:t> </w:t>
            </w:r>
          </w:p>
        </w:tc>
        <w:tc>
          <w:tcPr>
            <w:tcW w:w="834" w:type="dxa"/>
            <w:tcBorders>
              <w:top w:val="nil"/>
              <w:left w:val="nil"/>
              <w:bottom w:val="single" w:sz="8" w:space="0" w:color="auto"/>
              <w:right w:val="nil"/>
            </w:tcBorders>
            <w:shd w:val="clear" w:color="000000" w:fill="C5D9F1"/>
            <w:noWrap/>
            <w:hideMark/>
          </w:tcPr>
          <w:p w14:paraId="7AC19427" w14:textId="77777777" w:rsidR="00F26016" w:rsidRPr="00F26016" w:rsidRDefault="00F26016" w:rsidP="00F26016">
            <w:pPr>
              <w:jc w:val="center"/>
              <w:rPr>
                <w:rFonts w:ascii="Calibri" w:eastAsia="Times New Roman" w:hAnsi="Calibri" w:cs="Times New Roman"/>
                <w:b/>
                <w:bCs/>
                <w:color w:val="000000"/>
                <w:sz w:val="16"/>
                <w:szCs w:val="16"/>
              </w:rPr>
            </w:pPr>
            <w:r w:rsidRPr="00F26016">
              <w:rPr>
                <w:rFonts w:ascii="Calibri" w:eastAsia="Times New Roman" w:hAnsi="Calibri" w:cs="Times New Roman"/>
                <w:b/>
                <w:bCs/>
                <w:color w:val="000000"/>
                <w:sz w:val="16"/>
                <w:szCs w:val="16"/>
              </w:rPr>
              <w:t> </w:t>
            </w:r>
          </w:p>
        </w:tc>
        <w:tc>
          <w:tcPr>
            <w:tcW w:w="980" w:type="dxa"/>
            <w:tcBorders>
              <w:top w:val="nil"/>
              <w:left w:val="nil"/>
              <w:bottom w:val="single" w:sz="8" w:space="0" w:color="auto"/>
              <w:right w:val="nil"/>
            </w:tcBorders>
            <w:shd w:val="clear" w:color="000000" w:fill="C5D9F1"/>
            <w:noWrap/>
            <w:hideMark/>
          </w:tcPr>
          <w:p w14:paraId="6F5DA117" w14:textId="77777777" w:rsidR="00F26016" w:rsidRPr="00F26016" w:rsidRDefault="00F26016" w:rsidP="00F26016">
            <w:pPr>
              <w:jc w:val="center"/>
              <w:rPr>
                <w:rFonts w:ascii="Calibri" w:eastAsia="Times New Roman" w:hAnsi="Calibri" w:cs="Times New Roman"/>
                <w:b/>
                <w:bCs/>
                <w:color w:val="000000"/>
                <w:sz w:val="16"/>
                <w:szCs w:val="16"/>
              </w:rPr>
            </w:pPr>
            <w:r w:rsidRPr="00F26016">
              <w:rPr>
                <w:rFonts w:ascii="Calibri" w:eastAsia="Times New Roman" w:hAnsi="Calibri" w:cs="Times New Roman"/>
                <w:b/>
                <w:bCs/>
                <w:color w:val="000000"/>
                <w:sz w:val="16"/>
                <w:szCs w:val="16"/>
              </w:rPr>
              <w:t> </w:t>
            </w:r>
          </w:p>
        </w:tc>
        <w:tc>
          <w:tcPr>
            <w:tcW w:w="1140" w:type="dxa"/>
            <w:tcBorders>
              <w:top w:val="nil"/>
              <w:left w:val="nil"/>
              <w:bottom w:val="single" w:sz="8" w:space="0" w:color="auto"/>
              <w:right w:val="nil"/>
            </w:tcBorders>
            <w:shd w:val="clear" w:color="000000" w:fill="C5D9F1"/>
            <w:noWrap/>
            <w:hideMark/>
          </w:tcPr>
          <w:p w14:paraId="75F9D22F" w14:textId="77777777" w:rsidR="00F26016" w:rsidRPr="00F26016" w:rsidRDefault="00F26016" w:rsidP="00F26016">
            <w:pPr>
              <w:jc w:val="center"/>
              <w:rPr>
                <w:rFonts w:ascii="Calibri" w:eastAsia="Times New Roman" w:hAnsi="Calibri" w:cs="Times New Roman"/>
                <w:b/>
                <w:bCs/>
                <w:color w:val="000000"/>
                <w:sz w:val="16"/>
                <w:szCs w:val="16"/>
              </w:rPr>
            </w:pPr>
            <w:r w:rsidRPr="00F26016">
              <w:rPr>
                <w:rFonts w:ascii="Calibri" w:eastAsia="Times New Roman" w:hAnsi="Calibri" w:cs="Times New Roman"/>
                <w:b/>
                <w:bCs/>
                <w:color w:val="000000"/>
                <w:sz w:val="16"/>
                <w:szCs w:val="16"/>
              </w:rPr>
              <w:t> </w:t>
            </w:r>
          </w:p>
        </w:tc>
        <w:tc>
          <w:tcPr>
            <w:tcW w:w="780" w:type="dxa"/>
            <w:tcBorders>
              <w:top w:val="nil"/>
              <w:left w:val="single" w:sz="4" w:space="0" w:color="auto"/>
              <w:bottom w:val="single" w:sz="8" w:space="0" w:color="auto"/>
              <w:right w:val="single" w:sz="4" w:space="0" w:color="auto"/>
            </w:tcBorders>
            <w:shd w:val="clear" w:color="000000" w:fill="C5D9F1"/>
            <w:noWrap/>
            <w:vAlign w:val="center"/>
            <w:hideMark/>
          </w:tcPr>
          <w:p w14:paraId="0C014565" w14:textId="16A87B87" w:rsidR="00F26016" w:rsidRPr="00F26016" w:rsidRDefault="006B7721" w:rsidP="006B7721">
            <w:pPr>
              <w:jc w:val="center"/>
              <w:rPr>
                <w:rFonts w:ascii="Calibri" w:eastAsia="Times New Roman" w:hAnsi="Calibri" w:cs="Times New Roman"/>
                <w:b/>
                <w:bCs/>
                <w:color w:val="000000"/>
                <w:sz w:val="14"/>
                <w:szCs w:val="14"/>
              </w:rPr>
            </w:pPr>
            <w:proofErr w:type="spellStart"/>
            <w:r>
              <w:rPr>
                <w:rFonts w:ascii="Calibri" w:eastAsia="Times New Roman" w:hAnsi="Calibri" w:cs="Times New Roman"/>
                <w:b/>
                <w:bCs/>
                <w:color w:val="000000"/>
                <w:sz w:val="14"/>
                <w:szCs w:val="14"/>
              </w:rPr>
              <w:t>μ</w:t>
            </w:r>
            <w:r w:rsidR="00F26016" w:rsidRPr="00F26016">
              <w:rPr>
                <w:rFonts w:ascii="Calibri" w:eastAsia="Times New Roman" w:hAnsi="Calibri" w:cs="Times New Roman"/>
                <w:b/>
                <w:bCs/>
                <w:color w:val="000000"/>
                <w:sz w:val="14"/>
                <w:szCs w:val="14"/>
              </w:rPr>
              <w:t>mol</w:t>
            </w:r>
            <w:proofErr w:type="spellEnd"/>
            <w:r w:rsidR="00F26016" w:rsidRPr="00F26016">
              <w:rPr>
                <w:rFonts w:ascii="Calibri" w:eastAsia="Times New Roman" w:hAnsi="Calibri" w:cs="Times New Roman"/>
                <w:b/>
                <w:bCs/>
                <w:color w:val="000000"/>
                <w:sz w:val="14"/>
                <w:szCs w:val="14"/>
              </w:rPr>
              <w:t xml:space="preserve"> mol</w:t>
            </w:r>
            <w:r w:rsidR="00F26016" w:rsidRPr="006B7721">
              <w:rPr>
                <w:rFonts w:ascii="Calibri" w:eastAsia="Times New Roman" w:hAnsi="Calibri" w:cs="Times New Roman"/>
                <w:b/>
                <w:bCs/>
                <w:color w:val="000000"/>
                <w:sz w:val="14"/>
                <w:szCs w:val="14"/>
                <w:vertAlign w:val="superscript"/>
              </w:rPr>
              <w:t>-1</w:t>
            </w:r>
          </w:p>
        </w:tc>
        <w:tc>
          <w:tcPr>
            <w:tcW w:w="780" w:type="dxa"/>
            <w:tcBorders>
              <w:top w:val="nil"/>
              <w:left w:val="nil"/>
              <w:bottom w:val="single" w:sz="8" w:space="0" w:color="auto"/>
              <w:right w:val="nil"/>
            </w:tcBorders>
            <w:shd w:val="clear" w:color="000000" w:fill="C5D9F1"/>
            <w:noWrap/>
            <w:vAlign w:val="center"/>
            <w:hideMark/>
          </w:tcPr>
          <w:p w14:paraId="27CFF1F5" w14:textId="77777777" w:rsidR="00F26016" w:rsidRPr="00F26016" w:rsidRDefault="00F26016" w:rsidP="00F26016">
            <w:pPr>
              <w:jc w:val="center"/>
              <w:rPr>
                <w:rFonts w:ascii="Calibri" w:eastAsia="Times New Roman" w:hAnsi="Calibri" w:cs="Times New Roman"/>
                <w:b/>
                <w:bCs/>
                <w:color w:val="000000"/>
                <w:sz w:val="14"/>
                <w:szCs w:val="14"/>
              </w:rPr>
            </w:pPr>
            <w:r w:rsidRPr="00F26016">
              <w:rPr>
                <w:rFonts w:ascii="Calibri" w:eastAsia="Times New Roman" w:hAnsi="Calibri" w:cs="Times New Roman"/>
                <w:b/>
                <w:bCs/>
                <w:color w:val="000000"/>
                <w:sz w:val="14"/>
                <w:szCs w:val="14"/>
              </w:rPr>
              <w:t> </w:t>
            </w:r>
          </w:p>
        </w:tc>
        <w:tc>
          <w:tcPr>
            <w:tcW w:w="980" w:type="dxa"/>
            <w:tcBorders>
              <w:top w:val="nil"/>
              <w:left w:val="single" w:sz="4" w:space="0" w:color="auto"/>
              <w:bottom w:val="single" w:sz="8" w:space="0" w:color="auto"/>
              <w:right w:val="single" w:sz="4" w:space="0" w:color="auto"/>
            </w:tcBorders>
            <w:shd w:val="clear" w:color="000000" w:fill="C5D9F1"/>
            <w:noWrap/>
            <w:vAlign w:val="center"/>
            <w:hideMark/>
          </w:tcPr>
          <w:p w14:paraId="6F821BAB" w14:textId="77777777" w:rsidR="00F26016" w:rsidRPr="00F26016" w:rsidRDefault="00F26016" w:rsidP="00F26016">
            <w:pPr>
              <w:jc w:val="center"/>
              <w:rPr>
                <w:rFonts w:ascii="Calibri" w:eastAsia="Times New Roman" w:hAnsi="Calibri" w:cs="Times New Roman"/>
                <w:b/>
                <w:bCs/>
                <w:color w:val="000000"/>
                <w:sz w:val="14"/>
                <w:szCs w:val="14"/>
              </w:rPr>
            </w:pPr>
            <w:r w:rsidRPr="00F26016">
              <w:rPr>
                <w:rFonts w:ascii="Calibri" w:eastAsia="Times New Roman" w:hAnsi="Calibri" w:cs="Times New Roman"/>
                <w:b/>
                <w:bCs/>
                <w:color w:val="000000"/>
                <w:sz w:val="14"/>
                <w:szCs w:val="14"/>
              </w:rPr>
              <w:t>days</w:t>
            </w:r>
          </w:p>
        </w:tc>
        <w:tc>
          <w:tcPr>
            <w:tcW w:w="4698" w:type="dxa"/>
            <w:gridSpan w:val="6"/>
            <w:tcBorders>
              <w:top w:val="nil"/>
              <w:left w:val="nil"/>
              <w:bottom w:val="single" w:sz="8" w:space="0" w:color="auto"/>
              <w:right w:val="single" w:sz="4" w:space="0" w:color="auto"/>
            </w:tcBorders>
            <w:shd w:val="clear" w:color="000000" w:fill="C5D9F1"/>
            <w:noWrap/>
            <w:vAlign w:val="center"/>
            <w:hideMark/>
          </w:tcPr>
          <w:p w14:paraId="6D6C5CE3" w14:textId="77777777" w:rsidR="00F26016" w:rsidRPr="00F26016" w:rsidRDefault="00F26016" w:rsidP="00F26016">
            <w:pPr>
              <w:jc w:val="center"/>
              <w:rPr>
                <w:rFonts w:ascii="Calibri" w:eastAsia="Times New Roman" w:hAnsi="Calibri" w:cs="Times New Roman"/>
                <w:b/>
                <w:bCs/>
                <w:color w:val="000000"/>
                <w:sz w:val="14"/>
                <w:szCs w:val="14"/>
              </w:rPr>
            </w:pPr>
            <w:proofErr w:type="spellStart"/>
            <w:r w:rsidRPr="00F26016">
              <w:rPr>
                <w:rFonts w:ascii="Calibri" w:eastAsia="Times New Roman" w:hAnsi="Calibri" w:cs="Times New Roman"/>
                <w:b/>
                <w:bCs/>
                <w:color w:val="000000"/>
                <w:sz w:val="14"/>
                <w:szCs w:val="14"/>
              </w:rPr>
              <w:t>nmol</w:t>
            </w:r>
            <w:proofErr w:type="spellEnd"/>
            <w:r w:rsidRPr="00F26016">
              <w:rPr>
                <w:rFonts w:ascii="Calibri" w:eastAsia="Times New Roman" w:hAnsi="Calibri" w:cs="Times New Roman"/>
                <w:b/>
                <w:bCs/>
                <w:color w:val="000000"/>
                <w:sz w:val="14"/>
                <w:szCs w:val="14"/>
              </w:rPr>
              <w:t xml:space="preserve"> Glucose equivalents mg</w:t>
            </w:r>
            <w:r w:rsidRPr="006B7721">
              <w:rPr>
                <w:rFonts w:ascii="Calibri" w:eastAsia="Times New Roman" w:hAnsi="Calibri" w:cs="Times New Roman"/>
                <w:b/>
                <w:bCs/>
                <w:color w:val="000000"/>
                <w:sz w:val="14"/>
                <w:szCs w:val="14"/>
                <w:vertAlign w:val="superscript"/>
              </w:rPr>
              <w:t>-1</w:t>
            </w:r>
            <w:r w:rsidRPr="00F26016">
              <w:rPr>
                <w:rFonts w:ascii="Calibri" w:eastAsia="Times New Roman" w:hAnsi="Calibri" w:cs="Times New Roman"/>
                <w:b/>
                <w:bCs/>
                <w:color w:val="000000"/>
                <w:sz w:val="14"/>
                <w:szCs w:val="14"/>
              </w:rPr>
              <w:t xml:space="preserve"> carbohydrate-corrected dry weight (CCDW)</w:t>
            </w:r>
          </w:p>
        </w:tc>
        <w:tc>
          <w:tcPr>
            <w:tcW w:w="1649" w:type="dxa"/>
            <w:gridSpan w:val="2"/>
            <w:tcBorders>
              <w:top w:val="nil"/>
              <w:left w:val="nil"/>
              <w:bottom w:val="single" w:sz="8" w:space="0" w:color="auto"/>
              <w:right w:val="single" w:sz="4" w:space="0" w:color="auto"/>
            </w:tcBorders>
            <w:shd w:val="clear" w:color="000000" w:fill="C5D9F1"/>
            <w:noWrap/>
            <w:vAlign w:val="center"/>
            <w:hideMark/>
          </w:tcPr>
          <w:p w14:paraId="713474B6" w14:textId="77777777" w:rsidR="00F26016" w:rsidRPr="00F26016" w:rsidRDefault="00F26016" w:rsidP="00F26016">
            <w:pPr>
              <w:jc w:val="center"/>
              <w:rPr>
                <w:rFonts w:ascii="Calibri" w:eastAsia="Times New Roman" w:hAnsi="Calibri" w:cs="Times New Roman"/>
                <w:b/>
                <w:bCs/>
                <w:color w:val="000000"/>
                <w:sz w:val="14"/>
                <w:szCs w:val="14"/>
              </w:rPr>
            </w:pPr>
            <w:proofErr w:type="spellStart"/>
            <w:r w:rsidRPr="00F26016">
              <w:rPr>
                <w:rFonts w:ascii="Calibri" w:eastAsia="Times New Roman" w:hAnsi="Calibri" w:cs="Times New Roman"/>
                <w:b/>
                <w:bCs/>
                <w:color w:val="000000"/>
                <w:sz w:val="14"/>
                <w:szCs w:val="14"/>
              </w:rPr>
              <w:t>nmol</w:t>
            </w:r>
            <w:proofErr w:type="spellEnd"/>
            <w:r w:rsidRPr="00F26016">
              <w:rPr>
                <w:rFonts w:ascii="Calibri" w:eastAsia="Times New Roman" w:hAnsi="Calibri" w:cs="Times New Roman"/>
                <w:b/>
                <w:bCs/>
                <w:color w:val="000000"/>
                <w:sz w:val="14"/>
                <w:szCs w:val="14"/>
              </w:rPr>
              <w:t xml:space="preserve"> mg</w:t>
            </w:r>
            <w:r w:rsidRPr="006B7721">
              <w:rPr>
                <w:rFonts w:ascii="Calibri" w:eastAsia="Times New Roman" w:hAnsi="Calibri" w:cs="Times New Roman"/>
                <w:b/>
                <w:bCs/>
                <w:color w:val="000000"/>
                <w:sz w:val="14"/>
                <w:szCs w:val="14"/>
                <w:vertAlign w:val="superscript"/>
              </w:rPr>
              <w:t>-1</w:t>
            </w:r>
            <w:r w:rsidRPr="00F26016">
              <w:rPr>
                <w:rFonts w:ascii="Calibri" w:eastAsia="Times New Roman" w:hAnsi="Calibri" w:cs="Times New Roman"/>
                <w:b/>
                <w:bCs/>
                <w:color w:val="000000"/>
                <w:sz w:val="14"/>
                <w:szCs w:val="14"/>
              </w:rPr>
              <w:t xml:space="preserve"> CCDW</w:t>
            </w:r>
          </w:p>
        </w:tc>
        <w:tc>
          <w:tcPr>
            <w:tcW w:w="1000" w:type="dxa"/>
            <w:tcBorders>
              <w:top w:val="nil"/>
              <w:left w:val="nil"/>
              <w:bottom w:val="single" w:sz="8" w:space="0" w:color="auto"/>
              <w:right w:val="single" w:sz="8" w:space="0" w:color="auto"/>
            </w:tcBorders>
            <w:shd w:val="clear" w:color="000000" w:fill="C5D9F1"/>
            <w:noWrap/>
            <w:vAlign w:val="center"/>
            <w:hideMark/>
          </w:tcPr>
          <w:p w14:paraId="046E5AE3" w14:textId="27B30883" w:rsidR="00F26016" w:rsidRPr="00F26016" w:rsidRDefault="006B7721" w:rsidP="006B7721">
            <w:pPr>
              <w:jc w:val="center"/>
              <w:rPr>
                <w:rFonts w:ascii="Calibri" w:eastAsia="Times New Roman" w:hAnsi="Calibri" w:cs="Times New Roman"/>
                <w:b/>
                <w:bCs/>
                <w:color w:val="000000"/>
                <w:sz w:val="14"/>
                <w:szCs w:val="14"/>
              </w:rPr>
            </w:pPr>
            <w:r>
              <w:rPr>
                <w:rFonts w:ascii="Calibri" w:eastAsia="Times New Roman" w:hAnsi="Calibri" w:cs="Times New Roman"/>
                <w:b/>
                <w:bCs/>
                <w:color w:val="000000"/>
                <w:sz w:val="14"/>
                <w:szCs w:val="14"/>
              </w:rPr>
              <w:t>μ</w:t>
            </w:r>
            <w:r w:rsidR="00F26016" w:rsidRPr="00F26016">
              <w:rPr>
                <w:rFonts w:ascii="Calibri" w:eastAsia="Times New Roman" w:hAnsi="Calibri" w:cs="Times New Roman"/>
                <w:b/>
                <w:bCs/>
                <w:color w:val="000000"/>
                <w:sz w:val="14"/>
                <w:szCs w:val="14"/>
              </w:rPr>
              <w:t>g mg</w:t>
            </w:r>
            <w:r w:rsidR="00F26016" w:rsidRPr="006B7721">
              <w:rPr>
                <w:rFonts w:ascii="Calibri" w:eastAsia="Times New Roman" w:hAnsi="Calibri" w:cs="Times New Roman"/>
                <w:b/>
                <w:bCs/>
                <w:color w:val="000000"/>
                <w:sz w:val="14"/>
                <w:szCs w:val="14"/>
                <w:vertAlign w:val="superscript"/>
              </w:rPr>
              <w:t>-1</w:t>
            </w:r>
            <w:r w:rsidR="00F26016" w:rsidRPr="00F26016">
              <w:rPr>
                <w:rFonts w:ascii="Calibri" w:eastAsia="Times New Roman" w:hAnsi="Calibri" w:cs="Times New Roman"/>
                <w:b/>
                <w:bCs/>
                <w:color w:val="000000"/>
                <w:sz w:val="14"/>
                <w:szCs w:val="14"/>
              </w:rPr>
              <w:t xml:space="preserve"> CCDW</w:t>
            </w:r>
          </w:p>
        </w:tc>
      </w:tr>
      <w:tr w:rsidR="00F26016" w:rsidRPr="00F26016" w14:paraId="30926D03" w14:textId="77777777" w:rsidTr="00F26016">
        <w:trPr>
          <w:trHeight w:val="300"/>
        </w:trPr>
        <w:tc>
          <w:tcPr>
            <w:tcW w:w="1140" w:type="dxa"/>
            <w:tcBorders>
              <w:top w:val="nil"/>
              <w:left w:val="nil"/>
              <w:bottom w:val="nil"/>
              <w:right w:val="nil"/>
            </w:tcBorders>
            <w:shd w:val="clear" w:color="auto" w:fill="auto"/>
            <w:noWrap/>
            <w:hideMark/>
          </w:tcPr>
          <w:p w14:paraId="058C3BA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200" w:type="dxa"/>
            <w:tcBorders>
              <w:top w:val="nil"/>
              <w:left w:val="nil"/>
              <w:bottom w:val="nil"/>
              <w:right w:val="nil"/>
            </w:tcBorders>
            <w:shd w:val="clear" w:color="auto" w:fill="auto"/>
            <w:noWrap/>
            <w:hideMark/>
          </w:tcPr>
          <w:p w14:paraId="6FD93F5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7C5F1BD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67BB9BB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23516D2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05D581C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6AE09ED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463B498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6B8046D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83.0</w:t>
            </w:r>
          </w:p>
        </w:tc>
        <w:tc>
          <w:tcPr>
            <w:tcW w:w="920" w:type="dxa"/>
            <w:tcBorders>
              <w:top w:val="nil"/>
              <w:left w:val="nil"/>
              <w:bottom w:val="nil"/>
              <w:right w:val="nil"/>
            </w:tcBorders>
            <w:shd w:val="clear" w:color="auto" w:fill="auto"/>
            <w:noWrap/>
            <w:vAlign w:val="bottom"/>
            <w:hideMark/>
          </w:tcPr>
          <w:p w14:paraId="332B541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12.7</w:t>
            </w:r>
          </w:p>
        </w:tc>
        <w:tc>
          <w:tcPr>
            <w:tcW w:w="741" w:type="dxa"/>
            <w:tcBorders>
              <w:top w:val="nil"/>
              <w:left w:val="nil"/>
              <w:bottom w:val="nil"/>
              <w:right w:val="nil"/>
            </w:tcBorders>
            <w:shd w:val="clear" w:color="auto" w:fill="auto"/>
            <w:noWrap/>
            <w:vAlign w:val="bottom"/>
            <w:hideMark/>
          </w:tcPr>
          <w:p w14:paraId="2044EA9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28.3</w:t>
            </w:r>
          </w:p>
        </w:tc>
        <w:tc>
          <w:tcPr>
            <w:tcW w:w="785" w:type="dxa"/>
            <w:tcBorders>
              <w:top w:val="nil"/>
              <w:left w:val="nil"/>
              <w:bottom w:val="nil"/>
              <w:right w:val="nil"/>
            </w:tcBorders>
            <w:shd w:val="clear" w:color="auto" w:fill="auto"/>
            <w:noWrap/>
            <w:vAlign w:val="bottom"/>
            <w:hideMark/>
          </w:tcPr>
          <w:p w14:paraId="0EE96C1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42.2</w:t>
            </w:r>
          </w:p>
        </w:tc>
        <w:tc>
          <w:tcPr>
            <w:tcW w:w="732" w:type="dxa"/>
            <w:tcBorders>
              <w:top w:val="nil"/>
              <w:left w:val="nil"/>
              <w:bottom w:val="nil"/>
              <w:right w:val="nil"/>
            </w:tcBorders>
            <w:shd w:val="clear" w:color="auto" w:fill="auto"/>
            <w:noWrap/>
            <w:vAlign w:val="bottom"/>
            <w:hideMark/>
          </w:tcPr>
          <w:p w14:paraId="2BE48D2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253.2</w:t>
            </w:r>
          </w:p>
        </w:tc>
        <w:tc>
          <w:tcPr>
            <w:tcW w:w="860" w:type="dxa"/>
            <w:tcBorders>
              <w:top w:val="nil"/>
              <w:left w:val="nil"/>
              <w:bottom w:val="nil"/>
              <w:right w:val="nil"/>
            </w:tcBorders>
            <w:shd w:val="clear" w:color="auto" w:fill="auto"/>
            <w:noWrap/>
            <w:vAlign w:val="bottom"/>
            <w:hideMark/>
          </w:tcPr>
          <w:p w14:paraId="7A076F4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55.1</w:t>
            </w:r>
          </w:p>
        </w:tc>
        <w:tc>
          <w:tcPr>
            <w:tcW w:w="960" w:type="dxa"/>
            <w:tcBorders>
              <w:top w:val="nil"/>
              <w:left w:val="nil"/>
              <w:bottom w:val="nil"/>
              <w:right w:val="nil"/>
            </w:tcBorders>
            <w:shd w:val="clear" w:color="auto" w:fill="auto"/>
            <w:noWrap/>
            <w:vAlign w:val="bottom"/>
            <w:hideMark/>
          </w:tcPr>
          <w:p w14:paraId="0A45B2E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58.8</w:t>
            </w:r>
          </w:p>
        </w:tc>
        <w:tc>
          <w:tcPr>
            <w:tcW w:w="689" w:type="dxa"/>
            <w:tcBorders>
              <w:top w:val="nil"/>
              <w:left w:val="nil"/>
              <w:bottom w:val="nil"/>
              <w:right w:val="nil"/>
            </w:tcBorders>
            <w:shd w:val="clear" w:color="auto" w:fill="auto"/>
            <w:noWrap/>
            <w:vAlign w:val="bottom"/>
            <w:hideMark/>
          </w:tcPr>
          <w:p w14:paraId="2EEDA20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7.4</w:t>
            </w:r>
          </w:p>
        </w:tc>
        <w:tc>
          <w:tcPr>
            <w:tcW w:w="1000" w:type="dxa"/>
            <w:tcBorders>
              <w:top w:val="nil"/>
              <w:left w:val="nil"/>
              <w:bottom w:val="nil"/>
              <w:right w:val="nil"/>
            </w:tcBorders>
            <w:shd w:val="clear" w:color="auto" w:fill="auto"/>
            <w:noWrap/>
            <w:vAlign w:val="bottom"/>
            <w:hideMark/>
          </w:tcPr>
          <w:p w14:paraId="6D6E03B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201.6</w:t>
            </w:r>
          </w:p>
        </w:tc>
      </w:tr>
      <w:tr w:rsidR="00F26016" w:rsidRPr="00F26016" w14:paraId="5F480AE7" w14:textId="77777777" w:rsidTr="00F26016">
        <w:trPr>
          <w:trHeight w:val="300"/>
        </w:trPr>
        <w:tc>
          <w:tcPr>
            <w:tcW w:w="1140" w:type="dxa"/>
            <w:tcBorders>
              <w:top w:val="nil"/>
              <w:left w:val="nil"/>
              <w:bottom w:val="nil"/>
              <w:right w:val="nil"/>
            </w:tcBorders>
            <w:shd w:val="clear" w:color="auto" w:fill="auto"/>
            <w:noWrap/>
            <w:hideMark/>
          </w:tcPr>
          <w:p w14:paraId="7C6CCF9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200" w:type="dxa"/>
            <w:tcBorders>
              <w:top w:val="nil"/>
              <w:left w:val="nil"/>
              <w:bottom w:val="nil"/>
              <w:right w:val="nil"/>
            </w:tcBorders>
            <w:shd w:val="clear" w:color="auto" w:fill="auto"/>
            <w:noWrap/>
            <w:hideMark/>
          </w:tcPr>
          <w:p w14:paraId="756513A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41B0875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2C444CE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5346F3E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6408221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27117EA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6535083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3E88F24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10.7</w:t>
            </w:r>
          </w:p>
        </w:tc>
        <w:tc>
          <w:tcPr>
            <w:tcW w:w="920" w:type="dxa"/>
            <w:tcBorders>
              <w:top w:val="nil"/>
              <w:left w:val="nil"/>
              <w:bottom w:val="nil"/>
              <w:right w:val="nil"/>
            </w:tcBorders>
            <w:shd w:val="clear" w:color="auto" w:fill="auto"/>
            <w:noWrap/>
            <w:vAlign w:val="bottom"/>
            <w:hideMark/>
          </w:tcPr>
          <w:p w14:paraId="26C2A45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45.2</w:t>
            </w:r>
          </w:p>
        </w:tc>
        <w:tc>
          <w:tcPr>
            <w:tcW w:w="741" w:type="dxa"/>
            <w:tcBorders>
              <w:top w:val="nil"/>
              <w:left w:val="nil"/>
              <w:bottom w:val="nil"/>
              <w:right w:val="nil"/>
            </w:tcBorders>
            <w:shd w:val="clear" w:color="auto" w:fill="auto"/>
            <w:noWrap/>
            <w:vAlign w:val="bottom"/>
            <w:hideMark/>
          </w:tcPr>
          <w:p w14:paraId="1428948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10.8</w:t>
            </w:r>
          </w:p>
        </w:tc>
        <w:tc>
          <w:tcPr>
            <w:tcW w:w="785" w:type="dxa"/>
            <w:tcBorders>
              <w:top w:val="nil"/>
              <w:left w:val="nil"/>
              <w:bottom w:val="nil"/>
              <w:right w:val="nil"/>
            </w:tcBorders>
            <w:shd w:val="clear" w:color="auto" w:fill="auto"/>
            <w:noWrap/>
            <w:vAlign w:val="bottom"/>
            <w:hideMark/>
          </w:tcPr>
          <w:p w14:paraId="73D7960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33.9</w:t>
            </w:r>
          </w:p>
        </w:tc>
        <w:tc>
          <w:tcPr>
            <w:tcW w:w="732" w:type="dxa"/>
            <w:tcBorders>
              <w:top w:val="nil"/>
              <w:left w:val="nil"/>
              <w:bottom w:val="nil"/>
              <w:right w:val="nil"/>
            </w:tcBorders>
            <w:shd w:val="clear" w:color="auto" w:fill="auto"/>
            <w:noWrap/>
            <w:vAlign w:val="bottom"/>
            <w:hideMark/>
          </w:tcPr>
          <w:p w14:paraId="30A2615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110.2</w:t>
            </w:r>
          </w:p>
        </w:tc>
        <w:tc>
          <w:tcPr>
            <w:tcW w:w="860" w:type="dxa"/>
            <w:tcBorders>
              <w:top w:val="nil"/>
              <w:left w:val="nil"/>
              <w:bottom w:val="nil"/>
              <w:right w:val="nil"/>
            </w:tcBorders>
            <w:shd w:val="clear" w:color="auto" w:fill="auto"/>
            <w:noWrap/>
            <w:vAlign w:val="bottom"/>
            <w:hideMark/>
          </w:tcPr>
          <w:p w14:paraId="607DB48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65.4</w:t>
            </w:r>
          </w:p>
        </w:tc>
        <w:tc>
          <w:tcPr>
            <w:tcW w:w="960" w:type="dxa"/>
            <w:tcBorders>
              <w:top w:val="nil"/>
              <w:left w:val="nil"/>
              <w:bottom w:val="nil"/>
              <w:right w:val="nil"/>
            </w:tcBorders>
            <w:shd w:val="clear" w:color="auto" w:fill="auto"/>
            <w:noWrap/>
            <w:vAlign w:val="bottom"/>
            <w:hideMark/>
          </w:tcPr>
          <w:p w14:paraId="5182878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25.6</w:t>
            </w:r>
          </w:p>
        </w:tc>
        <w:tc>
          <w:tcPr>
            <w:tcW w:w="689" w:type="dxa"/>
            <w:tcBorders>
              <w:top w:val="nil"/>
              <w:left w:val="nil"/>
              <w:bottom w:val="nil"/>
              <w:right w:val="nil"/>
            </w:tcBorders>
            <w:shd w:val="clear" w:color="auto" w:fill="auto"/>
            <w:noWrap/>
            <w:vAlign w:val="bottom"/>
            <w:hideMark/>
          </w:tcPr>
          <w:p w14:paraId="1796885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37.5</w:t>
            </w:r>
          </w:p>
        </w:tc>
        <w:tc>
          <w:tcPr>
            <w:tcW w:w="1000" w:type="dxa"/>
            <w:tcBorders>
              <w:top w:val="nil"/>
              <w:left w:val="nil"/>
              <w:bottom w:val="nil"/>
              <w:right w:val="nil"/>
            </w:tcBorders>
            <w:shd w:val="clear" w:color="auto" w:fill="auto"/>
            <w:noWrap/>
            <w:vAlign w:val="bottom"/>
            <w:hideMark/>
          </w:tcPr>
          <w:p w14:paraId="04F8FE7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134.5</w:t>
            </w:r>
          </w:p>
        </w:tc>
      </w:tr>
      <w:tr w:rsidR="00F26016" w:rsidRPr="00F26016" w14:paraId="252680CD" w14:textId="77777777" w:rsidTr="00F26016">
        <w:trPr>
          <w:trHeight w:val="300"/>
        </w:trPr>
        <w:tc>
          <w:tcPr>
            <w:tcW w:w="1140" w:type="dxa"/>
            <w:tcBorders>
              <w:top w:val="nil"/>
              <w:left w:val="nil"/>
              <w:bottom w:val="nil"/>
              <w:right w:val="nil"/>
            </w:tcBorders>
            <w:shd w:val="clear" w:color="auto" w:fill="auto"/>
            <w:noWrap/>
            <w:hideMark/>
          </w:tcPr>
          <w:p w14:paraId="69D725A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200" w:type="dxa"/>
            <w:tcBorders>
              <w:top w:val="nil"/>
              <w:left w:val="nil"/>
              <w:bottom w:val="nil"/>
              <w:right w:val="nil"/>
            </w:tcBorders>
            <w:shd w:val="clear" w:color="auto" w:fill="auto"/>
            <w:noWrap/>
            <w:hideMark/>
          </w:tcPr>
          <w:p w14:paraId="7DCD049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3D35C4C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52CC1CA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7B7327B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0BC8D3B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326F84D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7B476EF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7E78CB2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48.4</w:t>
            </w:r>
          </w:p>
        </w:tc>
        <w:tc>
          <w:tcPr>
            <w:tcW w:w="920" w:type="dxa"/>
            <w:tcBorders>
              <w:top w:val="nil"/>
              <w:left w:val="nil"/>
              <w:bottom w:val="nil"/>
              <w:right w:val="nil"/>
            </w:tcBorders>
            <w:shd w:val="clear" w:color="auto" w:fill="auto"/>
            <w:noWrap/>
            <w:vAlign w:val="bottom"/>
            <w:hideMark/>
          </w:tcPr>
          <w:p w14:paraId="7B17684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145.2</w:t>
            </w:r>
          </w:p>
        </w:tc>
        <w:tc>
          <w:tcPr>
            <w:tcW w:w="741" w:type="dxa"/>
            <w:tcBorders>
              <w:top w:val="nil"/>
              <w:left w:val="nil"/>
              <w:bottom w:val="nil"/>
              <w:right w:val="nil"/>
            </w:tcBorders>
            <w:shd w:val="clear" w:color="auto" w:fill="auto"/>
            <w:noWrap/>
            <w:vAlign w:val="bottom"/>
            <w:hideMark/>
          </w:tcPr>
          <w:p w14:paraId="4C0800B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177.1</w:t>
            </w:r>
          </w:p>
        </w:tc>
        <w:tc>
          <w:tcPr>
            <w:tcW w:w="785" w:type="dxa"/>
            <w:tcBorders>
              <w:top w:val="nil"/>
              <w:left w:val="nil"/>
              <w:bottom w:val="nil"/>
              <w:right w:val="nil"/>
            </w:tcBorders>
            <w:shd w:val="clear" w:color="auto" w:fill="auto"/>
            <w:noWrap/>
            <w:vAlign w:val="bottom"/>
            <w:hideMark/>
          </w:tcPr>
          <w:p w14:paraId="6A0FA09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123.2</w:t>
            </w:r>
          </w:p>
        </w:tc>
        <w:tc>
          <w:tcPr>
            <w:tcW w:w="732" w:type="dxa"/>
            <w:tcBorders>
              <w:top w:val="nil"/>
              <w:left w:val="nil"/>
              <w:bottom w:val="nil"/>
              <w:right w:val="nil"/>
            </w:tcBorders>
            <w:shd w:val="clear" w:color="auto" w:fill="auto"/>
            <w:noWrap/>
            <w:vAlign w:val="bottom"/>
            <w:hideMark/>
          </w:tcPr>
          <w:p w14:paraId="7490278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83.5</w:t>
            </w:r>
          </w:p>
        </w:tc>
        <w:tc>
          <w:tcPr>
            <w:tcW w:w="860" w:type="dxa"/>
            <w:tcBorders>
              <w:top w:val="nil"/>
              <w:left w:val="nil"/>
              <w:bottom w:val="nil"/>
              <w:right w:val="nil"/>
            </w:tcBorders>
            <w:shd w:val="clear" w:color="auto" w:fill="auto"/>
            <w:noWrap/>
            <w:vAlign w:val="bottom"/>
            <w:hideMark/>
          </w:tcPr>
          <w:p w14:paraId="5949571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300.8</w:t>
            </w:r>
          </w:p>
        </w:tc>
        <w:tc>
          <w:tcPr>
            <w:tcW w:w="960" w:type="dxa"/>
            <w:tcBorders>
              <w:top w:val="nil"/>
              <w:left w:val="nil"/>
              <w:bottom w:val="nil"/>
              <w:right w:val="nil"/>
            </w:tcBorders>
            <w:shd w:val="clear" w:color="auto" w:fill="auto"/>
            <w:noWrap/>
            <w:vAlign w:val="bottom"/>
            <w:hideMark/>
          </w:tcPr>
          <w:p w14:paraId="6D9FAAC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125.2</w:t>
            </w:r>
          </w:p>
        </w:tc>
        <w:tc>
          <w:tcPr>
            <w:tcW w:w="689" w:type="dxa"/>
            <w:tcBorders>
              <w:top w:val="nil"/>
              <w:left w:val="nil"/>
              <w:bottom w:val="nil"/>
              <w:right w:val="nil"/>
            </w:tcBorders>
            <w:shd w:val="clear" w:color="auto" w:fill="auto"/>
            <w:noWrap/>
            <w:vAlign w:val="bottom"/>
            <w:hideMark/>
          </w:tcPr>
          <w:p w14:paraId="2166A94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16.6</w:t>
            </w:r>
          </w:p>
        </w:tc>
        <w:tc>
          <w:tcPr>
            <w:tcW w:w="1000" w:type="dxa"/>
            <w:tcBorders>
              <w:top w:val="nil"/>
              <w:left w:val="nil"/>
              <w:bottom w:val="nil"/>
              <w:right w:val="nil"/>
            </w:tcBorders>
            <w:shd w:val="clear" w:color="auto" w:fill="auto"/>
            <w:noWrap/>
            <w:vAlign w:val="bottom"/>
            <w:hideMark/>
          </w:tcPr>
          <w:p w14:paraId="7A7993C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115.7</w:t>
            </w:r>
          </w:p>
        </w:tc>
      </w:tr>
      <w:tr w:rsidR="00F26016" w:rsidRPr="00F26016" w14:paraId="43CFC5E7" w14:textId="77777777" w:rsidTr="00F26016">
        <w:trPr>
          <w:trHeight w:val="227"/>
        </w:trPr>
        <w:tc>
          <w:tcPr>
            <w:tcW w:w="1140" w:type="dxa"/>
            <w:tcBorders>
              <w:top w:val="nil"/>
              <w:left w:val="nil"/>
              <w:bottom w:val="nil"/>
              <w:right w:val="nil"/>
            </w:tcBorders>
            <w:shd w:val="clear" w:color="auto" w:fill="auto"/>
            <w:noWrap/>
            <w:hideMark/>
          </w:tcPr>
          <w:p w14:paraId="5127EDB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w:t>
            </w:r>
          </w:p>
        </w:tc>
        <w:tc>
          <w:tcPr>
            <w:tcW w:w="1200" w:type="dxa"/>
            <w:tcBorders>
              <w:top w:val="nil"/>
              <w:left w:val="nil"/>
              <w:bottom w:val="nil"/>
              <w:right w:val="nil"/>
            </w:tcBorders>
            <w:shd w:val="clear" w:color="auto" w:fill="auto"/>
            <w:noWrap/>
            <w:hideMark/>
          </w:tcPr>
          <w:p w14:paraId="03D897D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2746230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48BB343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50CEE5F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2C581EB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4B9F86A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41FEBB7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w:t>
            </w:r>
          </w:p>
        </w:tc>
        <w:tc>
          <w:tcPr>
            <w:tcW w:w="660" w:type="dxa"/>
            <w:tcBorders>
              <w:top w:val="nil"/>
              <w:left w:val="nil"/>
              <w:bottom w:val="nil"/>
              <w:right w:val="nil"/>
            </w:tcBorders>
            <w:shd w:val="clear" w:color="auto" w:fill="auto"/>
            <w:noWrap/>
            <w:vAlign w:val="bottom"/>
            <w:hideMark/>
          </w:tcPr>
          <w:p w14:paraId="646BBB6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35.9</w:t>
            </w:r>
          </w:p>
        </w:tc>
        <w:tc>
          <w:tcPr>
            <w:tcW w:w="920" w:type="dxa"/>
            <w:tcBorders>
              <w:top w:val="nil"/>
              <w:left w:val="nil"/>
              <w:bottom w:val="nil"/>
              <w:right w:val="nil"/>
            </w:tcBorders>
            <w:shd w:val="clear" w:color="auto" w:fill="auto"/>
            <w:noWrap/>
            <w:vAlign w:val="bottom"/>
            <w:hideMark/>
          </w:tcPr>
          <w:p w14:paraId="1400FDB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741" w:type="dxa"/>
            <w:tcBorders>
              <w:top w:val="nil"/>
              <w:left w:val="nil"/>
              <w:bottom w:val="nil"/>
              <w:right w:val="nil"/>
            </w:tcBorders>
            <w:shd w:val="clear" w:color="auto" w:fill="auto"/>
            <w:noWrap/>
            <w:vAlign w:val="bottom"/>
            <w:hideMark/>
          </w:tcPr>
          <w:p w14:paraId="051312A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25.5</w:t>
            </w:r>
          </w:p>
        </w:tc>
        <w:tc>
          <w:tcPr>
            <w:tcW w:w="785" w:type="dxa"/>
            <w:tcBorders>
              <w:top w:val="nil"/>
              <w:left w:val="nil"/>
              <w:bottom w:val="nil"/>
              <w:right w:val="nil"/>
            </w:tcBorders>
            <w:shd w:val="clear" w:color="auto" w:fill="auto"/>
            <w:noWrap/>
            <w:vAlign w:val="bottom"/>
            <w:hideMark/>
          </w:tcPr>
          <w:p w14:paraId="47BF661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31.1</w:t>
            </w:r>
          </w:p>
        </w:tc>
        <w:tc>
          <w:tcPr>
            <w:tcW w:w="732" w:type="dxa"/>
            <w:tcBorders>
              <w:top w:val="nil"/>
              <w:left w:val="nil"/>
              <w:bottom w:val="nil"/>
              <w:right w:val="nil"/>
            </w:tcBorders>
            <w:shd w:val="clear" w:color="auto" w:fill="auto"/>
            <w:noWrap/>
            <w:vAlign w:val="bottom"/>
            <w:hideMark/>
          </w:tcPr>
          <w:p w14:paraId="14BC368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191.0</w:t>
            </w:r>
          </w:p>
        </w:tc>
        <w:tc>
          <w:tcPr>
            <w:tcW w:w="860" w:type="dxa"/>
            <w:tcBorders>
              <w:top w:val="nil"/>
              <w:left w:val="nil"/>
              <w:bottom w:val="nil"/>
              <w:right w:val="nil"/>
            </w:tcBorders>
            <w:shd w:val="clear" w:color="auto" w:fill="auto"/>
            <w:noWrap/>
            <w:vAlign w:val="bottom"/>
            <w:hideMark/>
          </w:tcPr>
          <w:p w14:paraId="1384BF6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23.5</w:t>
            </w:r>
          </w:p>
        </w:tc>
        <w:tc>
          <w:tcPr>
            <w:tcW w:w="960" w:type="dxa"/>
            <w:tcBorders>
              <w:top w:val="nil"/>
              <w:left w:val="nil"/>
              <w:bottom w:val="nil"/>
              <w:right w:val="nil"/>
            </w:tcBorders>
            <w:shd w:val="clear" w:color="auto" w:fill="auto"/>
            <w:noWrap/>
            <w:vAlign w:val="bottom"/>
            <w:hideMark/>
          </w:tcPr>
          <w:p w14:paraId="66AF642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46.1</w:t>
            </w:r>
          </w:p>
        </w:tc>
        <w:tc>
          <w:tcPr>
            <w:tcW w:w="689" w:type="dxa"/>
            <w:tcBorders>
              <w:top w:val="nil"/>
              <w:left w:val="nil"/>
              <w:bottom w:val="nil"/>
              <w:right w:val="nil"/>
            </w:tcBorders>
            <w:shd w:val="clear" w:color="auto" w:fill="auto"/>
            <w:noWrap/>
            <w:vAlign w:val="bottom"/>
            <w:hideMark/>
          </w:tcPr>
          <w:p w14:paraId="71A2EE0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15.8</w:t>
            </w:r>
          </w:p>
        </w:tc>
        <w:tc>
          <w:tcPr>
            <w:tcW w:w="1000" w:type="dxa"/>
            <w:tcBorders>
              <w:top w:val="nil"/>
              <w:left w:val="nil"/>
              <w:bottom w:val="nil"/>
              <w:right w:val="nil"/>
            </w:tcBorders>
            <w:shd w:val="clear" w:color="auto" w:fill="auto"/>
            <w:noWrap/>
            <w:vAlign w:val="bottom"/>
            <w:hideMark/>
          </w:tcPr>
          <w:p w14:paraId="12939BE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200.8</w:t>
            </w:r>
          </w:p>
        </w:tc>
      </w:tr>
      <w:tr w:rsidR="00F26016" w:rsidRPr="00F26016" w14:paraId="66201DA3" w14:textId="77777777" w:rsidTr="00F26016">
        <w:trPr>
          <w:trHeight w:val="300"/>
        </w:trPr>
        <w:tc>
          <w:tcPr>
            <w:tcW w:w="1140" w:type="dxa"/>
            <w:tcBorders>
              <w:top w:val="nil"/>
              <w:left w:val="nil"/>
              <w:bottom w:val="nil"/>
              <w:right w:val="nil"/>
            </w:tcBorders>
            <w:shd w:val="clear" w:color="auto" w:fill="auto"/>
            <w:noWrap/>
            <w:hideMark/>
          </w:tcPr>
          <w:p w14:paraId="14E80D7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w:t>
            </w:r>
          </w:p>
        </w:tc>
        <w:tc>
          <w:tcPr>
            <w:tcW w:w="1200" w:type="dxa"/>
            <w:tcBorders>
              <w:top w:val="nil"/>
              <w:left w:val="nil"/>
              <w:bottom w:val="nil"/>
              <w:right w:val="nil"/>
            </w:tcBorders>
            <w:shd w:val="clear" w:color="auto" w:fill="auto"/>
            <w:noWrap/>
            <w:hideMark/>
          </w:tcPr>
          <w:p w14:paraId="2559E40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048CB64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253AB42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581E835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25A0FFB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2C7ECCE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1788517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w:t>
            </w:r>
          </w:p>
        </w:tc>
        <w:tc>
          <w:tcPr>
            <w:tcW w:w="660" w:type="dxa"/>
            <w:tcBorders>
              <w:top w:val="nil"/>
              <w:left w:val="nil"/>
              <w:bottom w:val="nil"/>
              <w:right w:val="nil"/>
            </w:tcBorders>
            <w:shd w:val="clear" w:color="auto" w:fill="auto"/>
            <w:noWrap/>
            <w:vAlign w:val="bottom"/>
            <w:hideMark/>
          </w:tcPr>
          <w:p w14:paraId="63AA83B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4.2</w:t>
            </w:r>
          </w:p>
        </w:tc>
        <w:tc>
          <w:tcPr>
            <w:tcW w:w="920" w:type="dxa"/>
            <w:tcBorders>
              <w:top w:val="nil"/>
              <w:left w:val="nil"/>
              <w:bottom w:val="nil"/>
              <w:right w:val="nil"/>
            </w:tcBorders>
            <w:shd w:val="clear" w:color="auto" w:fill="auto"/>
            <w:noWrap/>
            <w:vAlign w:val="bottom"/>
            <w:hideMark/>
          </w:tcPr>
          <w:p w14:paraId="1F8B1D5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35.1</w:t>
            </w:r>
          </w:p>
        </w:tc>
        <w:tc>
          <w:tcPr>
            <w:tcW w:w="741" w:type="dxa"/>
            <w:tcBorders>
              <w:top w:val="nil"/>
              <w:left w:val="nil"/>
              <w:bottom w:val="nil"/>
              <w:right w:val="nil"/>
            </w:tcBorders>
            <w:shd w:val="clear" w:color="auto" w:fill="auto"/>
            <w:noWrap/>
            <w:vAlign w:val="bottom"/>
            <w:hideMark/>
          </w:tcPr>
          <w:p w14:paraId="36F1EFC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785" w:type="dxa"/>
            <w:tcBorders>
              <w:top w:val="nil"/>
              <w:left w:val="nil"/>
              <w:bottom w:val="nil"/>
              <w:right w:val="nil"/>
            </w:tcBorders>
            <w:shd w:val="clear" w:color="auto" w:fill="auto"/>
            <w:noWrap/>
            <w:vAlign w:val="bottom"/>
            <w:hideMark/>
          </w:tcPr>
          <w:p w14:paraId="7A89206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16.5</w:t>
            </w:r>
          </w:p>
        </w:tc>
        <w:tc>
          <w:tcPr>
            <w:tcW w:w="732" w:type="dxa"/>
            <w:tcBorders>
              <w:top w:val="nil"/>
              <w:left w:val="nil"/>
              <w:bottom w:val="nil"/>
              <w:right w:val="nil"/>
            </w:tcBorders>
            <w:shd w:val="clear" w:color="auto" w:fill="auto"/>
            <w:noWrap/>
            <w:vAlign w:val="bottom"/>
            <w:hideMark/>
          </w:tcPr>
          <w:p w14:paraId="79ABF6B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93.2</w:t>
            </w:r>
          </w:p>
        </w:tc>
        <w:tc>
          <w:tcPr>
            <w:tcW w:w="860" w:type="dxa"/>
            <w:tcBorders>
              <w:top w:val="nil"/>
              <w:left w:val="nil"/>
              <w:bottom w:val="nil"/>
              <w:right w:val="nil"/>
            </w:tcBorders>
            <w:shd w:val="clear" w:color="auto" w:fill="auto"/>
            <w:noWrap/>
            <w:vAlign w:val="bottom"/>
            <w:hideMark/>
          </w:tcPr>
          <w:p w14:paraId="55249D6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43.1</w:t>
            </w:r>
          </w:p>
        </w:tc>
        <w:tc>
          <w:tcPr>
            <w:tcW w:w="960" w:type="dxa"/>
            <w:tcBorders>
              <w:top w:val="nil"/>
              <w:left w:val="nil"/>
              <w:bottom w:val="nil"/>
              <w:right w:val="nil"/>
            </w:tcBorders>
            <w:shd w:val="clear" w:color="auto" w:fill="auto"/>
            <w:noWrap/>
            <w:vAlign w:val="bottom"/>
            <w:hideMark/>
          </w:tcPr>
          <w:p w14:paraId="78B83B6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20.9</w:t>
            </w:r>
          </w:p>
        </w:tc>
        <w:tc>
          <w:tcPr>
            <w:tcW w:w="689" w:type="dxa"/>
            <w:tcBorders>
              <w:top w:val="nil"/>
              <w:left w:val="nil"/>
              <w:bottom w:val="nil"/>
              <w:right w:val="nil"/>
            </w:tcBorders>
            <w:shd w:val="clear" w:color="auto" w:fill="auto"/>
            <w:noWrap/>
            <w:vAlign w:val="bottom"/>
            <w:hideMark/>
          </w:tcPr>
          <w:p w14:paraId="4ECCED3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247.1</w:t>
            </w:r>
          </w:p>
        </w:tc>
        <w:tc>
          <w:tcPr>
            <w:tcW w:w="1000" w:type="dxa"/>
            <w:tcBorders>
              <w:top w:val="nil"/>
              <w:left w:val="nil"/>
              <w:bottom w:val="nil"/>
              <w:right w:val="nil"/>
            </w:tcBorders>
            <w:shd w:val="clear" w:color="auto" w:fill="auto"/>
            <w:noWrap/>
            <w:vAlign w:val="bottom"/>
            <w:hideMark/>
          </w:tcPr>
          <w:p w14:paraId="26B4189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134.1</w:t>
            </w:r>
          </w:p>
        </w:tc>
      </w:tr>
      <w:tr w:rsidR="00F26016" w:rsidRPr="00F26016" w14:paraId="25C71158" w14:textId="77777777" w:rsidTr="00F26016">
        <w:trPr>
          <w:trHeight w:val="300"/>
        </w:trPr>
        <w:tc>
          <w:tcPr>
            <w:tcW w:w="1140" w:type="dxa"/>
            <w:tcBorders>
              <w:top w:val="nil"/>
              <w:left w:val="nil"/>
              <w:bottom w:val="nil"/>
              <w:right w:val="nil"/>
            </w:tcBorders>
            <w:shd w:val="clear" w:color="auto" w:fill="auto"/>
            <w:noWrap/>
            <w:hideMark/>
          </w:tcPr>
          <w:p w14:paraId="791DECA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w:t>
            </w:r>
          </w:p>
        </w:tc>
        <w:tc>
          <w:tcPr>
            <w:tcW w:w="1200" w:type="dxa"/>
            <w:tcBorders>
              <w:top w:val="nil"/>
              <w:left w:val="nil"/>
              <w:bottom w:val="nil"/>
              <w:right w:val="nil"/>
            </w:tcBorders>
            <w:shd w:val="clear" w:color="auto" w:fill="auto"/>
            <w:noWrap/>
            <w:hideMark/>
          </w:tcPr>
          <w:p w14:paraId="0C0D895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7E5B401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0DB6E95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3D222B3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62E16FF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7D91486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4993399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w:t>
            </w:r>
          </w:p>
        </w:tc>
        <w:tc>
          <w:tcPr>
            <w:tcW w:w="660" w:type="dxa"/>
            <w:tcBorders>
              <w:top w:val="nil"/>
              <w:left w:val="nil"/>
              <w:bottom w:val="nil"/>
              <w:right w:val="nil"/>
            </w:tcBorders>
            <w:shd w:val="clear" w:color="auto" w:fill="auto"/>
            <w:noWrap/>
            <w:vAlign w:val="bottom"/>
            <w:hideMark/>
          </w:tcPr>
          <w:p w14:paraId="301502B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21.5</w:t>
            </w:r>
          </w:p>
        </w:tc>
        <w:tc>
          <w:tcPr>
            <w:tcW w:w="920" w:type="dxa"/>
            <w:tcBorders>
              <w:top w:val="nil"/>
              <w:left w:val="nil"/>
              <w:bottom w:val="nil"/>
              <w:right w:val="nil"/>
            </w:tcBorders>
            <w:shd w:val="clear" w:color="auto" w:fill="auto"/>
            <w:noWrap/>
            <w:vAlign w:val="bottom"/>
            <w:hideMark/>
          </w:tcPr>
          <w:p w14:paraId="3116DEE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129.6</w:t>
            </w:r>
          </w:p>
        </w:tc>
        <w:tc>
          <w:tcPr>
            <w:tcW w:w="741" w:type="dxa"/>
            <w:tcBorders>
              <w:top w:val="nil"/>
              <w:left w:val="nil"/>
              <w:bottom w:val="nil"/>
              <w:right w:val="nil"/>
            </w:tcBorders>
            <w:shd w:val="clear" w:color="auto" w:fill="auto"/>
            <w:noWrap/>
            <w:vAlign w:val="bottom"/>
            <w:hideMark/>
          </w:tcPr>
          <w:p w14:paraId="55733B3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194.7</w:t>
            </w:r>
          </w:p>
        </w:tc>
        <w:tc>
          <w:tcPr>
            <w:tcW w:w="785" w:type="dxa"/>
            <w:tcBorders>
              <w:top w:val="nil"/>
              <w:left w:val="nil"/>
              <w:bottom w:val="nil"/>
              <w:right w:val="nil"/>
            </w:tcBorders>
            <w:shd w:val="clear" w:color="auto" w:fill="auto"/>
            <w:noWrap/>
            <w:vAlign w:val="bottom"/>
            <w:hideMark/>
          </w:tcPr>
          <w:p w14:paraId="40B4406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114.7</w:t>
            </w:r>
          </w:p>
        </w:tc>
        <w:tc>
          <w:tcPr>
            <w:tcW w:w="732" w:type="dxa"/>
            <w:tcBorders>
              <w:top w:val="nil"/>
              <w:left w:val="nil"/>
              <w:bottom w:val="nil"/>
              <w:right w:val="nil"/>
            </w:tcBorders>
            <w:shd w:val="clear" w:color="auto" w:fill="auto"/>
            <w:noWrap/>
            <w:vAlign w:val="bottom"/>
            <w:hideMark/>
          </w:tcPr>
          <w:p w14:paraId="5E18179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57.9</w:t>
            </w:r>
          </w:p>
        </w:tc>
        <w:tc>
          <w:tcPr>
            <w:tcW w:w="860" w:type="dxa"/>
            <w:tcBorders>
              <w:top w:val="nil"/>
              <w:left w:val="nil"/>
              <w:bottom w:val="nil"/>
              <w:right w:val="nil"/>
            </w:tcBorders>
            <w:shd w:val="clear" w:color="auto" w:fill="auto"/>
            <w:noWrap/>
            <w:vAlign w:val="bottom"/>
            <w:hideMark/>
          </w:tcPr>
          <w:p w14:paraId="5D4F04E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178.4</w:t>
            </w:r>
          </w:p>
        </w:tc>
        <w:tc>
          <w:tcPr>
            <w:tcW w:w="960" w:type="dxa"/>
            <w:tcBorders>
              <w:top w:val="nil"/>
              <w:left w:val="nil"/>
              <w:bottom w:val="nil"/>
              <w:right w:val="nil"/>
            </w:tcBorders>
            <w:shd w:val="clear" w:color="auto" w:fill="auto"/>
            <w:noWrap/>
            <w:vAlign w:val="bottom"/>
            <w:hideMark/>
          </w:tcPr>
          <w:p w14:paraId="3B7CF3F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115.3</w:t>
            </w:r>
          </w:p>
        </w:tc>
        <w:tc>
          <w:tcPr>
            <w:tcW w:w="689" w:type="dxa"/>
            <w:tcBorders>
              <w:top w:val="nil"/>
              <w:left w:val="nil"/>
              <w:bottom w:val="nil"/>
              <w:right w:val="nil"/>
            </w:tcBorders>
            <w:shd w:val="clear" w:color="auto" w:fill="auto"/>
            <w:noWrap/>
            <w:vAlign w:val="bottom"/>
            <w:hideMark/>
          </w:tcPr>
          <w:p w14:paraId="43A7BB2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53.5</w:t>
            </w:r>
          </w:p>
        </w:tc>
        <w:tc>
          <w:tcPr>
            <w:tcW w:w="1000" w:type="dxa"/>
            <w:tcBorders>
              <w:top w:val="nil"/>
              <w:left w:val="nil"/>
              <w:bottom w:val="nil"/>
              <w:right w:val="nil"/>
            </w:tcBorders>
            <w:shd w:val="clear" w:color="auto" w:fill="auto"/>
            <w:noWrap/>
            <w:vAlign w:val="bottom"/>
            <w:hideMark/>
          </w:tcPr>
          <w:p w14:paraId="14C35CA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118.1</w:t>
            </w:r>
          </w:p>
        </w:tc>
      </w:tr>
      <w:tr w:rsidR="00F26016" w:rsidRPr="00F26016" w14:paraId="7A355142" w14:textId="77777777" w:rsidTr="00F26016">
        <w:trPr>
          <w:trHeight w:val="300"/>
        </w:trPr>
        <w:tc>
          <w:tcPr>
            <w:tcW w:w="1140" w:type="dxa"/>
            <w:tcBorders>
              <w:top w:val="nil"/>
              <w:left w:val="nil"/>
              <w:bottom w:val="nil"/>
              <w:right w:val="nil"/>
            </w:tcBorders>
            <w:shd w:val="clear" w:color="auto" w:fill="auto"/>
            <w:noWrap/>
            <w:hideMark/>
          </w:tcPr>
          <w:p w14:paraId="60F1352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w:t>
            </w:r>
          </w:p>
        </w:tc>
        <w:tc>
          <w:tcPr>
            <w:tcW w:w="1200" w:type="dxa"/>
            <w:tcBorders>
              <w:top w:val="nil"/>
              <w:left w:val="nil"/>
              <w:bottom w:val="nil"/>
              <w:right w:val="nil"/>
            </w:tcBorders>
            <w:shd w:val="clear" w:color="auto" w:fill="auto"/>
            <w:noWrap/>
            <w:hideMark/>
          </w:tcPr>
          <w:p w14:paraId="209137B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7E134EC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45C3212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69DCD4B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57D9B67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5638E2D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5F63517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w:t>
            </w:r>
          </w:p>
        </w:tc>
        <w:tc>
          <w:tcPr>
            <w:tcW w:w="660" w:type="dxa"/>
            <w:tcBorders>
              <w:top w:val="nil"/>
              <w:left w:val="nil"/>
              <w:bottom w:val="nil"/>
              <w:right w:val="nil"/>
            </w:tcBorders>
            <w:shd w:val="clear" w:color="auto" w:fill="auto"/>
            <w:noWrap/>
            <w:vAlign w:val="bottom"/>
            <w:hideMark/>
          </w:tcPr>
          <w:p w14:paraId="0039D3C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183.8</w:t>
            </w:r>
          </w:p>
        </w:tc>
        <w:tc>
          <w:tcPr>
            <w:tcW w:w="920" w:type="dxa"/>
            <w:tcBorders>
              <w:top w:val="nil"/>
              <w:left w:val="nil"/>
              <w:bottom w:val="nil"/>
              <w:right w:val="nil"/>
            </w:tcBorders>
            <w:shd w:val="clear" w:color="auto" w:fill="auto"/>
            <w:noWrap/>
            <w:vAlign w:val="bottom"/>
            <w:hideMark/>
          </w:tcPr>
          <w:p w14:paraId="457EF31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29.2</w:t>
            </w:r>
          </w:p>
        </w:tc>
        <w:tc>
          <w:tcPr>
            <w:tcW w:w="741" w:type="dxa"/>
            <w:tcBorders>
              <w:top w:val="nil"/>
              <w:left w:val="nil"/>
              <w:bottom w:val="nil"/>
              <w:right w:val="nil"/>
            </w:tcBorders>
            <w:shd w:val="clear" w:color="auto" w:fill="auto"/>
            <w:noWrap/>
            <w:vAlign w:val="bottom"/>
            <w:hideMark/>
          </w:tcPr>
          <w:p w14:paraId="32411CE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44.2</w:t>
            </w:r>
          </w:p>
        </w:tc>
        <w:tc>
          <w:tcPr>
            <w:tcW w:w="785" w:type="dxa"/>
            <w:tcBorders>
              <w:top w:val="nil"/>
              <w:left w:val="nil"/>
              <w:bottom w:val="nil"/>
              <w:right w:val="nil"/>
            </w:tcBorders>
            <w:shd w:val="clear" w:color="auto" w:fill="auto"/>
            <w:noWrap/>
            <w:vAlign w:val="bottom"/>
            <w:hideMark/>
          </w:tcPr>
          <w:p w14:paraId="06FF178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38.1</w:t>
            </w:r>
          </w:p>
        </w:tc>
        <w:tc>
          <w:tcPr>
            <w:tcW w:w="732" w:type="dxa"/>
            <w:tcBorders>
              <w:top w:val="nil"/>
              <w:left w:val="nil"/>
              <w:bottom w:val="nil"/>
              <w:right w:val="nil"/>
            </w:tcBorders>
            <w:shd w:val="clear" w:color="auto" w:fill="auto"/>
            <w:noWrap/>
            <w:vAlign w:val="bottom"/>
            <w:hideMark/>
          </w:tcPr>
          <w:p w14:paraId="0336335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1056.3</w:t>
            </w:r>
          </w:p>
        </w:tc>
        <w:tc>
          <w:tcPr>
            <w:tcW w:w="860" w:type="dxa"/>
            <w:tcBorders>
              <w:top w:val="nil"/>
              <w:left w:val="nil"/>
              <w:bottom w:val="nil"/>
              <w:right w:val="nil"/>
            </w:tcBorders>
            <w:shd w:val="clear" w:color="auto" w:fill="auto"/>
            <w:noWrap/>
            <w:vAlign w:val="bottom"/>
            <w:hideMark/>
          </w:tcPr>
          <w:p w14:paraId="515C6B4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24.6</w:t>
            </w:r>
          </w:p>
        </w:tc>
        <w:tc>
          <w:tcPr>
            <w:tcW w:w="960" w:type="dxa"/>
            <w:tcBorders>
              <w:top w:val="nil"/>
              <w:left w:val="nil"/>
              <w:bottom w:val="nil"/>
              <w:right w:val="nil"/>
            </w:tcBorders>
            <w:shd w:val="clear" w:color="auto" w:fill="auto"/>
            <w:noWrap/>
            <w:vAlign w:val="bottom"/>
            <w:hideMark/>
          </w:tcPr>
          <w:p w14:paraId="618C07A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102.7</w:t>
            </w:r>
          </w:p>
        </w:tc>
        <w:tc>
          <w:tcPr>
            <w:tcW w:w="689" w:type="dxa"/>
            <w:tcBorders>
              <w:top w:val="nil"/>
              <w:left w:val="nil"/>
              <w:bottom w:val="nil"/>
              <w:right w:val="nil"/>
            </w:tcBorders>
            <w:shd w:val="clear" w:color="auto" w:fill="auto"/>
            <w:noWrap/>
            <w:vAlign w:val="bottom"/>
            <w:hideMark/>
          </w:tcPr>
          <w:p w14:paraId="540EEE2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39.0</w:t>
            </w:r>
          </w:p>
        </w:tc>
        <w:tc>
          <w:tcPr>
            <w:tcW w:w="1000" w:type="dxa"/>
            <w:tcBorders>
              <w:top w:val="nil"/>
              <w:left w:val="nil"/>
              <w:bottom w:val="nil"/>
              <w:right w:val="nil"/>
            </w:tcBorders>
            <w:shd w:val="clear" w:color="auto" w:fill="auto"/>
            <w:noWrap/>
            <w:vAlign w:val="bottom"/>
            <w:hideMark/>
          </w:tcPr>
          <w:p w14:paraId="5BD44A5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216.7</w:t>
            </w:r>
          </w:p>
        </w:tc>
      </w:tr>
      <w:tr w:rsidR="00F26016" w:rsidRPr="00F26016" w14:paraId="4CAE913C" w14:textId="77777777" w:rsidTr="00F26016">
        <w:trPr>
          <w:trHeight w:val="300"/>
        </w:trPr>
        <w:tc>
          <w:tcPr>
            <w:tcW w:w="1140" w:type="dxa"/>
            <w:tcBorders>
              <w:top w:val="nil"/>
              <w:left w:val="nil"/>
              <w:bottom w:val="nil"/>
              <w:right w:val="nil"/>
            </w:tcBorders>
            <w:shd w:val="clear" w:color="auto" w:fill="auto"/>
            <w:noWrap/>
            <w:hideMark/>
          </w:tcPr>
          <w:p w14:paraId="6A7B46C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w:t>
            </w:r>
          </w:p>
        </w:tc>
        <w:tc>
          <w:tcPr>
            <w:tcW w:w="1200" w:type="dxa"/>
            <w:tcBorders>
              <w:top w:val="nil"/>
              <w:left w:val="nil"/>
              <w:bottom w:val="nil"/>
              <w:right w:val="nil"/>
            </w:tcBorders>
            <w:shd w:val="clear" w:color="auto" w:fill="auto"/>
            <w:noWrap/>
            <w:hideMark/>
          </w:tcPr>
          <w:p w14:paraId="1656955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12ACC13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087C355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201626F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0CE1909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4475004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579823D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w:t>
            </w:r>
          </w:p>
        </w:tc>
        <w:tc>
          <w:tcPr>
            <w:tcW w:w="660" w:type="dxa"/>
            <w:tcBorders>
              <w:top w:val="nil"/>
              <w:left w:val="nil"/>
              <w:bottom w:val="nil"/>
              <w:right w:val="nil"/>
            </w:tcBorders>
            <w:shd w:val="clear" w:color="auto" w:fill="auto"/>
            <w:noWrap/>
            <w:vAlign w:val="bottom"/>
            <w:hideMark/>
          </w:tcPr>
          <w:p w14:paraId="02A4DC7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6.2</w:t>
            </w:r>
          </w:p>
        </w:tc>
        <w:tc>
          <w:tcPr>
            <w:tcW w:w="920" w:type="dxa"/>
            <w:tcBorders>
              <w:top w:val="nil"/>
              <w:left w:val="nil"/>
              <w:bottom w:val="nil"/>
              <w:right w:val="nil"/>
            </w:tcBorders>
            <w:shd w:val="clear" w:color="auto" w:fill="auto"/>
            <w:noWrap/>
            <w:vAlign w:val="bottom"/>
            <w:hideMark/>
          </w:tcPr>
          <w:p w14:paraId="09AA420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22.1</w:t>
            </w:r>
          </w:p>
        </w:tc>
        <w:tc>
          <w:tcPr>
            <w:tcW w:w="741" w:type="dxa"/>
            <w:tcBorders>
              <w:top w:val="nil"/>
              <w:left w:val="nil"/>
              <w:bottom w:val="nil"/>
              <w:right w:val="nil"/>
            </w:tcBorders>
            <w:shd w:val="clear" w:color="auto" w:fill="auto"/>
            <w:noWrap/>
            <w:vAlign w:val="bottom"/>
            <w:hideMark/>
          </w:tcPr>
          <w:p w14:paraId="63B4ECD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9.1</w:t>
            </w:r>
          </w:p>
        </w:tc>
        <w:tc>
          <w:tcPr>
            <w:tcW w:w="785" w:type="dxa"/>
            <w:tcBorders>
              <w:top w:val="nil"/>
              <w:left w:val="nil"/>
              <w:bottom w:val="nil"/>
              <w:right w:val="nil"/>
            </w:tcBorders>
            <w:shd w:val="clear" w:color="auto" w:fill="auto"/>
            <w:noWrap/>
            <w:vAlign w:val="bottom"/>
            <w:hideMark/>
          </w:tcPr>
          <w:p w14:paraId="2EEF48E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23.2</w:t>
            </w:r>
          </w:p>
        </w:tc>
        <w:tc>
          <w:tcPr>
            <w:tcW w:w="732" w:type="dxa"/>
            <w:tcBorders>
              <w:top w:val="nil"/>
              <w:left w:val="nil"/>
              <w:bottom w:val="nil"/>
              <w:right w:val="nil"/>
            </w:tcBorders>
            <w:shd w:val="clear" w:color="auto" w:fill="auto"/>
            <w:noWrap/>
            <w:vAlign w:val="bottom"/>
            <w:hideMark/>
          </w:tcPr>
          <w:p w14:paraId="2CCC3E5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121.2</w:t>
            </w:r>
          </w:p>
        </w:tc>
        <w:tc>
          <w:tcPr>
            <w:tcW w:w="860" w:type="dxa"/>
            <w:tcBorders>
              <w:top w:val="nil"/>
              <w:left w:val="nil"/>
              <w:bottom w:val="nil"/>
              <w:right w:val="nil"/>
            </w:tcBorders>
            <w:shd w:val="clear" w:color="auto" w:fill="auto"/>
            <w:noWrap/>
            <w:vAlign w:val="bottom"/>
            <w:hideMark/>
          </w:tcPr>
          <w:p w14:paraId="3280CF4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25.6</w:t>
            </w:r>
          </w:p>
        </w:tc>
        <w:tc>
          <w:tcPr>
            <w:tcW w:w="960" w:type="dxa"/>
            <w:tcBorders>
              <w:top w:val="nil"/>
              <w:left w:val="nil"/>
              <w:bottom w:val="nil"/>
              <w:right w:val="nil"/>
            </w:tcBorders>
            <w:shd w:val="clear" w:color="auto" w:fill="auto"/>
            <w:noWrap/>
            <w:vAlign w:val="bottom"/>
            <w:hideMark/>
          </w:tcPr>
          <w:p w14:paraId="129C7C5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32.4</w:t>
            </w:r>
          </w:p>
        </w:tc>
        <w:tc>
          <w:tcPr>
            <w:tcW w:w="689" w:type="dxa"/>
            <w:tcBorders>
              <w:top w:val="nil"/>
              <w:left w:val="nil"/>
              <w:bottom w:val="nil"/>
              <w:right w:val="nil"/>
            </w:tcBorders>
            <w:shd w:val="clear" w:color="auto" w:fill="auto"/>
            <w:noWrap/>
            <w:vAlign w:val="bottom"/>
            <w:hideMark/>
          </w:tcPr>
          <w:p w14:paraId="185AA2C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673.4</w:t>
            </w:r>
          </w:p>
        </w:tc>
        <w:tc>
          <w:tcPr>
            <w:tcW w:w="1000" w:type="dxa"/>
            <w:tcBorders>
              <w:top w:val="nil"/>
              <w:left w:val="nil"/>
              <w:bottom w:val="nil"/>
              <w:right w:val="nil"/>
            </w:tcBorders>
            <w:shd w:val="clear" w:color="auto" w:fill="auto"/>
            <w:noWrap/>
            <w:vAlign w:val="bottom"/>
            <w:hideMark/>
          </w:tcPr>
          <w:p w14:paraId="68241E6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147.6</w:t>
            </w:r>
          </w:p>
        </w:tc>
      </w:tr>
      <w:tr w:rsidR="00F26016" w:rsidRPr="00F26016" w14:paraId="42F78865" w14:textId="77777777" w:rsidTr="00F26016">
        <w:trPr>
          <w:trHeight w:val="300"/>
        </w:trPr>
        <w:tc>
          <w:tcPr>
            <w:tcW w:w="1140" w:type="dxa"/>
            <w:tcBorders>
              <w:top w:val="nil"/>
              <w:left w:val="nil"/>
              <w:bottom w:val="nil"/>
              <w:right w:val="nil"/>
            </w:tcBorders>
            <w:shd w:val="clear" w:color="auto" w:fill="auto"/>
            <w:noWrap/>
            <w:hideMark/>
          </w:tcPr>
          <w:p w14:paraId="6006796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w:t>
            </w:r>
          </w:p>
        </w:tc>
        <w:tc>
          <w:tcPr>
            <w:tcW w:w="1200" w:type="dxa"/>
            <w:tcBorders>
              <w:top w:val="nil"/>
              <w:left w:val="nil"/>
              <w:bottom w:val="nil"/>
              <w:right w:val="nil"/>
            </w:tcBorders>
            <w:shd w:val="clear" w:color="auto" w:fill="auto"/>
            <w:noWrap/>
            <w:hideMark/>
          </w:tcPr>
          <w:p w14:paraId="736C064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1239FC4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558F2C7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70A8DB4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18F1A9D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0A0D254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355BC08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w:t>
            </w:r>
          </w:p>
        </w:tc>
        <w:tc>
          <w:tcPr>
            <w:tcW w:w="660" w:type="dxa"/>
            <w:tcBorders>
              <w:top w:val="nil"/>
              <w:left w:val="nil"/>
              <w:bottom w:val="nil"/>
              <w:right w:val="nil"/>
            </w:tcBorders>
            <w:shd w:val="clear" w:color="auto" w:fill="auto"/>
            <w:noWrap/>
            <w:vAlign w:val="bottom"/>
            <w:hideMark/>
          </w:tcPr>
          <w:p w14:paraId="1BF6BE1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67.2</w:t>
            </w:r>
          </w:p>
        </w:tc>
        <w:tc>
          <w:tcPr>
            <w:tcW w:w="920" w:type="dxa"/>
            <w:tcBorders>
              <w:top w:val="nil"/>
              <w:left w:val="nil"/>
              <w:bottom w:val="nil"/>
              <w:right w:val="nil"/>
            </w:tcBorders>
            <w:shd w:val="clear" w:color="auto" w:fill="auto"/>
            <w:noWrap/>
            <w:vAlign w:val="bottom"/>
            <w:hideMark/>
          </w:tcPr>
          <w:p w14:paraId="63E6214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91.1</w:t>
            </w:r>
          </w:p>
        </w:tc>
        <w:tc>
          <w:tcPr>
            <w:tcW w:w="741" w:type="dxa"/>
            <w:tcBorders>
              <w:top w:val="nil"/>
              <w:left w:val="nil"/>
              <w:bottom w:val="nil"/>
              <w:right w:val="nil"/>
            </w:tcBorders>
            <w:shd w:val="clear" w:color="auto" w:fill="auto"/>
            <w:noWrap/>
            <w:vAlign w:val="bottom"/>
            <w:hideMark/>
          </w:tcPr>
          <w:p w14:paraId="0E98C81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243.1</w:t>
            </w:r>
          </w:p>
        </w:tc>
        <w:tc>
          <w:tcPr>
            <w:tcW w:w="785" w:type="dxa"/>
            <w:tcBorders>
              <w:top w:val="nil"/>
              <w:left w:val="nil"/>
              <w:bottom w:val="nil"/>
              <w:right w:val="nil"/>
            </w:tcBorders>
            <w:shd w:val="clear" w:color="auto" w:fill="auto"/>
            <w:noWrap/>
            <w:vAlign w:val="bottom"/>
            <w:hideMark/>
          </w:tcPr>
          <w:p w14:paraId="163FEB0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146.0</w:t>
            </w:r>
          </w:p>
        </w:tc>
        <w:tc>
          <w:tcPr>
            <w:tcW w:w="732" w:type="dxa"/>
            <w:tcBorders>
              <w:top w:val="nil"/>
              <w:left w:val="nil"/>
              <w:bottom w:val="nil"/>
              <w:right w:val="nil"/>
            </w:tcBorders>
            <w:shd w:val="clear" w:color="auto" w:fill="auto"/>
            <w:noWrap/>
            <w:vAlign w:val="bottom"/>
            <w:hideMark/>
          </w:tcPr>
          <w:p w14:paraId="2D281D8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114.1</w:t>
            </w:r>
          </w:p>
        </w:tc>
        <w:tc>
          <w:tcPr>
            <w:tcW w:w="860" w:type="dxa"/>
            <w:tcBorders>
              <w:top w:val="nil"/>
              <w:left w:val="nil"/>
              <w:bottom w:val="nil"/>
              <w:right w:val="nil"/>
            </w:tcBorders>
            <w:shd w:val="clear" w:color="auto" w:fill="auto"/>
            <w:noWrap/>
            <w:vAlign w:val="bottom"/>
            <w:hideMark/>
          </w:tcPr>
          <w:p w14:paraId="7701571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88.5</w:t>
            </w:r>
          </w:p>
        </w:tc>
        <w:tc>
          <w:tcPr>
            <w:tcW w:w="960" w:type="dxa"/>
            <w:tcBorders>
              <w:top w:val="nil"/>
              <w:left w:val="nil"/>
              <w:bottom w:val="nil"/>
              <w:right w:val="nil"/>
            </w:tcBorders>
            <w:shd w:val="clear" w:color="auto" w:fill="auto"/>
            <w:noWrap/>
            <w:vAlign w:val="bottom"/>
            <w:hideMark/>
          </w:tcPr>
          <w:p w14:paraId="097652F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181.9</w:t>
            </w:r>
          </w:p>
        </w:tc>
        <w:tc>
          <w:tcPr>
            <w:tcW w:w="689" w:type="dxa"/>
            <w:tcBorders>
              <w:top w:val="nil"/>
              <w:left w:val="nil"/>
              <w:bottom w:val="nil"/>
              <w:right w:val="nil"/>
            </w:tcBorders>
            <w:shd w:val="clear" w:color="auto" w:fill="auto"/>
            <w:noWrap/>
            <w:vAlign w:val="bottom"/>
            <w:hideMark/>
          </w:tcPr>
          <w:p w14:paraId="1B5A7AB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486.4</w:t>
            </w:r>
          </w:p>
        </w:tc>
        <w:tc>
          <w:tcPr>
            <w:tcW w:w="1000" w:type="dxa"/>
            <w:tcBorders>
              <w:top w:val="nil"/>
              <w:left w:val="nil"/>
              <w:bottom w:val="nil"/>
              <w:right w:val="nil"/>
            </w:tcBorders>
            <w:shd w:val="clear" w:color="auto" w:fill="auto"/>
            <w:noWrap/>
            <w:vAlign w:val="bottom"/>
            <w:hideMark/>
          </w:tcPr>
          <w:p w14:paraId="7922B14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121.0</w:t>
            </w:r>
          </w:p>
        </w:tc>
      </w:tr>
      <w:tr w:rsidR="00F26016" w:rsidRPr="00F26016" w14:paraId="4DEDFE26" w14:textId="77777777" w:rsidTr="00F26016">
        <w:trPr>
          <w:trHeight w:val="300"/>
        </w:trPr>
        <w:tc>
          <w:tcPr>
            <w:tcW w:w="1140" w:type="dxa"/>
            <w:tcBorders>
              <w:top w:val="nil"/>
              <w:left w:val="nil"/>
              <w:bottom w:val="nil"/>
              <w:right w:val="nil"/>
            </w:tcBorders>
            <w:shd w:val="clear" w:color="auto" w:fill="auto"/>
            <w:noWrap/>
            <w:hideMark/>
          </w:tcPr>
          <w:p w14:paraId="2D386CE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w:t>
            </w:r>
          </w:p>
        </w:tc>
        <w:tc>
          <w:tcPr>
            <w:tcW w:w="1200" w:type="dxa"/>
            <w:tcBorders>
              <w:top w:val="nil"/>
              <w:left w:val="nil"/>
              <w:bottom w:val="nil"/>
              <w:right w:val="nil"/>
            </w:tcBorders>
            <w:shd w:val="clear" w:color="auto" w:fill="auto"/>
            <w:noWrap/>
            <w:hideMark/>
          </w:tcPr>
          <w:p w14:paraId="68B7789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619A376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744C88F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372F530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2D922C8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5BC24AB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47B875D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0A8D978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91.9</w:t>
            </w:r>
          </w:p>
        </w:tc>
        <w:tc>
          <w:tcPr>
            <w:tcW w:w="920" w:type="dxa"/>
            <w:tcBorders>
              <w:top w:val="nil"/>
              <w:left w:val="nil"/>
              <w:bottom w:val="nil"/>
              <w:right w:val="nil"/>
            </w:tcBorders>
            <w:shd w:val="clear" w:color="auto" w:fill="auto"/>
            <w:noWrap/>
            <w:vAlign w:val="bottom"/>
            <w:hideMark/>
          </w:tcPr>
          <w:p w14:paraId="74FA77B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19.0</w:t>
            </w:r>
          </w:p>
        </w:tc>
        <w:tc>
          <w:tcPr>
            <w:tcW w:w="741" w:type="dxa"/>
            <w:tcBorders>
              <w:top w:val="nil"/>
              <w:left w:val="nil"/>
              <w:bottom w:val="nil"/>
              <w:right w:val="nil"/>
            </w:tcBorders>
            <w:shd w:val="clear" w:color="auto" w:fill="auto"/>
            <w:noWrap/>
            <w:vAlign w:val="bottom"/>
            <w:hideMark/>
          </w:tcPr>
          <w:p w14:paraId="47CED23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46.3</w:t>
            </w:r>
          </w:p>
        </w:tc>
        <w:tc>
          <w:tcPr>
            <w:tcW w:w="785" w:type="dxa"/>
            <w:tcBorders>
              <w:top w:val="nil"/>
              <w:left w:val="nil"/>
              <w:bottom w:val="nil"/>
              <w:right w:val="nil"/>
            </w:tcBorders>
            <w:shd w:val="clear" w:color="auto" w:fill="auto"/>
            <w:noWrap/>
            <w:vAlign w:val="bottom"/>
            <w:hideMark/>
          </w:tcPr>
          <w:p w14:paraId="646346D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53.3</w:t>
            </w:r>
          </w:p>
        </w:tc>
        <w:tc>
          <w:tcPr>
            <w:tcW w:w="732" w:type="dxa"/>
            <w:tcBorders>
              <w:top w:val="nil"/>
              <w:left w:val="nil"/>
              <w:bottom w:val="nil"/>
              <w:right w:val="nil"/>
            </w:tcBorders>
            <w:shd w:val="clear" w:color="auto" w:fill="auto"/>
            <w:noWrap/>
            <w:vAlign w:val="bottom"/>
            <w:hideMark/>
          </w:tcPr>
          <w:p w14:paraId="4FA1B58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366.4</w:t>
            </w:r>
          </w:p>
        </w:tc>
        <w:tc>
          <w:tcPr>
            <w:tcW w:w="860" w:type="dxa"/>
            <w:tcBorders>
              <w:top w:val="nil"/>
              <w:left w:val="nil"/>
              <w:bottom w:val="nil"/>
              <w:right w:val="nil"/>
            </w:tcBorders>
            <w:shd w:val="clear" w:color="auto" w:fill="auto"/>
            <w:noWrap/>
            <w:vAlign w:val="bottom"/>
            <w:hideMark/>
          </w:tcPr>
          <w:p w14:paraId="09BD7C1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90.3</w:t>
            </w:r>
          </w:p>
        </w:tc>
        <w:tc>
          <w:tcPr>
            <w:tcW w:w="960" w:type="dxa"/>
            <w:tcBorders>
              <w:top w:val="nil"/>
              <w:left w:val="nil"/>
              <w:bottom w:val="nil"/>
              <w:right w:val="nil"/>
            </w:tcBorders>
            <w:shd w:val="clear" w:color="auto" w:fill="auto"/>
            <w:noWrap/>
            <w:vAlign w:val="bottom"/>
            <w:hideMark/>
          </w:tcPr>
          <w:p w14:paraId="454F6BB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57.0</w:t>
            </w:r>
          </w:p>
        </w:tc>
        <w:tc>
          <w:tcPr>
            <w:tcW w:w="689" w:type="dxa"/>
            <w:tcBorders>
              <w:top w:val="nil"/>
              <w:left w:val="nil"/>
              <w:bottom w:val="nil"/>
              <w:right w:val="nil"/>
            </w:tcBorders>
            <w:shd w:val="clear" w:color="auto" w:fill="auto"/>
            <w:noWrap/>
            <w:vAlign w:val="bottom"/>
            <w:hideMark/>
          </w:tcPr>
          <w:p w14:paraId="12E3CC4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143.2</w:t>
            </w:r>
          </w:p>
        </w:tc>
        <w:tc>
          <w:tcPr>
            <w:tcW w:w="1000" w:type="dxa"/>
            <w:tcBorders>
              <w:top w:val="nil"/>
              <w:left w:val="nil"/>
              <w:bottom w:val="nil"/>
              <w:right w:val="nil"/>
            </w:tcBorders>
            <w:shd w:val="clear" w:color="auto" w:fill="auto"/>
            <w:noWrap/>
            <w:vAlign w:val="bottom"/>
            <w:hideMark/>
          </w:tcPr>
          <w:p w14:paraId="4821A61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192.7</w:t>
            </w:r>
          </w:p>
        </w:tc>
      </w:tr>
      <w:tr w:rsidR="00F26016" w:rsidRPr="00F26016" w14:paraId="1C0D5295" w14:textId="77777777" w:rsidTr="00F26016">
        <w:trPr>
          <w:trHeight w:val="300"/>
        </w:trPr>
        <w:tc>
          <w:tcPr>
            <w:tcW w:w="1140" w:type="dxa"/>
            <w:tcBorders>
              <w:top w:val="nil"/>
              <w:left w:val="nil"/>
              <w:bottom w:val="nil"/>
              <w:right w:val="nil"/>
            </w:tcBorders>
            <w:shd w:val="clear" w:color="auto" w:fill="auto"/>
            <w:noWrap/>
            <w:hideMark/>
          </w:tcPr>
          <w:p w14:paraId="3E3BD55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w:t>
            </w:r>
          </w:p>
        </w:tc>
        <w:tc>
          <w:tcPr>
            <w:tcW w:w="1200" w:type="dxa"/>
            <w:tcBorders>
              <w:top w:val="nil"/>
              <w:left w:val="nil"/>
              <w:bottom w:val="nil"/>
              <w:right w:val="nil"/>
            </w:tcBorders>
            <w:shd w:val="clear" w:color="auto" w:fill="auto"/>
            <w:noWrap/>
            <w:hideMark/>
          </w:tcPr>
          <w:p w14:paraId="1873524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1B283D1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71BB95C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446D127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276B052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4FB258E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080A642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11B1D14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w:t>
            </w:r>
          </w:p>
        </w:tc>
        <w:tc>
          <w:tcPr>
            <w:tcW w:w="920" w:type="dxa"/>
            <w:tcBorders>
              <w:top w:val="nil"/>
              <w:left w:val="nil"/>
              <w:bottom w:val="nil"/>
              <w:right w:val="nil"/>
            </w:tcBorders>
            <w:shd w:val="clear" w:color="auto" w:fill="auto"/>
            <w:noWrap/>
            <w:vAlign w:val="bottom"/>
            <w:hideMark/>
          </w:tcPr>
          <w:p w14:paraId="6DB6CD8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37.9</w:t>
            </w:r>
          </w:p>
        </w:tc>
        <w:tc>
          <w:tcPr>
            <w:tcW w:w="741" w:type="dxa"/>
            <w:tcBorders>
              <w:top w:val="nil"/>
              <w:left w:val="nil"/>
              <w:bottom w:val="nil"/>
              <w:right w:val="nil"/>
            </w:tcBorders>
            <w:shd w:val="clear" w:color="auto" w:fill="auto"/>
            <w:noWrap/>
            <w:vAlign w:val="bottom"/>
            <w:hideMark/>
          </w:tcPr>
          <w:p w14:paraId="18F7EFD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7.8</w:t>
            </w:r>
          </w:p>
        </w:tc>
        <w:tc>
          <w:tcPr>
            <w:tcW w:w="785" w:type="dxa"/>
            <w:tcBorders>
              <w:top w:val="nil"/>
              <w:left w:val="nil"/>
              <w:bottom w:val="nil"/>
              <w:right w:val="nil"/>
            </w:tcBorders>
            <w:shd w:val="clear" w:color="auto" w:fill="auto"/>
            <w:noWrap/>
            <w:vAlign w:val="bottom"/>
            <w:hideMark/>
          </w:tcPr>
          <w:p w14:paraId="7AB7DFE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25.1</w:t>
            </w:r>
          </w:p>
        </w:tc>
        <w:tc>
          <w:tcPr>
            <w:tcW w:w="732" w:type="dxa"/>
            <w:tcBorders>
              <w:top w:val="nil"/>
              <w:left w:val="nil"/>
              <w:bottom w:val="nil"/>
              <w:right w:val="nil"/>
            </w:tcBorders>
            <w:shd w:val="clear" w:color="auto" w:fill="auto"/>
            <w:noWrap/>
            <w:vAlign w:val="bottom"/>
            <w:hideMark/>
          </w:tcPr>
          <w:p w14:paraId="7B152C2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95.3</w:t>
            </w:r>
          </w:p>
        </w:tc>
        <w:tc>
          <w:tcPr>
            <w:tcW w:w="860" w:type="dxa"/>
            <w:tcBorders>
              <w:top w:val="nil"/>
              <w:left w:val="nil"/>
              <w:bottom w:val="nil"/>
              <w:right w:val="nil"/>
            </w:tcBorders>
            <w:shd w:val="clear" w:color="auto" w:fill="auto"/>
            <w:noWrap/>
            <w:vAlign w:val="bottom"/>
            <w:hideMark/>
          </w:tcPr>
          <w:p w14:paraId="764BDDF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58.5</w:t>
            </w:r>
          </w:p>
        </w:tc>
        <w:tc>
          <w:tcPr>
            <w:tcW w:w="960" w:type="dxa"/>
            <w:tcBorders>
              <w:top w:val="nil"/>
              <w:left w:val="nil"/>
              <w:bottom w:val="nil"/>
              <w:right w:val="nil"/>
            </w:tcBorders>
            <w:shd w:val="clear" w:color="auto" w:fill="auto"/>
            <w:noWrap/>
            <w:vAlign w:val="bottom"/>
            <w:hideMark/>
          </w:tcPr>
          <w:p w14:paraId="578F01B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18.7</w:t>
            </w:r>
          </w:p>
        </w:tc>
        <w:tc>
          <w:tcPr>
            <w:tcW w:w="689" w:type="dxa"/>
            <w:tcBorders>
              <w:top w:val="nil"/>
              <w:left w:val="nil"/>
              <w:bottom w:val="nil"/>
              <w:right w:val="nil"/>
            </w:tcBorders>
            <w:shd w:val="clear" w:color="auto" w:fill="auto"/>
            <w:noWrap/>
            <w:vAlign w:val="bottom"/>
            <w:hideMark/>
          </w:tcPr>
          <w:p w14:paraId="2441406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30.8</w:t>
            </w:r>
          </w:p>
        </w:tc>
        <w:tc>
          <w:tcPr>
            <w:tcW w:w="1000" w:type="dxa"/>
            <w:tcBorders>
              <w:top w:val="nil"/>
              <w:left w:val="nil"/>
              <w:bottom w:val="nil"/>
              <w:right w:val="nil"/>
            </w:tcBorders>
            <w:shd w:val="clear" w:color="auto" w:fill="auto"/>
            <w:noWrap/>
            <w:vAlign w:val="bottom"/>
            <w:hideMark/>
          </w:tcPr>
          <w:p w14:paraId="7650FD2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142.8</w:t>
            </w:r>
          </w:p>
        </w:tc>
      </w:tr>
      <w:tr w:rsidR="00F26016" w:rsidRPr="00F26016" w14:paraId="2BE38DAB" w14:textId="77777777" w:rsidTr="00F26016">
        <w:trPr>
          <w:trHeight w:val="300"/>
        </w:trPr>
        <w:tc>
          <w:tcPr>
            <w:tcW w:w="1140" w:type="dxa"/>
            <w:tcBorders>
              <w:top w:val="nil"/>
              <w:left w:val="nil"/>
              <w:bottom w:val="nil"/>
              <w:right w:val="nil"/>
            </w:tcBorders>
            <w:shd w:val="clear" w:color="auto" w:fill="auto"/>
            <w:noWrap/>
            <w:hideMark/>
          </w:tcPr>
          <w:p w14:paraId="4625F0A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w:t>
            </w:r>
          </w:p>
        </w:tc>
        <w:tc>
          <w:tcPr>
            <w:tcW w:w="1200" w:type="dxa"/>
            <w:tcBorders>
              <w:top w:val="nil"/>
              <w:left w:val="nil"/>
              <w:bottom w:val="nil"/>
              <w:right w:val="nil"/>
            </w:tcBorders>
            <w:shd w:val="clear" w:color="auto" w:fill="auto"/>
            <w:noWrap/>
            <w:hideMark/>
          </w:tcPr>
          <w:p w14:paraId="388D037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14C9CD5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1CD61F9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5D86160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7C0708C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34E8305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4A92DA5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7ECFDF1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43.0</w:t>
            </w:r>
          </w:p>
        </w:tc>
        <w:tc>
          <w:tcPr>
            <w:tcW w:w="920" w:type="dxa"/>
            <w:tcBorders>
              <w:top w:val="nil"/>
              <w:left w:val="nil"/>
              <w:bottom w:val="nil"/>
              <w:right w:val="nil"/>
            </w:tcBorders>
            <w:shd w:val="clear" w:color="auto" w:fill="auto"/>
            <w:noWrap/>
            <w:vAlign w:val="bottom"/>
            <w:hideMark/>
          </w:tcPr>
          <w:p w14:paraId="07ADCC1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122.6</w:t>
            </w:r>
          </w:p>
        </w:tc>
        <w:tc>
          <w:tcPr>
            <w:tcW w:w="741" w:type="dxa"/>
            <w:tcBorders>
              <w:top w:val="nil"/>
              <w:left w:val="nil"/>
              <w:bottom w:val="nil"/>
              <w:right w:val="nil"/>
            </w:tcBorders>
            <w:shd w:val="clear" w:color="auto" w:fill="auto"/>
            <w:noWrap/>
            <w:vAlign w:val="bottom"/>
            <w:hideMark/>
          </w:tcPr>
          <w:p w14:paraId="317AA53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220.6</w:t>
            </w:r>
          </w:p>
        </w:tc>
        <w:tc>
          <w:tcPr>
            <w:tcW w:w="785" w:type="dxa"/>
            <w:tcBorders>
              <w:top w:val="nil"/>
              <w:left w:val="nil"/>
              <w:bottom w:val="nil"/>
              <w:right w:val="nil"/>
            </w:tcBorders>
            <w:shd w:val="clear" w:color="auto" w:fill="auto"/>
            <w:noWrap/>
            <w:vAlign w:val="bottom"/>
            <w:hideMark/>
          </w:tcPr>
          <w:p w14:paraId="4921A85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175.9</w:t>
            </w:r>
          </w:p>
        </w:tc>
        <w:tc>
          <w:tcPr>
            <w:tcW w:w="732" w:type="dxa"/>
            <w:tcBorders>
              <w:top w:val="nil"/>
              <w:left w:val="nil"/>
              <w:bottom w:val="nil"/>
              <w:right w:val="nil"/>
            </w:tcBorders>
            <w:shd w:val="clear" w:color="auto" w:fill="auto"/>
            <w:noWrap/>
            <w:vAlign w:val="bottom"/>
            <w:hideMark/>
          </w:tcPr>
          <w:p w14:paraId="2B43FEA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w:t>
            </w:r>
          </w:p>
        </w:tc>
        <w:tc>
          <w:tcPr>
            <w:tcW w:w="860" w:type="dxa"/>
            <w:tcBorders>
              <w:top w:val="nil"/>
              <w:left w:val="nil"/>
              <w:bottom w:val="nil"/>
              <w:right w:val="nil"/>
            </w:tcBorders>
            <w:shd w:val="clear" w:color="auto" w:fill="auto"/>
            <w:noWrap/>
            <w:vAlign w:val="bottom"/>
            <w:hideMark/>
          </w:tcPr>
          <w:p w14:paraId="6A8C24F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185.3</w:t>
            </w:r>
          </w:p>
        </w:tc>
        <w:tc>
          <w:tcPr>
            <w:tcW w:w="960" w:type="dxa"/>
            <w:tcBorders>
              <w:top w:val="nil"/>
              <w:left w:val="nil"/>
              <w:bottom w:val="nil"/>
              <w:right w:val="nil"/>
            </w:tcBorders>
            <w:shd w:val="clear" w:color="auto" w:fill="auto"/>
            <w:noWrap/>
            <w:vAlign w:val="bottom"/>
            <w:hideMark/>
          </w:tcPr>
          <w:p w14:paraId="1D73776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157.2</w:t>
            </w:r>
          </w:p>
        </w:tc>
        <w:tc>
          <w:tcPr>
            <w:tcW w:w="689" w:type="dxa"/>
            <w:tcBorders>
              <w:top w:val="nil"/>
              <w:left w:val="nil"/>
              <w:bottom w:val="nil"/>
              <w:right w:val="nil"/>
            </w:tcBorders>
            <w:shd w:val="clear" w:color="auto" w:fill="auto"/>
            <w:noWrap/>
            <w:vAlign w:val="bottom"/>
            <w:hideMark/>
          </w:tcPr>
          <w:p w14:paraId="71B818B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162.8</w:t>
            </w:r>
          </w:p>
        </w:tc>
        <w:tc>
          <w:tcPr>
            <w:tcW w:w="1000" w:type="dxa"/>
            <w:tcBorders>
              <w:top w:val="nil"/>
              <w:left w:val="nil"/>
              <w:bottom w:val="nil"/>
              <w:right w:val="nil"/>
            </w:tcBorders>
            <w:shd w:val="clear" w:color="auto" w:fill="auto"/>
            <w:noWrap/>
            <w:vAlign w:val="bottom"/>
            <w:hideMark/>
          </w:tcPr>
          <w:p w14:paraId="3E99C33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107.3</w:t>
            </w:r>
          </w:p>
        </w:tc>
      </w:tr>
      <w:tr w:rsidR="00F26016" w:rsidRPr="00F26016" w14:paraId="539E1911" w14:textId="77777777" w:rsidTr="00F26016">
        <w:trPr>
          <w:trHeight w:val="300"/>
        </w:trPr>
        <w:tc>
          <w:tcPr>
            <w:tcW w:w="1140" w:type="dxa"/>
            <w:tcBorders>
              <w:top w:val="nil"/>
              <w:left w:val="nil"/>
              <w:bottom w:val="nil"/>
              <w:right w:val="nil"/>
            </w:tcBorders>
            <w:shd w:val="clear" w:color="auto" w:fill="auto"/>
            <w:noWrap/>
            <w:hideMark/>
          </w:tcPr>
          <w:p w14:paraId="53BEADC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w:t>
            </w:r>
          </w:p>
        </w:tc>
        <w:tc>
          <w:tcPr>
            <w:tcW w:w="1200" w:type="dxa"/>
            <w:tcBorders>
              <w:top w:val="nil"/>
              <w:left w:val="nil"/>
              <w:bottom w:val="nil"/>
              <w:right w:val="nil"/>
            </w:tcBorders>
            <w:shd w:val="clear" w:color="auto" w:fill="auto"/>
            <w:noWrap/>
            <w:hideMark/>
          </w:tcPr>
          <w:p w14:paraId="551E01F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7B3E239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19E74C6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596B572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05FB221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0E57018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3AE17A1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7715C87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172.2</w:t>
            </w:r>
          </w:p>
        </w:tc>
        <w:tc>
          <w:tcPr>
            <w:tcW w:w="920" w:type="dxa"/>
            <w:tcBorders>
              <w:top w:val="nil"/>
              <w:left w:val="nil"/>
              <w:bottom w:val="nil"/>
              <w:right w:val="nil"/>
            </w:tcBorders>
            <w:shd w:val="clear" w:color="auto" w:fill="auto"/>
            <w:noWrap/>
            <w:vAlign w:val="bottom"/>
            <w:hideMark/>
          </w:tcPr>
          <w:p w14:paraId="19B7ECE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45.3</w:t>
            </w:r>
          </w:p>
        </w:tc>
        <w:tc>
          <w:tcPr>
            <w:tcW w:w="741" w:type="dxa"/>
            <w:tcBorders>
              <w:top w:val="nil"/>
              <w:left w:val="nil"/>
              <w:bottom w:val="nil"/>
              <w:right w:val="nil"/>
            </w:tcBorders>
            <w:shd w:val="clear" w:color="auto" w:fill="auto"/>
            <w:noWrap/>
            <w:vAlign w:val="bottom"/>
            <w:hideMark/>
          </w:tcPr>
          <w:p w14:paraId="4007F69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46.8</w:t>
            </w:r>
          </w:p>
        </w:tc>
        <w:tc>
          <w:tcPr>
            <w:tcW w:w="785" w:type="dxa"/>
            <w:tcBorders>
              <w:top w:val="nil"/>
              <w:left w:val="nil"/>
              <w:bottom w:val="nil"/>
              <w:right w:val="nil"/>
            </w:tcBorders>
            <w:shd w:val="clear" w:color="auto" w:fill="auto"/>
            <w:noWrap/>
            <w:vAlign w:val="bottom"/>
            <w:hideMark/>
          </w:tcPr>
          <w:p w14:paraId="0C8CD4A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47.3</w:t>
            </w:r>
          </w:p>
        </w:tc>
        <w:tc>
          <w:tcPr>
            <w:tcW w:w="732" w:type="dxa"/>
            <w:tcBorders>
              <w:top w:val="nil"/>
              <w:left w:val="nil"/>
              <w:bottom w:val="nil"/>
              <w:right w:val="nil"/>
            </w:tcBorders>
            <w:shd w:val="clear" w:color="auto" w:fill="auto"/>
            <w:noWrap/>
            <w:vAlign w:val="bottom"/>
            <w:hideMark/>
          </w:tcPr>
          <w:p w14:paraId="11C7E36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1004.3</w:t>
            </w:r>
          </w:p>
        </w:tc>
        <w:tc>
          <w:tcPr>
            <w:tcW w:w="860" w:type="dxa"/>
            <w:tcBorders>
              <w:top w:val="nil"/>
              <w:left w:val="nil"/>
              <w:bottom w:val="nil"/>
              <w:right w:val="nil"/>
            </w:tcBorders>
            <w:shd w:val="clear" w:color="auto" w:fill="auto"/>
            <w:noWrap/>
            <w:vAlign w:val="bottom"/>
            <w:hideMark/>
          </w:tcPr>
          <w:p w14:paraId="3C6C28E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41.5</w:t>
            </w:r>
          </w:p>
        </w:tc>
        <w:tc>
          <w:tcPr>
            <w:tcW w:w="960" w:type="dxa"/>
            <w:tcBorders>
              <w:top w:val="nil"/>
              <w:left w:val="nil"/>
              <w:bottom w:val="nil"/>
              <w:right w:val="nil"/>
            </w:tcBorders>
            <w:shd w:val="clear" w:color="auto" w:fill="auto"/>
            <w:noWrap/>
            <w:vAlign w:val="bottom"/>
            <w:hideMark/>
          </w:tcPr>
          <w:p w14:paraId="1C6B20F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69.3</w:t>
            </w:r>
          </w:p>
        </w:tc>
        <w:tc>
          <w:tcPr>
            <w:tcW w:w="689" w:type="dxa"/>
            <w:tcBorders>
              <w:top w:val="nil"/>
              <w:left w:val="nil"/>
              <w:bottom w:val="nil"/>
              <w:right w:val="nil"/>
            </w:tcBorders>
            <w:shd w:val="clear" w:color="auto" w:fill="auto"/>
            <w:noWrap/>
            <w:vAlign w:val="bottom"/>
            <w:hideMark/>
          </w:tcPr>
          <w:p w14:paraId="54DD13F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w:t>
            </w:r>
          </w:p>
        </w:tc>
        <w:tc>
          <w:tcPr>
            <w:tcW w:w="1000" w:type="dxa"/>
            <w:tcBorders>
              <w:top w:val="nil"/>
              <w:left w:val="nil"/>
              <w:bottom w:val="nil"/>
              <w:right w:val="nil"/>
            </w:tcBorders>
            <w:shd w:val="clear" w:color="auto" w:fill="auto"/>
            <w:noWrap/>
            <w:vAlign w:val="bottom"/>
            <w:hideMark/>
          </w:tcPr>
          <w:p w14:paraId="4053382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193.2</w:t>
            </w:r>
          </w:p>
        </w:tc>
      </w:tr>
      <w:tr w:rsidR="00F26016" w:rsidRPr="00F26016" w14:paraId="15E46E57" w14:textId="77777777" w:rsidTr="00F26016">
        <w:trPr>
          <w:trHeight w:val="300"/>
        </w:trPr>
        <w:tc>
          <w:tcPr>
            <w:tcW w:w="1140" w:type="dxa"/>
            <w:tcBorders>
              <w:top w:val="nil"/>
              <w:left w:val="nil"/>
              <w:bottom w:val="nil"/>
              <w:right w:val="nil"/>
            </w:tcBorders>
            <w:shd w:val="clear" w:color="auto" w:fill="auto"/>
            <w:noWrap/>
            <w:hideMark/>
          </w:tcPr>
          <w:p w14:paraId="7334866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w:t>
            </w:r>
          </w:p>
        </w:tc>
        <w:tc>
          <w:tcPr>
            <w:tcW w:w="1200" w:type="dxa"/>
            <w:tcBorders>
              <w:top w:val="nil"/>
              <w:left w:val="nil"/>
              <w:bottom w:val="nil"/>
              <w:right w:val="nil"/>
            </w:tcBorders>
            <w:shd w:val="clear" w:color="auto" w:fill="auto"/>
            <w:noWrap/>
            <w:hideMark/>
          </w:tcPr>
          <w:p w14:paraId="4115067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5EA5F68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1FF0213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5A380CD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335121E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4A8E11D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474FB2D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578D738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w:t>
            </w:r>
          </w:p>
        </w:tc>
        <w:tc>
          <w:tcPr>
            <w:tcW w:w="920" w:type="dxa"/>
            <w:tcBorders>
              <w:top w:val="nil"/>
              <w:left w:val="nil"/>
              <w:bottom w:val="nil"/>
              <w:right w:val="nil"/>
            </w:tcBorders>
            <w:shd w:val="clear" w:color="auto" w:fill="auto"/>
            <w:noWrap/>
            <w:vAlign w:val="bottom"/>
            <w:hideMark/>
          </w:tcPr>
          <w:p w14:paraId="689587B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32.8</w:t>
            </w:r>
          </w:p>
        </w:tc>
        <w:tc>
          <w:tcPr>
            <w:tcW w:w="741" w:type="dxa"/>
            <w:tcBorders>
              <w:top w:val="nil"/>
              <w:left w:val="nil"/>
              <w:bottom w:val="nil"/>
              <w:right w:val="nil"/>
            </w:tcBorders>
            <w:shd w:val="clear" w:color="auto" w:fill="auto"/>
            <w:noWrap/>
            <w:vAlign w:val="bottom"/>
            <w:hideMark/>
          </w:tcPr>
          <w:p w14:paraId="4B85300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7.7</w:t>
            </w:r>
          </w:p>
        </w:tc>
        <w:tc>
          <w:tcPr>
            <w:tcW w:w="785" w:type="dxa"/>
            <w:tcBorders>
              <w:top w:val="nil"/>
              <w:left w:val="nil"/>
              <w:bottom w:val="nil"/>
              <w:right w:val="nil"/>
            </w:tcBorders>
            <w:shd w:val="clear" w:color="auto" w:fill="auto"/>
            <w:noWrap/>
            <w:vAlign w:val="bottom"/>
            <w:hideMark/>
          </w:tcPr>
          <w:p w14:paraId="4F8F881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24.4</w:t>
            </w:r>
          </w:p>
        </w:tc>
        <w:tc>
          <w:tcPr>
            <w:tcW w:w="732" w:type="dxa"/>
            <w:tcBorders>
              <w:top w:val="nil"/>
              <w:left w:val="nil"/>
              <w:bottom w:val="nil"/>
              <w:right w:val="nil"/>
            </w:tcBorders>
            <w:shd w:val="clear" w:color="auto" w:fill="auto"/>
            <w:noWrap/>
            <w:vAlign w:val="bottom"/>
            <w:hideMark/>
          </w:tcPr>
          <w:p w14:paraId="5065434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125.1</w:t>
            </w:r>
          </w:p>
        </w:tc>
        <w:tc>
          <w:tcPr>
            <w:tcW w:w="860" w:type="dxa"/>
            <w:tcBorders>
              <w:top w:val="nil"/>
              <w:left w:val="nil"/>
              <w:bottom w:val="nil"/>
              <w:right w:val="nil"/>
            </w:tcBorders>
            <w:shd w:val="clear" w:color="auto" w:fill="auto"/>
            <w:noWrap/>
            <w:vAlign w:val="bottom"/>
            <w:hideMark/>
          </w:tcPr>
          <w:p w14:paraId="57D3FCD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43.6</w:t>
            </w:r>
          </w:p>
        </w:tc>
        <w:tc>
          <w:tcPr>
            <w:tcW w:w="960" w:type="dxa"/>
            <w:tcBorders>
              <w:top w:val="nil"/>
              <w:left w:val="nil"/>
              <w:bottom w:val="nil"/>
              <w:right w:val="nil"/>
            </w:tcBorders>
            <w:shd w:val="clear" w:color="auto" w:fill="auto"/>
            <w:noWrap/>
            <w:vAlign w:val="bottom"/>
            <w:hideMark/>
          </w:tcPr>
          <w:p w14:paraId="7A96FD4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19.0</w:t>
            </w:r>
          </w:p>
        </w:tc>
        <w:tc>
          <w:tcPr>
            <w:tcW w:w="689" w:type="dxa"/>
            <w:tcBorders>
              <w:top w:val="nil"/>
              <w:left w:val="nil"/>
              <w:bottom w:val="nil"/>
              <w:right w:val="nil"/>
            </w:tcBorders>
            <w:shd w:val="clear" w:color="auto" w:fill="auto"/>
            <w:noWrap/>
            <w:vAlign w:val="bottom"/>
            <w:hideMark/>
          </w:tcPr>
          <w:p w14:paraId="0D8033D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58.0</w:t>
            </w:r>
          </w:p>
        </w:tc>
        <w:tc>
          <w:tcPr>
            <w:tcW w:w="1000" w:type="dxa"/>
            <w:tcBorders>
              <w:top w:val="nil"/>
              <w:left w:val="nil"/>
              <w:bottom w:val="nil"/>
              <w:right w:val="nil"/>
            </w:tcBorders>
            <w:shd w:val="clear" w:color="auto" w:fill="auto"/>
            <w:noWrap/>
            <w:vAlign w:val="bottom"/>
            <w:hideMark/>
          </w:tcPr>
          <w:p w14:paraId="0A52647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132.2</w:t>
            </w:r>
          </w:p>
        </w:tc>
      </w:tr>
      <w:tr w:rsidR="00F26016" w:rsidRPr="00F26016" w14:paraId="3C3416BB" w14:textId="77777777" w:rsidTr="00F26016">
        <w:trPr>
          <w:trHeight w:val="300"/>
        </w:trPr>
        <w:tc>
          <w:tcPr>
            <w:tcW w:w="1140" w:type="dxa"/>
            <w:tcBorders>
              <w:top w:val="nil"/>
              <w:left w:val="nil"/>
              <w:bottom w:val="nil"/>
              <w:right w:val="nil"/>
            </w:tcBorders>
            <w:shd w:val="clear" w:color="auto" w:fill="auto"/>
            <w:noWrap/>
            <w:hideMark/>
          </w:tcPr>
          <w:p w14:paraId="7769BBE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w:t>
            </w:r>
          </w:p>
        </w:tc>
        <w:tc>
          <w:tcPr>
            <w:tcW w:w="1200" w:type="dxa"/>
            <w:tcBorders>
              <w:top w:val="nil"/>
              <w:left w:val="nil"/>
              <w:bottom w:val="nil"/>
              <w:right w:val="nil"/>
            </w:tcBorders>
            <w:shd w:val="clear" w:color="auto" w:fill="auto"/>
            <w:noWrap/>
            <w:hideMark/>
          </w:tcPr>
          <w:p w14:paraId="2E5B2F0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7B28787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5AA21AE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17F03B8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7628C22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14ACFB4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4B31AE8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4C01976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73.0</w:t>
            </w:r>
          </w:p>
        </w:tc>
        <w:tc>
          <w:tcPr>
            <w:tcW w:w="920" w:type="dxa"/>
            <w:tcBorders>
              <w:top w:val="nil"/>
              <w:left w:val="nil"/>
              <w:bottom w:val="nil"/>
              <w:right w:val="nil"/>
            </w:tcBorders>
            <w:shd w:val="clear" w:color="auto" w:fill="auto"/>
            <w:noWrap/>
            <w:vAlign w:val="bottom"/>
            <w:hideMark/>
          </w:tcPr>
          <w:p w14:paraId="74196DB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100.4</w:t>
            </w:r>
          </w:p>
        </w:tc>
        <w:tc>
          <w:tcPr>
            <w:tcW w:w="741" w:type="dxa"/>
            <w:tcBorders>
              <w:top w:val="nil"/>
              <w:left w:val="nil"/>
              <w:bottom w:val="nil"/>
              <w:right w:val="nil"/>
            </w:tcBorders>
            <w:shd w:val="clear" w:color="auto" w:fill="auto"/>
            <w:noWrap/>
            <w:vAlign w:val="bottom"/>
            <w:hideMark/>
          </w:tcPr>
          <w:p w14:paraId="0E9384B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225.4</w:t>
            </w:r>
          </w:p>
        </w:tc>
        <w:tc>
          <w:tcPr>
            <w:tcW w:w="785" w:type="dxa"/>
            <w:tcBorders>
              <w:top w:val="nil"/>
              <w:left w:val="nil"/>
              <w:bottom w:val="nil"/>
              <w:right w:val="nil"/>
            </w:tcBorders>
            <w:shd w:val="clear" w:color="auto" w:fill="auto"/>
            <w:noWrap/>
            <w:vAlign w:val="bottom"/>
            <w:hideMark/>
          </w:tcPr>
          <w:p w14:paraId="4C56213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131.1</w:t>
            </w:r>
          </w:p>
        </w:tc>
        <w:tc>
          <w:tcPr>
            <w:tcW w:w="732" w:type="dxa"/>
            <w:tcBorders>
              <w:top w:val="nil"/>
              <w:left w:val="nil"/>
              <w:bottom w:val="nil"/>
              <w:right w:val="nil"/>
            </w:tcBorders>
            <w:shd w:val="clear" w:color="auto" w:fill="auto"/>
            <w:noWrap/>
            <w:vAlign w:val="bottom"/>
            <w:hideMark/>
          </w:tcPr>
          <w:p w14:paraId="1F4412B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133.2</w:t>
            </w:r>
          </w:p>
        </w:tc>
        <w:tc>
          <w:tcPr>
            <w:tcW w:w="860" w:type="dxa"/>
            <w:tcBorders>
              <w:top w:val="nil"/>
              <w:left w:val="nil"/>
              <w:bottom w:val="nil"/>
              <w:right w:val="nil"/>
            </w:tcBorders>
            <w:shd w:val="clear" w:color="auto" w:fill="auto"/>
            <w:noWrap/>
            <w:vAlign w:val="bottom"/>
            <w:hideMark/>
          </w:tcPr>
          <w:p w14:paraId="118DEB7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203.6</w:t>
            </w:r>
          </w:p>
        </w:tc>
        <w:tc>
          <w:tcPr>
            <w:tcW w:w="960" w:type="dxa"/>
            <w:tcBorders>
              <w:top w:val="nil"/>
              <w:left w:val="nil"/>
              <w:bottom w:val="nil"/>
              <w:right w:val="nil"/>
            </w:tcBorders>
            <w:shd w:val="clear" w:color="auto" w:fill="auto"/>
            <w:noWrap/>
            <w:vAlign w:val="bottom"/>
            <w:hideMark/>
          </w:tcPr>
          <w:p w14:paraId="0C8FF66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141.1</w:t>
            </w:r>
          </w:p>
        </w:tc>
        <w:tc>
          <w:tcPr>
            <w:tcW w:w="689" w:type="dxa"/>
            <w:tcBorders>
              <w:top w:val="nil"/>
              <w:left w:val="nil"/>
              <w:bottom w:val="nil"/>
              <w:right w:val="nil"/>
            </w:tcBorders>
            <w:shd w:val="clear" w:color="auto" w:fill="auto"/>
            <w:noWrap/>
            <w:vAlign w:val="bottom"/>
            <w:hideMark/>
          </w:tcPr>
          <w:p w14:paraId="09ED692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50.5</w:t>
            </w:r>
          </w:p>
        </w:tc>
        <w:tc>
          <w:tcPr>
            <w:tcW w:w="1000" w:type="dxa"/>
            <w:tcBorders>
              <w:top w:val="nil"/>
              <w:left w:val="nil"/>
              <w:bottom w:val="nil"/>
              <w:right w:val="nil"/>
            </w:tcBorders>
            <w:shd w:val="clear" w:color="auto" w:fill="auto"/>
            <w:noWrap/>
            <w:vAlign w:val="bottom"/>
            <w:hideMark/>
          </w:tcPr>
          <w:p w14:paraId="73E891F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113.6</w:t>
            </w:r>
          </w:p>
        </w:tc>
      </w:tr>
      <w:tr w:rsidR="00F26016" w:rsidRPr="00F26016" w14:paraId="2F3CEB8B" w14:textId="77777777" w:rsidTr="00F26016">
        <w:trPr>
          <w:trHeight w:val="300"/>
        </w:trPr>
        <w:tc>
          <w:tcPr>
            <w:tcW w:w="1140" w:type="dxa"/>
            <w:tcBorders>
              <w:top w:val="nil"/>
              <w:left w:val="nil"/>
              <w:bottom w:val="nil"/>
              <w:right w:val="nil"/>
            </w:tcBorders>
            <w:shd w:val="clear" w:color="auto" w:fill="auto"/>
            <w:noWrap/>
            <w:hideMark/>
          </w:tcPr>
          <w:p w14:paraId="3558DCB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w:t>
            </w:r>
          </w:p>
        </w:tc>
        <w:tc>
          <w:tcPr>
            <w:tcW w:w="1200" w:type="dxa"/>
            <w:tcBorders>
              <w:top w:val="nil"/>
              <w:left w:val="nil"/>
              <w:bottom w:val="nil"/>
              <w:right w:val="nil"/>
            </w:tcBorders>
            <w:shd w:val="clear" w:color="auto" w:fill="auto"/>
            <w:noWrap/>
            <w:hideMark/>
          </w:tcPr>
          <w:p w14:paraId="2D18886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213610D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3231DDA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3E10402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107B049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5A6D0E6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24CF03B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34CEBCC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60.4</w:t>
            </w:r>
          </w:p>
        </w:tc>
        <w:tc>
          <w:tcPr>
            <w:tcW w:w="920" w:type="dxa"/>
            <w:tcBorders>
              <w:top w:val="nil"/>
              <w:left w:val="nil"/>
              <w:bottom w:val="nil"/>
              <w:right w:val="nil"/>
            </w:tcBorders>
            <w:shd w:val="clear" w:color="auto" w:fill="auto"/>
            <w:noWrap/>
            <w:vAlign w:val="bottom"/>
            <w:hideMark/>
          </w:tcPr>
          <w:p w14:paraId="7A2CFFB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w:t>
            </w:r>
          </w:p>
        </w:tc>
        <w:tc>
          <w:tcPr>
            <w:tcW w:w="741" w:type="dxa"/>
            <w:tcBorders>
              <w:top w:val="nil"/>
              <w:left w:val="nil"/>
              <w:bottom w:val="nil"/>
              <w:right w:val="nil"/>
            </w:tcBorders>
            <w:shd w:val="clear" w:color="auto" w:fill="auto"/>
            <w:noWrap/>
            <w:vAlign w:val="bottom"/>
            <w:hideMark/>
          </w:tcPr>
          <w:p w14:paraId="2B5A54F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39.1</w:t>
            </w:r>
          </w:p>
        </w:tc>
        <w:tc>
          <w:tcPr>
            <w:tcW w:w="785" w:type="dxa"/>
            <w:tcBorders>
              <w:top w:val="nil"/>
              <w:left w:val="nil"/>
              <w:bottom w:val="nil"/>
              <w:right w:val="nil"/>
            </w:tcBorders>
            <w:shd w:val="clear" w:color="auto" w:fill="auto"/>
            <w:noWrap/>
            <w:vAlign w:val="bottom"/>
            <w:hideMark/>
          </w:tcPr>
          <w:p w14:paraId="437A409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39.2</w:t>
            </w:r>
          </w:p>
        </w:tc>
        <w:tc>
          <w:tcPr>
            <w:tcW w:w="732" w:type="dxa"/>
            <w:tcBorders>
              <w:top w:val="nil"/>
              <w:left w:val="nil"/>
              <w:bottom w:val="nil"/>
              <w:right w:val="nil"/>
            </w:tcBorders>
            <w:shd w:val="clear" w:color="auto" w:fill="auto"/>
            <w:noWrap/>
            <w:vAlign w:val="bottom"/>
            <w:hideMark/>
          </w:tcPr>
          <w:p w14:paraId="440D289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254.1</w:t>
            </w:r>
          </w:p>
        </w:tc>
        <w:tc>
          <w:tcPr>
            <w:tcW w:w="860" w:type="dxa"/>
            <w:tcBorders>
              <w:top w:val="nil"/>
              <w:left w:val="nil"/>
              <w:bottom w:val="nil"/>
              <w:right w:val="nil"/>
            </w:tcBorders>
            <w:shd w:val="clear" w:color="auto" w:fill="auto"/>
            <w:noWrap/>
            <w:vAlign w:val="bottom"/>
            <w:hideMark/>
          </w:tcPr>
          <w:p w14:paraId="47DBF29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25.8</w:t>
            </w:r>
          </w:p>
        </w:tc>
        <w:tc>
          <w:tcPr>
            <w:tcW w:w="960" w:type="dxa"/>
            <w:tcBorders>
              <w:top w:val="nil"/>
              <w:left w:val="nil"/>
              <w:bottom w:val="nil"/>
              <w:right w:val="nil"/>
            </w:tcBorders>
            <w:shd w:val="clear" w:color="auto" w:fill="auto"/>
            <w:noWrap/>
            <w:vAlign w:val="bottom"/>
            <w:hideMark/>
          </w:tcPr>
          <w:p w14:paraId="5BF75A3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59.4</w:t>
            </w:r>
          </w:p>
        </w:tc>
        <w:tc>
          <w:tcPr>
            <w:tcW w:w="689" w:type="dxa"/>
            <w:tcBorders>
              <w:top w:val="nil"/>
              <w:left w:val="nil"/>
              <w:bottom w:val="nil"/>
              <w:right w:val="nil"/>
            </w:tcBorders>
            <w:shd w:val="clear" w:color="auto" w:fill="auto"/>
            <w:noWrap/>
            <w:vAlign w:val="bottom"/>
            <w:hideMark/>
          </w:tcPr>
          <w:p w14:paraId="3B4D8A8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w:t>
            </w:r>
          </w:p>
        </w:tc>
        <w:tc>
          <w:tcPr>
            <w:tcW w:w="1000" w:type="dxa"/>
            <w:tcBorders>
              <w:top w:val="nil"/>
              <w:left w:val="nil"/>
              <w:bottom w:val="nil"/>
              <w:right w:val="nil"/>
            </w:tcBorders>
            <w:shd w:val="clear" w:color="auto" w:fill="auto"/>
            <w:noWrap/>
            <w:vAlign w:val="bottom"/>
            <w:hideMark/>
          </w:tcPr>
          <w:p w14:paraId="28C8825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205.8</w:t>
            </w:r>
          </w:p>
        </w:tc>
      </w:tr>
      <w:tr w:rsidR="00F26016" w:rsidRPr="00F26016" w14:paraId="5D70469E" w14:textId="77777777" w:rsidTr="00F26016">
        <w:trPr>
          <w:trHeight w:val="300"/>
        </w:trPr>
        <w:tc>
          <w:tcPr>
            <w:tcW w:w="1140" w:type="dxa"/>
            <w:tcBorders>
              <w:top w:val="nil"/>
              <w:left w:val="nil"/>
              <w:bottom w:val="nil"/>
              <w:right w:val="nil"/>
            </w:tcBorders>
            <w:shd w:val="clear" w:color="auto" w:fill="auto"/>
            <w:noWrap/>
            <w:hideMark/>
          </w:tcPr>
          <w:p w14:paraId="4F25063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w:t>
            </w:r>
          </w:p>
        </w:tc>
        <w:tc>
          <w:tcPr>
            <w:tcW w:w="1200" w:type="dxa"/>
            <w:tcBorders>
              <w:top w:val="nil"/>
              <w:left w:val="nil"/>
              <w:bottom w:val="nil"/>
              <w:right w:val="nil"/>
            </w:tcBorders>
            <w:shd w:val="clear" w:color="auto" w:fill="auto"/>
            <w:noWrap/>
            <w:hideMark/>
          </w:tcPr>
          <w:p w14:paraId="5A6C5A3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09CD37C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20E1EB0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1601DFD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60F5A18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4A41E6F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5D46A3C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7A0570B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9.8</w:t>
            </w:r>
          </w:p>
        </w:tc>
        <w:tc>
          <w:tcPr>
            <w:tcW w:w="920" w:type="dxa"/>
            <w:tcBorders>
              <w:top w:val="nil"/>
              <w:left w:val="nil"/>
              <w:bottom w:val="nil"/>
              <w:right w:val="nil"/>
            </w:tcBorders>
            <w:shd w:val="clear" w:color="auto" w:fill="auto"/>
            <w:noWrap/>
            <w:vAlign w:val="bottom"/>
            <w:hideMark/>
          </w:tcPr>
          <w:p w14:paraId="3DC2068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23.0</w:t>
            </w:r>
          </w:p>
        </w:tc>
        <w:tc>
          <w:tcPr>
            <w:tcW w:w="741" w:type="dxa"/>
            <w:tcBorders>
              <w:top w:val="nil"/>
              <w:left w:val="nil"/>
              <w:bottom w:val="nil"/>
              <w:right w:val="nil"/>
            </w:tcBorders>
            <w:shd w:val="clear" w:color="auto" w:fill="auto"/>
            <w:noWrap/>
            <w:vAlign w:val="bottom"/>
            <w:hideMark/>
          </w:tcPr>
          <w:p w14:paraId="57805D9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7.3</w:t>
            </w:r>
          </w:p>
        </w:tc>
        <w:tc>
          <w:tcPr>
            <w:tcW w:w="785" w:type="dxa"/>
            <w:tcBorders>
              <w:top w:val="nil"/>
              <w:left w:val="nil"/>
              <w:bottom w:val="nil"/>
              <w:right w:val="nil"/>
            </w:tcBorders>
            <w:shd w:val="clear" w:color="auto" w:fill="auto"/>
            <w:noWrap/>
            <w:vAlign w:val="bottom"/>
            <w:hideMark/>
          </w:tcPr>
          <w:p w14:paraId="7293B58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19.7</w:t>
            </w:r>
          </w:p>
        </w:tc>
        <w:tc>
          <w:tcPr>
            <w:tcW w:w="732" w:type="dxa"/>
            <w:tcBorders>
              <w:top w:val="nil"/>
              <w:left w:val="nil"/>
              <w:bottom w:val="nil"/>
              <w:right w:val="nil"/>
            </w:tcBorders>
            <w:shd w:val="clear" w:color="auto" w:fill="auto"/>
            <w:noWrap/>
            <w:vAlign w:val="bottom"/>
            <w:hideMark/>
          </w:tcPr>
          <w:p w14:paraId="27A730E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86.5</w:t>
            </w:r>
          </w:p>
        </w:tc>
        <w:tc>
          <w:tcPr>
            <w:tcW w:w="860" w:type="dxa"/>
            <w:tcBorders>
              <w:top w:val="nil"/>
              <w:left w:val="nil"/>
              <w:bottom w:val="nil"/>
              <w:right w:val="nil"/>
            </w:tcBorders>
            <w:shd w:val="clear" w:color="auto" w:fill="auto"/>
            <w:noWrap/>
            <w:vAlign w:val="bottom"/>
            <w:hideMark/>
          </w:tcPr>
          <w:p w14:paraId="540B6D9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50.6</w:t>
            </w:r>
          </w:p>
        </w:tc>
        <w:tc>
          <w:tcPr>
            <w:tcW w:w="960" w:type="dxa"/>
            <w:tcBorders>
              <w:top w:val="nil"/>
              <w:left w:val="nil"/>
              <w:bottom w:val="nil"/>
              <w:right w:val="nil"/>
            </w:tcBorders>
            <w:shd w:val="clear" w:color="auto" w:fill="auto"/>
            <w:noWrap/>
            <w:vAlign w:val="bottom"/>
            <w:hideMark/>
          </w:tcPr>
          <w:p w14:paraId="557961F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19.7</w:t>
            </w:r>
          </w:p>
        </w:tc>
        <w:tc>
          <w:tcPr>
            <w:tcW w:w="689" w:type="dxa"/>
            <w:tcBorders>
              <w:top w:val="nil"/>
              <w:left w:val="nil"/>
              <w:bottom w:val="nil"/>
              <w:right w:val="nil"/>
            </w:tcBorders>
            <w:shd w:val="clear" w:color="auto" w:fill="auto"/>
            <w:noWrap/>
            <w:vAlign w:val="bottom"/>
            <w:hideMark/>
          </w:tcPr>
          <w:p w14:paraId="2CAF846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32.3</w:t>
            </w:r>
          </w:p>
        </w:tc>
        <w:tc>
          <w:tcPr>
            <w:tcW w:w="1000" w:type="dxa"/>
            <w:tcBorders>
              <w:top w:val="nil"/>
              <w:left w:val="nil"/>
              <w:bottom w:val="nil"/>
              <w:right w:val="nil"/>
            </w:tcBorders>
            <w:shd w:val="clear" w:color="auto" w:fill="auto"/>
            <w:noWrap/>
            <w:vAlign w:val="bottom"/>
            <w:hideMark/>
          </w:tcPr>
          <w:p w14:paraId="6477A7E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149.1</w:t>
            </w:r>
          </w:p>
        </w:tc>
      </w:tr>
      <w:tr w:rsidR="00F26016" w:rsidRPr="00F26016" w14:paraId="0DA5DFDE" w14:textId="77777777" w:rsidTr="00F26016">
        <w:trPr>
          <w:trHeight w:val="300"/>
        </w:trPr>
        <w:tc>
          <w:tcPr>
            <w:tcW w:w="1140" w:type="dxa"/>
            <w:tcBorders>
              <w:top w:val="nil"/>
              <w:left w:val="nil"/>
              <w:bottom w:val="nil"/>
              <w:right w:val="nil"/>
            </w:tcBorders>
            <w:shd w:val="clear" w:color="auto" w:fill="auto"/>
            <w:noWrap/>
            <w:hideMark/>
          </w:tcPr>
          <w:p w14:paraId="3751FA1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w:t>
            </w:r>
          </w:p>
        </w:tc>
        <w:tc>
          <w:tcPr>
            <w:tcW w:w="1200" w:type="dxa"/>
            <w:tcBorders>
              <w:top w:val="nil"/>
              <w:left w:val="nil"/>
              <w:bottom w:val="nil"/>
              <w:right w:val="nil"/>
            </w:tcBorders>
            <w:shd w:val="clear" w:color="auto" w:fill="auto"/>
            <w:noWrap/>
            <w:hideMark/>
          </w:tcPr>
          <w:p w14:paraId="5EF4CE6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70A005A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46060AF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70DFBF8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52C4A74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5D51BF2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241E569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3AEDA80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34.1</w:t>
            </w:r>
          </w:p>
        </w:tc>
        <w:tc>
          <w:tcPr>
            <w:tcW w:w="920" w:type="dxa"/>
            <w:tcBorders>
              <w:top w:val="nil"/>
              <w:left w:val="nil"/>
              <w:bottom w:val="nil"/>
              <w:right w:val="nil"/>
            </w:tcBorders>
            <w:shd w:val="clear" w:color="auto" w:fill="auto"/>
            <w:noWrap/>
            <w:vAlign w:val="bottom"/>
            <w:hideMark/>
          </w:tcPr>
          <w:p w14:paraId="4A53794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126.8</w:t>
            </w:r>
          </w:p>
        </w:tc>
        <w:tc>
          <w:tcPr>
            <w:tcW w:w="741" w:type="dxa"/>
            <w:tcBorders>
              <w:top w:val="nil"/>
              <w:left w:val="nil"/>
              <w:bottom w:val="nil"/>
              <w:right w:val="nil"/>
            </w:tcBorders>
            <w:shd w:val="clear" w:color="auto" w:fill="auto"/>
            <w:noWrap/>
            <w:vAlign w:val="bottom"/>
            <w:hideMark/>
          </w:tcPr>
          <w:p w14:paraId="7F60216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184.2</w:t>
            </w:r>
          </w:p>
        </w:tc>
        <w:tc>
          <w:tcPr>
            <w:tcW w:w="785" w:type="dxa"/>
            <w:tcBorders>
              <w:top w:val="nil"/>
              <w:left w:val="nil"/>
              <w:bottom w:val="nil"/>
              <w:right w:val="nil"/>
            </w:tcBorders>
            <w:shd w:val="clear" w:color="auto" w:fill="auto"/>
            <w:noWrap/>
            <w:vAlign w:val="bottom"/>
            <w:hideMark/>
          </w:tcPr>
          <w:p w14:paraId="25EE8EB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131.8</w:t>
            </w:r>
          </w:p>
        </w:tc>
        <w:tc>
          <w:tcPr>
            <w:tcW w:w="732" w:type="dxa"/>
            <w:tcBorders>
              <w:top w:val="nil"/>
              <w:left w:val="nil"/>
              <w:bottom w:val="nil"/>
              <w:right w:val="nil"/>
            </w:tcBorders>
            <w:shd w:val="clear" w:color="auto" w:fill="auto"/>
            <w:noWrap/>
            <w:vAlign w:val="bottom"/>
            <w:hideMark/>
          </w:tcPr>
          <w:p w14:paraId="4BE5C6B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39.8</w:t>
            </w:r>
          </w:p>
        </w:tc>
        <w:tc>
          <w:tcPr>
            <w:tcW w:w="860" w:type="dxa"/>
            <w:tcBorders>
              <w:top w:val="nil"/>
              <w:left w:val="nil"/>
              <w:bottom w:val="nil"/>
              <w:right w:val="nil"/>
            </w:tcBorders>
            <w:shd w:val="clear" w:color="auto" w:fill="auto"/>
            <w:noWrap/>
            <w:vAlign w:val="bottom"/>
            <w:hideMark/>
          </w:tcPr>
          <w:p w14:paraId="49062CB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229.7</w:t>
            </w:r>
          </w:p>
        </w:tc>
        <w:tc>
          <w:tcPr>
            <w:tcW w:w="960" w:type="dxa"/>
            <w:tcBorders>
              <w:top w:val="nil"/>
              <w:left w:val="nil"/>
              <w:bottom w:val="nil"/>
              <w:right w:val="nil"/>
            </w:tcBorders>
            <w:shd w:val="clear" w:color="auto" w:fill="auto"/>
            <w:noWrap/>
            <w:vAlign w:val="bottom"/>
            <w:hideMark/>
          </w:tcPr>
          <w:p w14:paraId="0CEDF2C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133.8</w:t>
            </w:r>
          </w:p>
        </w:tc>
        <w:tc>
          <w:tcPr>
            <w:tcW w:w="689" w:type="dxa"/>
            <w:tcBorders>
              <w:top w:val="nil"/>
              <w:left w:val="nil"/>
              <w:bottom w:val="nil"/>
              <w:right w:val="nil"/>
            </w:tcBorders>
            <w:shd w:val="clear" w:color="auto" w:fill="auto"/>
            <w:noWrap/>
            <w:vAlign w:val="bottom"/>
            <w:hideMark/>
          </w:tcPr>
          <w:p w14:paraId="1F865EC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14.1</w:t>
            </w:r>
          </w:p>
        </w:tc>
        <w:tc>
          <w:tcPr>
            <w:tcW w:w="1000" w:type="dxa"/>
            <w:tcBorders>
              <w:top w:val="nil"/>
              <w:left w:val="nil"/>
              <w:bottom w:val="nil"/>
              <w:right w:val="nil"/>
            </w:tcBorders>
            <w:shd w:val="clear" w:color="auto" w:fill="auto"/>
            <w:noWrap/>
            <w:vAlign w:val="bottom"/>
            <w:hideMark/>
          </w:tcPr>
          <w:p w14:paraId="00EFE16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123.4</w:t>
            </w:r>
          </w:p>
        </w:tc>
      </w:tr>
      <w:tr w:rsidR="00F26016" w:rsidRPr="00F26016" w14:paraId="6674FB97" w14:textId="77777777" w:rsidTr="00F26016">
        <w:trPr>
          <w:trHeight w:val="300"/>
        </w:trPr>
        <w:tc>
          <w:tcPr>
            <w:tcW w:w="1140" w:type="dxa"/>
            <w:tcBorders>
              <w:top w:val="nil"/>
              <w:left w:val="nil"/>
              <w:bottom w:val="nil"/>
              <w:right w:val="nil"/>
            </w:tcBorders>
            <w:shd w:val="clear" w:color="auto" w:fill="auto"/>
            <w:noWrap/>
            <w:hideMark/>
          </w:tcPr>
          <w:p w14:paraId="2F89FFC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w:t>
            </w:r>
          </w:p>
        </w:tc>
        <w:tc>
          <w:tcPr>
            <w:tcW w:w="1200" w:type="dxa"/>
            <w:tcBorders>
              <w:top w:val="nil"/>
              <w:left w:val="nil"/>
              <w:bottom w:val="nil"/>
              <w:right w:val="nil"/>
            </w:tcBorders>
            <w:shd w:val="clear" w:color="auto" w:fill="auto"/>
            <w:noWrap/>
            <w:hideMark/>
          </w:tcPr>
          <w:p w14:paraId="5C260FC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3B383A5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77240E0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3D3BE3C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3D9D7DF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5DF73E0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7114958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3DB9FC5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197.2</w:t>
            </w:r>
          </w:p>
        </w:tc>
        <w:tc>
          <w:tcPr>
            <w:tcW w:w="920" w:type="dxa"/>
            <w:tcBorders>
              <w:top w:val="nil"/>
              <w:left w:val="nil"/>
              <w:bottom w:val="nil"/>
              <w:right w:val="nil"/>
            </w:tcBorders>
            <w:shd w:val="clear" w:color="auto" w:fill="auto"/>
            <w:noWrap/>
            <w:vAlign w:val="bottom"/>
            <w:hideMark/>
          </w:tcPr>
          <w:p w14:paraId="23137A3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35.5</w:t>
            </w:r>
          </w:p>
        </w:tc>
        <w:tc>
          <w:tcPr>
            <w:tcW w:w="741" w:type="dxa"/>
            <w:tcBorders>
              <w:top w:val="nil"/>
              <w:left w:val="nil"/>
              <w:bottom w:val="nil"/>
              <w:right w:val="nil"/>
            </w:tcBorders>
            <w:shd w:val="clear" w:color="auto" w:fill="auto"/>
            <w:noWrap/>
            <w:vAlign w:val="bottom"/>
            <w:hideMark/>
          </w:tcPr>
          <w:p w14:paraId="3D436DB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53.8</w:t>
            </w:r>
          </w:p>
        </w:tc>
        <w:tc>
          <w:tcPr>
            <w:tcW w:w="785" w:type="dxa"/>
            <w:tcBorders>
              <w:top w:val="nil"/>
              <w:left w:val="nil"/>
              <w:bottom w:val="nil"/>
              <w:right w:val="nil"/>
            </w:tcBorders>
            <w:shd w:val="clear" w:color="auto" w:fill="auto"/>
            <w:noWrap/>
            <w:vAlign w:val="bottom"/>
            <w:hideMark/>
          </w:tcPr>
          <w:p w14:paraId="5ED3C22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42.3</w:t>
            </w:r>
          </w:p>
        </w:tc>
        <w:tc>
          <w:tcPr>
            <w:tcW w:w="732" w:type="dxa"/>
            <w:tcBorders>
              <w:top w:val="nil"/>
              <w:left w:val="nil"/>
              <w:bottom w:val="nil"/>
              <w:right w:val="nil"/>
            </w:tcBorders>
            <w:shd w:val="clear" w:color="auto" w:fill="auto"/>
            <w:noWrap/>
            <w:vAlign w:val="bottom"/>
            <w:hideMark/>
          </w:tcPr>
          <w:p w14:paraId="7CCBCAA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1079.0</w:t>
            </w:r>
          </w:p>
        </w:tc>
        <w:tc>
          <w:tcPr>
            <w:tcW w:w="860" w:type="dxa"/>
            <w:tcBorders>
              <w:top w:val="nil"/>
              <w:left w:val="nil"/>
              <w:bottom w:val="nil"/>
              <w:right w:val="nil"/>
            </w:tcBorders>
            <w:shd w:val="clear" w:color="auto" w:fill="auto"/>
            <w:noWrap/>
            <w:vAlign w:val="bottom"/>
            <w:hideMark/>
          </w:tcPr>
          <w:p w14:paraId="312B226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52.4</w:t>
            </w:r>
          </w:p>
        </w:tc>
        <w:tc>
          <w:tcPr>
            <w:tcW w:w="960" w:type="dxa"/>
            <w:tcBorders>
              <w:top w:val="nil"/>
              <w:left w:val="nil"/>
              <w:bottom w:val="nil"/>
              <w:right w:val="nil"/>
            </w:tcBorders>
            <w:shd w:val="clear" w:color="auto" w:fill="auto"/>
            <w:noWrap/>
            <w:vAlign w:val="bottom"/>
            <w:hideMark/>
          </w:tcPr>
          <w:p w14:paraId="5ED3448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78.3</w:t>
            </w:r>
          </w:p>
        </w:tc>
        <w:tc>
          <w:tcPr>
            <w:tcW w:w="689" w:type="dxa"/>
            <w:tcBorders>
              <w:top w:val="nil"/>
              <w:left w:val="nil"/>
              <w:bottom w:val="nil"/>
              <w:right w:val="nil"/>
            </w:tcBorders>
            <w:shd w:val="clear" w:color="auto" w:fill="auto"/>
            <w:noWrap/>
            <w:vAlign w:val="bottom"/>
            <w:hideMark/>
          </w:tcPr>
          <w:p w14:paraId="69F9901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5.6</w:t>
            </w:r>
          </w:p>
        </w:tc>
        <w:tc>
          <w:tcPr>
            <w:tcW w:w="1000" w:type="dxa"/>
            <w:tcBorders>
              <w:top w:val="nil"/>
              <w:left w:val="nil"/>
              <w:bottom w:val="nil"/>
              <w:right w:val="nil"/>
            </w:tcBorders>
            <w:shd w:val="clear" w:color="auto" w:fill="auto"/>
            <w:noWrap/>
            <w:vAlign w:val="bottom"/>
            <w:hideMark/>
          </w:tcPr>
          <w:p w14:paraId="261A9FE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201.2</w:t>
            </w:r>
          </w:p>
        </w:tc>
      </w:tr>
      <w:tr w:rsidR="00F26016" w:rsidRPr="00F26016" w14:paraId="0565B290" w14:textId="77777777" w:rsidTr="00F26016">
        <w:trPr>
          <w:trHeight w:val="300"/>
        </w:trPr>
        <w:tc>
          <w:tcPr>
            <w:tcW w:w="1140" w:type="dxa"/>
            <w:tcBorders>
              <w:top w:val="nil"/>
              <w:left w:val="nil"/>
              <w:bottom w:val="nil"/>
              <w:right w:val="nil"/>
            </w:tcBorders>
            <w:shd w:val="clear" w:color="auto" w:fill="auto"/>
            <w:noWrap/>
            <w:hideMark/>
          </w:tcPr>
          <w:p w14:paraId="30E4C32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w:t>
            </w:r>
          </w:p>
        </w:tc>
        <w:tc>
          <w:tcPr>
            <w:tcW w:w="1200" w:type="dxa"/>
            <w:tcBorders>
              <w:top w:val="nil"/>
              <w:left w:val="nil"/>
              <w:bottom w:val="nil"/>
              <w:right w:val="nil"/>
            </w:tcBorders>
            <w:shd w:val="clear" w:color="auto" w:fill="auto"/>
            <w:noWrap/>
            <w:hideMark/>
          </w:tcPr>
          <w:p w14:paraId="5320375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15F8D67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0648210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1827807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3E78A2F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35116F2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78E1B0D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054AE0A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5.6</w:t>
            </w:r>
          </w:p>
        </w:tc>
        <w:tc>
          <w:tcPr>
            <w:tcW w:w="920" w:type="dxa"/>
            <w:tcBorders>
              <w:top w:val="nil"/>
              <w:left w:val="nil"/>
              <w:bottom w:val="nil"/>
              <w:right w:val="nil"/>
            </w:tcBorders>
            <w:shd w:val="clear" w:color="auto" w:fill="auto"/>
            <w:noWrap/>
            <w:vAlign w:val="bottom"/>
            <w:hideMark/>
          </w:tcPr>
          <w:p w14:paraId="2498724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28.8</w:t>
            </w:r>
          </w:p>
        </w:tc>
        <w:tc>
          <w:tcPr>
            <w:tcW w:w="741" w:type="dxa"/>
            <w:tcBorders>
              <w:top w:val="nil"/>
              <w:left w:val="nil"/>
              <w:bottom w:val="nil"/>
              <w:right w:val="nil"/>
            </w:tcBorders>
            <w:shd w:val="clear" w:color="auto" w:fill="auto"/>
            <w:noWrap/>
            <w:vAlign w:val="bottom"/>
            <w:hideMark/>
          </w:tcPr>
          <w:p w14:paraId="0765F0C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10.8</w:t>
            </w:r>
          </w:p>
        </w:tc>
        <w:tc>
          <w:tcPr>
            <w:tcW w:w="785" w:type="dxa"/>
            <w:tcBorders>
              <w:top w:val="nil"/>
              <w:left w:val="nil"/>
              <w:bottom w:val="nil"/>
              <w:right w:val="nil"/>
            </w:tcBorders>
            <w:shd w:val="clear" w:color="auto" w:fill="auto"/>
            <w:noWrap/>
            <w:vAlign w:val="bottom"/>
            <w:hideMark/>
          </w:tcPr>
          <w:p w14:paraId="6CD3D9D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33.1</w:t>
            </w:r>
          </w:p>
        </w:tc>
        <w:tc>
          <w:tcPr>
            <w:tcW w:w="732" w:type="dxa"/>
            <w:tcBorders>
              <w:top w:val="nil"/>
              <w:left w:val="nil"/>
              <w:bottom w:val="nil"/>
              <w:right w:val="nil"/>
            </w:tcBorders>
            <w:shd w:val="clear" w:color="auto" w:fill="auto"/>
            <w:noWrap/>
            <w:vAlign w:val="bottom"/>
            <w:hideMark/>
          </w:tcPr>
          <w:p w14:paraId="1658E02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75.2</w:t>
            </w:r>
          </w:p>
        </w:tc>
        <w:tc>
          <w:tcPr>
            <w:tcW w:w="860" w:type="dxa"/>
            <w:tcBorders>
              <w:top w:val="nil"/>
              <w:left w:val="nil"/>
              <w:bottom w:val="nil"/>
              <w:right w:val="nil"/>
            </w:tcBorders>
            <w:shd w:val="clear" w:color="auto" w:fill="auto"/>
            <w:noWrap/>
            <w:vAlign w:val="bottom"/>
            <w:hideMark/>
          </w:tcPr>
          <w:p w14:paraId="6A9B0F5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51.3</w:t>
            </w:r>
          </w:p>
        </w:tc>
        <w:tc>
          <w:tcPr>
            <w:tcW w:w="960" w:type="dxa"/>
            <w:tcBorders>
              <w:top w:val="nil"/>
              <w:left w:val="nil"/>
              <w:bottom w:val="nil"/>
              <w:right w:val="nil"/>
            </w:tcBorders>
            <w:shd w:val="clear" w:color="auto" w:fill="auto"/>
            <w:noWrap/>
            <w:vAlign w:val="bottom"/>
            <w:hideMark/>
          </w:tcPr>
          <w:p w14:paraId="59A8E6D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23.9</w:t>
            </w:r>
          </w:p>
        </w:tc>
        <w:tc>
          <w:tcPr>
            <w:tcW w:w="689" w:type="dxa"/>
            <w:tcBorders>
              <w:top w:val="nil"/>
              <w:left w:val="nil"/>
              <w:bottom w:val="nil"/>
              <w:right w:val="nil"/>
            </w:tcBorders>
            <w:shd w:val="clear" w:color="auto" w:fill="auto"/>
            <w:noWrap/>
            <w:vAlign w:val="bottom"/>
            <w:hideMark/>
          </w:tcPr>
          <w:p w14:paraId="3FAC4BE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66.8</w:t>
            </w:r>
          </w:p>
        </w:tc>
        <w:tc>
          <w:tcPr>
            <w:tcW w:w="1000" w:type="dxa"/>
            <w:tcBorders>
              <w:top w:val="nil"/>
              <w:left w:val="nil"/>
              <w:bottom w:val="nil"/>
              <w:right w:val="nil"/>
            </w:tcBorders>
            <w:shd w:val="clear" w:color="auto" w:fill="auto"/>
            <w:noWrap/>
            <w:vAlign w:val="bottom"/>
            <w:hideMark/>
          </w:tcPr>
          <w:p w14:paraId="4FE7A9B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130.3</w:t>
            </w:r>
          </w:p>
        </w:tc>
      </w:tr>
      <w:tr w:rsidR="00F26016" w:rsidRPr="00F26016" w14:paraId="4A677AD8" w14:textId="77777777" w:rsidTr="00F26016">
        <w:trPr>
          <w:trHeight w:val="300"/>
        </w:trPr>
        <w:tc>
          <w:tcPr>
            <w:tcW w:w="1140" w:type="dxa"/>
            <w:tcBorders>
              <w:top w:val="nil"/>
              <w:left w:val="nil"/>
              <w:bottom w:val="nil"/>
              <w:right w:val="nil"/>
            </w:tcBorders>
            <w:shd w:val="clear" w:color="auto" w:fill="auto"/>
            <w:noWrap/>
            <w:hideMark/>
          </w:tcPr>
          <w:p w14:paraId="297FE7D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w:t>
            </w:r>
          </w:p>
        </w:tc>
        <w:tc>
          <w:tcPr>
            <w:tcW w:w="1200" w:type="dxa"/>
            <w:tcBorders>
              <w:top w:val="nil"/>
              <w:left w:val="nil"/>
              <w:bottom w:val="nil"/>
              <w:right w:val="nil"/>
            </w:tcBorders>
            <w:shd w:val="clear" w:color="auto" w:fill="auto"/>
            <w:noWrap/>
            <w:hideMark/>
          </w:tcPr>
          <w:p w14:paraId="2AED554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6DEC830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256B199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18C1169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428D425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40365A5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0033D26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5F1BB8B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78.1</w:t>
            </w:r>
          </w:p>
        </w:tc>
        <w:tc>
          <w:tcPr>
            <w:tcW w:w="920" w:type="dxa"/>
            <w:tcBorders>
              <w:top w:val="nil"/>
              <w:left w:val="nil"/>
              <w:bottom w:val="nil"/>
              <w:right w:val="nil"/>
            </w:tcBorders>
            <w:shd w:val="clear" w:color="auto" w:fill="auto"/>
            <w:noWrap/>
            <w:vAlign w:val="bottom"/>
            <w:hideMark/>
          </w:tcPr>
          <w:p w14:paraId="458A5BF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84.3</w:t>
            </w:r>
          </w:p>
        </w:tc>
        <w:tc>
          <w:tcPr>
            <w:tcW w:w="741" w:type="dxa"/>
            <w:tcBorders>
              <w:top w:val="nil"/>
              <w:left w:val="nil"/>
              <w:bottom w:val="nil"/>
              <w:right w:val="nil"/>
            </w:tcBorders>
            <w:shd w:val="clear" w:color="auto" w:fill="auto"/>
            <w:noWrap/>
            <w:vAlign w:val="bottom"/>
            <w:hideMark/>
          </w:tcPr>
          <w:p w14:paraId="67F7C56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272.8</w:t>
            </w:r>
          </w:p>
        </w:tc>
        <w:tc>
          <w:tcPr>
            <w:tcW w:w="785" w:type="dxa"/>
            <w:tcBorders>
              <w:top w:val="nil"/>
              <w:left w:val="nil"/>
              <w:bottom w:val="nil"/>
              <w:right w:val="nil"/>
            </w:tcBorders>
            <w:shd w:val="clear" w:color="auto" w:fill="auto"/>
            <w:noWrap/>
            <w:vAlign w:val="bottom"/>
            <w:hideMark/>
          </w:tcPr>
          <w:p w14:paraId="275D387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167.8</w:t>
            </w:r>
          </w:p>
        </w:tc>
        <w:tc>
          <w:tcPr>
            <w:tcW w:w="732" w:type="dxa"/>
            <w:tcBorders>
              <w:top w:val="nil"/>
              <w:left w:val="nil"/>
              <w:bottom w:val="nil"/>
              <w:right w:val="nil"/>
            </w:tcBorders>
            <w:shd w:val="clear" w:color="auto" w:fill="auto"/>
            <w:noWrap/>
            <w:vAlign w:val="bottom"/>
            <w:hideMark/>
          </w:tcPr>
          <w:p w14:paraId="3E4B251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135.7</w:t>
            </w:r>
          </w:p>
        </w:tc>
        <w:tc>
          <w:tcPr>
            <w:tcW w:w="860" w:type="dxa"/>
            <w:tcBorders>
              <w:top w:val="nil"/>
              <w:left w:val="nil"/>
              <w:bottom w:val="nil"/>
              <w:right w:val="nil"/>
            </w:tcBorders>
            <w:shd w:val="clear" w:color="auto" w:fill="auto"/>
            <w:noWrap/>
            <w:vAlign w:val="bottom"/>
            <w:hideMark/>
          </w:tcPr>
          <w:p w14:paraId="63DA954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198.8</w:t>
            </w:r>
          </w:p>
        </w:tc>
        <w:tc>
          <w:tcPr>
            <w:tcW w:w="960" w:type="dxa"/>
            <w:tcBorders>
              <w:top w:val="nil"/>
              <w:left w:val="nil"/>
              <w:bottom w:val="nil"/>
              <w:right w:val="nil"/>
            </w:tcBorders>
            <w:shd w:val="clear" w:color="auto" w:fill="auto"/>
            <w:noWrap/>
            <w:vAlign w:val="bottom"/>
            <w:hideMark/>
          </w:tcPr>
          <w:p w14:paraId="539CDDC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182.1</w:t>
            </w:r>
          </w:p>
        </w:tc>
        <w:tc>
          <w:tcPr>
            <w:tcW w:w="689" w:type="dxa"/>
            <w:tcBorders>
              <w:top w:val="nil"/>
              <w:left w:val="nil"/>
              <w:bottom w:val="nil"/>
              <w:right w:val="nil"/>
            </w:tcBorders>
            <w:shd w:val="clear" w:color="auto" w:fill="auto"/>
            <w:noWrap/>
            <w:vAlign w:val="bottom"/>
            <w:hideMark/>
          </w:tcPr>
          <w:p w14:paraId="43F48B6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491.5</w:t>
            </w:r>
          </w:p>
        </w:tc>
        <w:tc>
          <w:tcPr>
            <w:tcW w:w="1000" w:type="dxa"/>
            <w:tcBorders>
              <w:top w:val="nil"/>
              <w:left w:val="nil"/>
              <w:bottom w:val="nil"/>
              <w:right w:val="nil"/>
            </w:tcBorders>
            <w:shd w:val="clear" w:color="auto" w:fill="auto"/>
            <w:noWrap/>
            <w:vAlign w:val="bottom"/>
            <w:hideMark/>
          </w:tcPr>
          <w:p w14:paraId="1795018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118.8</w:t>
            </w:r>
          </w:p>
        </w:tc>
      </w:tr>
      <w:tr w:rsidR="00F26016" w:rsidRPr="00F26016" w14:paraId="17F3ADD7" w14:textId="77777777" w:rsidTr="00F26016">
        <w:trPr>
          <w:trHeight w:val="300"/>
        </w:trPr>
        <w:tc>
          <w:tcPr>
            <w:tcW w:w="1140" w:type="dxa"/>
            <w:tcBorders>
              <w:top w:val="nil"/>
              <w:left w:val="nil"/>
              <w:bottom w:val="nil"/>
              <w:right w:val="nil"/>
            </w:tcBorders>
            <w:shd w:val="clear" w:color="auto" w:fill="auto"/>
            <w:noWrap/>
            <w:hideMark/>
          </w:tcPr>
          <w:p w14:paraId="7EE0872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w:t>
            </w:r>
          </w:p>
        </w:tc>
        <w:tc>
          <w:tcPr>
            <w:tcW w:w="1200" w:type="dxa"/>
            <w:tcBorders>
              <w:top w:val="nil"/>
              <w:left w:val="nil"/>
              <w:bottom w:val="nil"/>
              <w:right w:val="nil"/>
            </w:tcBorders>
            <w:shd w:val="clear" w:color="auto" w:fill="auto"/>
            <w:noWrap/>
            <w:hideMark/>
          </w:tcPr>
          <w:p w14:paraId="06AE0FC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5EA1187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65357EA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5047ACB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68B90A1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1DC4337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0AF7881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w:t>
            </w:r>
          </w:p>
        </w:tc>
        <w:tc>
          <w:tcPr>
            <w:tcW w:w="660" w:type="dxa"/>
            <w:tcBorders>
              <w:top w:val="nil"/>
              <w:left w:val="nil"/>
              <w:bottom w:val="nil"/>
              <w:right w:val="nil"/>
            </w:tcBorders>
            <w:shd w:val="clear" w:color="auto" w:fill="auto"/>
            <w:noWrap/>
            <w:vAlign w:val="bottom"/>
            <w:hideMark/>
          </w:tcPr>
          <w:p w14:paraId="552DB49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24.9</w:t>
            </w:r>
          </w:p>
        </w:tc>
        <w:tc>
          <w:tcPr>
            <w:tcW w:w="920" w:type="dxa"/>
            <w:tcBorders>
              <w:top w:val="nil"/>
              <w:left w:val="nil"/>
              <w:bottom w:val="nil"/>
              <w:right w:val="nil"/>
            </w:tcBorders>
            <w:shd w:val="clear" w:color="auto" w:fill="auto"/>
            <w:noWrap/>
            <w:vAlign w:val="bottom"/>
            <w:hideMark/>
          </w:tcPr>
          <w:p w14:paraId="5576394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9.7</w:t>
            </w:r>
          </w:p>
        </w:tc>
        <w:tc>
          <w:tcPr>
            <w:tcW w:w="741" w:type="dxa"/>
            <w:tcBorders>
              <w:top w:val="nil"/>
              <w:left w:val="nil"/>
              <w:bottom w:val="nil"/>
              <w:right w:val="nil"/>
            </w:tcBorders>
            <w:shd w:val="clear" w:color="auto" w:fill="auto"/>
            <w:noWrap/>
            <w:vAlign w:val="bottom"/>
            <w:hideMark/>
          </w:tcPr>
          <w:p w14:paraId="338067F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23.6</w:t>
            </w:r>
          </w:p>
        </w:tc>
        <w:tc>
          <w:tcPr>
            <w:tcW w:w="785" w:type="dxa"/>
            <w:tcBorders>
              <w:top w:val="nil"/>
              <w:left w:val="nil"/>
              <w:bottom w:val="nil"/>
              <w:right w:val="nil"/>
            </w:tcBorders>
            <w:shd w:val="clear" w:color="auto" w:fill="auto"/>
            <w:noWrap/>
            <w:vAlign w:val="bottom"/>
            <w:hideMark/>
          </w:tcPr>
          <w:p w14:paraId="6021E67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18.4</w:t>
            </w:r>
          </w:p>
        </w:tc>
        <w:tc>
          <w:tcPr>
            <w:tcW w:w="732" w:type="dxa"/>
            <w:tcBorders>
              <w:top w:val="nil"/>
              <w:left w:val="nil"/>
              <w:bottom w:val="nil"/>
              <w:right w:val="nil"/>
            </w:tcBorders>
            <w:shd w:val="clear" w:color="auto" w:fill="auto"/>
            <w:noWrap/>
            <w:vAlign w:val="bottom"/>
            <w:hideMark/>
          </w:tcPr>
          <w:p w14:paraId="0F926A3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146.2</w:t>
            </w:r>
          </w:p>
        </w:tc>
        <w:tc>
          <w:tcPr>
            <w:tcW w:w="860" w:type="dxa"/>
            <w:tcBorders>
              <w:top w:val="nil"/>
              <w:left w:val="nil"/>
              <w:bottom w:val="nil"/>
              <w:right w:val="nil"/>
            </w:tcBorders>
            <w:shd w:val="clear" w:color="auto" w:fill="auto"/>
            <w:noWrap/>
            <w:vAlign w:val="bottom"/>
            <w:hideMark/>
          </w:tcPr>
          <w:p w14:paraId="7F01D92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960" w:type="dxa"/>
            <w:tcBorders>
              <w:top w:val="nil"/>
              <w:left w:val="nil"/>
              <w:bottom w:val="nil"/>
              <w:right w:val="nil"/>
            </w:tcBorders>
            <w:shd w:val="clear" w:color="auto" w:fill="auto"/>
            <w:noWrap/>
            <w:vAlign w:val="bottom"/>
            <w:hideMark/>
          </w:tcPr>
          <w:p w14:paraId="04F3D1A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88.8</w:t>
            </w:r>
          </w:p>
        </w:tc>
        <w:tc>
          <w:tcPr>
            <w:tcW w:w="689" w:type="dxa"/>
            <w:tcBorders>
              <w:top w:val="nil"/>
              <w:left w:val="nil"/>
              <w:bottom w:val="nil"/>
              <w:right w:val="nil"/>
            </w:tcBorders>
            <w:shd w:val="clear" w:color="auto" w:fill="auto"/>
            <w:noWrap/>
            <w:vAlign w:val="bottom"/>
            <w:hideMark/>
          </w:tcPr>
          <w:p w14:paraId="18BFE27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26.1</w:t>
            </w:r>
          </w:p>
        </w:tc>
        <w:tc>
          <w:tcPr>
            <w:tcW w:w="1000" w:type="dxa"/>
            <w:tcBorders>
              <w:top w:val="nil"/>
              <w:left w:val="nil"/>
              <w:bottom w:val="nil"/>
              <w:right w:val="nil"/>
            </w:tcBorders>
            <w:shd w:val="clear" w:color="auto" w:fill="auto"/>
            <w:noWrap/>
            <w:vAlign w:val="bottom"/>
            <w:hideMark/>
          </w:tcPr>
          <w:p w14:paraId="145EE7E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203.5</w:t>
            </w:r>
          </w:p>
        </w:tc>
      </w:tr>
      <w:tr w:rsidR="00F26016" w:rsidRPr="00F26016" w14:paraId="09FD5606" w14:textId="77777777" w:rsidTr="00F26016">
        <w:trPr>
          <w:trHeight w:val="300"/>
        </w:trPr>
        <w:tc>
          <w:tcPr>
            <w:tcW w:w="1140" w:type="dxa"/>
            <w:tcBorders>
              <w:top w:val="nil"/>
              <w:left w:val="nil"/>
              <w:bottom w:val="nil"/>
              <w:right w:val="nil"/>
            </w:tcBorders>
            <w:shd w:val="clear" w:color="auto" w:fill="auto"/>
            <w:noWrap/>
            <w:hideMark/>
          </w:tcPr>
          <w:p w14:paraId="7A60BC9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w:t>
            </w:r>
          </w:p>
        </w:tc>
        <w:tc>
          <w:tcPr>
            <w:tcW w:w="1200" w:type="dxa"/>
            <w:tcBorders>
              <w:top w:val="nil"/>
              <w:left w:val="nil"/>
              <w:bottom w:val="nil"/>
              <w:right w:val="nil"/>
            </w:tcBorders>
            <w:shd w:val="clear" w:color="auto" w:fill="auto"/>
            <w:noWrap/>
            <w:hideMark/>
          </w:tcPr>
          <w:p w14:paraId="6C2EC7A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59ADA4A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7591D4C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769C049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5A6A223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34AEE1A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3413CFC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w:t>
            </w:r>
          </w:p>
        </w:tc>
        <w:tc>
          <w:tcPr>
            <w:tcW w:w="660" w:type="dxa"/>
            <w:tcBorders>
              <w:top w:val="nil"/>
              <w:left w:val="nil"/>
              <w:bottom w:val="nil"/>
              <w:right w:val="nil"/>
            </w:tcBorders>
            <w:shd w:val="clear" w:color="auto" w:fill="auto"/>
            <w:noWrap/>
            <w:vAlign w:val="bottom"/>
            <w:hideMark/>
          </w:tcPr>
          <w:p w14:paraId="77171F1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920" w:type="dxa"/>
            <w:tcBorders>
              <w:top w:val="nil"/>
              <w:left w:val="nil"/>
              <w:bottom w:val="nil"/>
              <w:right w:val="nil"/>
            </w:tcBorders>
            <w:shd w:val="clear" w:color="auto" w:fill="auto"/>
            <w:noWrap/>
            <w:vAlign w:val="bottom"/>
            <w:hideMark/>
          </w:tcPr>
          <w:p w14:paraId="4D11BE9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27.9</w:t>
            </w:r>
          </w:p>
        </w:tc>
        <w:tc>
          <w:tcPr>
            <w:tcW w:w="741" w:type="dxa"/>
            <w:tcBorders>
              <w:top w:val="nil"/>
              <w:left w:val="nil"/>
              <w:bottom w:val="nil"/>
              <w:right w:val="nil"/>
            </w:tcBorders>
            <w:shd w:val="clear" w:color="auto" w:fill="auto"/>
            <w:noWrap/>
            <w:vAlign w:val="bottom"/>
            <w:hideMark/>
          </w:tcPr>
          <w:p w14:paraId="3CC9173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5.5</w:t>
            </w:r>
          </w:p>
        </w:tc>
        <w:tc>
          <w:tcPr>
            <w:tcW w:w="785" w:type="dxa"/>
            <w:tcBorders>
              <w:top w:val="nil"/>
              <w:left w:val="nil"/>
              <w:bottom w:val="nil"/>
              <w:right w:val="nil"/>
            </w:tcBorders>
            <w:shd w:val="clear" w:color="auto" w:fill="auto"/>
            <w:noWrap/>
            <w:vAlign w:val="bottom"/>
            <w:hideMark/>
          </w:tcPr>
          <w:p w14:paraId="098BB46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11.6</w:t>
            </w:r>
          </w:p>
        </w:tc>
        <w:tc>
          <w:tcPr>
            <w:tcW w:w="732" w:type="dxa"/>
            <w:tcBorders>
              <w:top w:val="nil"/>
              <w:left w:val="nil"/>
              <w:bottom w:val="nil"/>
              <w:right w:val="nil"/>
            </w:tcBorders>
            <w:shd w:val="clear" w:color="auto" w:fill="auto"/>
            <w:noWrap/>
            <w:vAlign w:val="bottom"/>
            <w:hideMark/>
          </w:tcPr>
          <w:p w14:paraId="4F959C9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104.1</w:t>
            </w:r>
          </w:p>
        </w:tc>
        <w:tc>
          <w:tcPr>
            <w:tcW w:w="860" w:type="dxa"/>
            <w:tcBorders>
              <w:top w:val="nil"/>
              <w:left w:val="nil"/>
              <w:bottom w:val="nil"/>
              <w:right w:val="nil"/>
            </w:tcBorders>
            <w:shd w:val="clear" w:color="auto" w:fill="auto"/>
            <w:noWrap/>
            <w:vAlign w:val="bottom"/>
            <w:hideMark/>
          </w:tcPr>
          <w:p w14:paraId="39A4B19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18.5</w:t>
            </w:r>
          </w:p>
        </w:tc>
        <w:tc>
          <w:tcPr>
            <w:tcW w:w="960" w:type="dxa"/>
            <w:tcBorders>
              <w:top w:val="nil"/>
              <w:left w:val="nil"/>
              <w:bottom w:val="nil"/>
              <w:right w:val="nil"/>
            </w:tcBorders>
            <w:shd w:val="clear" w:color="auto" w:fill="auto"/>
            <w:noWrap/>
            <w:vAlign w:val="bottom"/>
            <w:hideMark/>
          </w:tcPr>
          <w:p w14:paraId="7E3D767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54.3</w:t>
            </w:r>
          </w:p>
        </w:tc>
        <w:tc>
          <w:tcPr>
            <w:tcW w:w="689" w:type="dxa"/>
            <w:tcBorders>
              <w:top w:val="nil"/>
              <w:left w:val="nil"/>
              <w:bottom w:val="nil"/>
              <w:right w:val="nil"/>
            </w:tcBorders>
            <w:shd w:val="clear" w:color="auto" w:fill="auto"/>
            <w:noWrap/>
            <w:vAlign w:val="bottom"/>
            <w:hideMark/>
          </w:tcPr>
          <w:p w14:paraId="16F6D58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57.7</w:t>
            </w:r>
          </w:p>
        </w:tc>
        <w:tc>
          <w:tcPr>
            <w:tcW w:w="1000" w:type="dxa"/>
            <w:tcBorders>
              <w:top w:val="nil"/>
              <w:left w:val="nil"/>
              <w:bottom w:val="nil"/>
              <w:right w:val="nil"/>
            </w:tcBorders>
            <w:shd w:val="clear" w:color="auto" w:fill="auto"/>
            <w:noWrap/>
            <w:vAlign w:val="bottom"/>
            <w:hideMark/>
          </w:tcPr>
          <w:p w14:paraId="166A604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147.5</w:t>
            </w:r>
          </w:p>
        </w:tc>
      </w:tr>
      <w:tr w:rsidR="00F26016" w:rsidRPr="00F26016" w14:paraId="60C05FCA" w14:textId="77777777" w:rsidTr="00F26016">
        <w:trPr>
          <w:trHeight w:val="300"/>
        </w:trPr>
        <w:tc>
          <w:tcPr>
            <w:tcW w:w="1140" w:type="dxa"/>
            <w:tcBorders>
              <w:top w:val="nil"/>
              <w:left w:val="nil"/>
              <w:bottom w:val="nil"/>
              <w:right w:val="nil"/>
            </w:tcBorders>
            <w:shd w:val="clear" w:color="auto" w:fill="auto"/>
            <w:noWrap/>
            <w:hideMark/>
          </w:tcPr>
          <w:p w14:paraId="56D9D4C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w:t>
            </w:r>
          </w:p>
        </w:tc>
        <w:tc>
          <w:tcPr>
            <w:tcW w:w="1200" w:type="dxa"/>
            <w:tcBorders>
              <w:top w:val="nil"/>
              <w:left w:val="nil"/>
              <w:bottom w:val="nil"/>
              <w:right w:val="nil"/>
            </w:tcBorders>
            <w:shd w:val="clear" w:color="auto" w:fill="auto"/>
            <w:noWrap/>
            <w:hideMark/>
          </w:tcPr>
          <w:p w14:paraId="7DC5DE9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2AFA2FF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5B0DCA4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3B14DEB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2AB076F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4ED161F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51A8E27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w:t>
            </w:r>
          </w:p>
        </w:tc>
        <w:tc>
          <w:tcPr>
            <w:tcW w:w="660" w:type="dxa"/>
            <w:tcBorders>
              <w:top w:val="nil"/>
              <w:left w:val="nil"/>
              <w:bottom w:val="nil"/>
              <w:right w:val="nil"/>
            </w:tcBorders>
            <w:shd w:val="clear" w:color="auto" w:fill="auto"/>
            <w:noWrap/>
            <w:vAlign w:val="bottom"/>
            <w:hideMark/>
          </w:tcPr>
          <w:p w14:paraId="57054BA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37.8</w:t>
            </w:r>
          </w:p>
        </w:tc>
        <w:tc>
          <w:tcPr>
            <w:tcW w:w="920" w:type="dxa"/>
            <w:tcBorders>
              <w:top w:val="nil"/>
              <w:left w:val="nil"/>
              <w:bottom w:val="nil"/>
              <w:right w:val="nil"/>
            </w:tcBorders>
            <w:shd w:val="clear" w:color="auto" w:fill="auto"/>
            <w:noWrap/>
            <w:vAlign w:val="bottom"/>
            <w:hideMark/>
          </w:tcPr>
          <w:p w14:paraId="0134C7C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66.5</w:t>
            </w:r>
          </w:p>
        </w:tc>
        <w:tc>
          <w:tcPr>
            <w:tcW w:w="741" w:type="dxa"/>
            <w:tcBorders>
              <w:top w:val="nil"/>
              <w:left w:val="nil"/>
              <w:bottom w:val="nil"/>
              <w:right w:val="nil"/>
            </w:tcBorders>
            <w:shd w:val="clear" w:color="auto" w:fill="auto"/>
            <w:noWrap/>
            <w:vAlign w:val="bottom"/>
            <w:hideMark/>
          </w:tcPr>
          <w:p w14:paraId="60E1AD6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153.0</w:t>
            </w:r>
          </w:p>
        </w:tc>
        <w:tc>
          <w:tcPr>
            <w:tcW w:w="785" w:type="dxa"/>
            <w:tcBorders>
              <w:top w:val="nil"/>
              <w:left w:val="nil"/>
              <w:bottom w:val="nil"/>
              <w:right w:val="nil"/>
            </w:tcBorders>
            <w:shd w:val="clear" w:color="auto" w:fill="auto"/>
            <w:noWrap/>
            <w:vAlign w:val="bottom"/>
            <w:hideMark/>
          </w:tcPr>
          <w:p w14:paraId="4CC74A6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140.3</w:t>
            </w:r>
          </w:p>
        </w:tc>
        <w:tc>
          <w:tcPr>
            <w:tcW w:w="732" w:type="dxa"/>
            <w:tcBorders>
              <w:top w:val="nil"/>
              <w:left w:val="nil"/>
              <w:bottom w:val="nil"/>
              <w:right w:val="nil"/>
            </w:tcBorders>
            <w:shd w:val="clear" w:color="auto" w:fill="auto"/>
            <w:noWrap/>
            <w:vAlign w:val="bottom"/>
            <w:hideMark/>
          </w:tcPr>
          <w:p w14:paraId="147D1C05" w14:textId="77777777" w:rsidR="00F26016" w:rsidRPr="00F26016" w:rsidRDefault="00F26016" w:rsidP="00F26016">
            <w:pPr>
              <w:rPr>
                <w:rFonts w:ascii="Calibri" w:eastAsia="Times New Roman" w:hAnsi="Calibri" w:cs="Times New Roman"/>
                <w:color w:val="000000"/>
                <w:sz w:val="16"/>
                <w:szCs w:val="16"/>
              </w:rPr>
            </w:pPr>
          </w:p>
        </w:tc>
        <w:tc>
          <w:tcPr>
            <w:tcW w:w="860" w:type="dxa"/>
            <w:tcBorders>
              <w:top w:val="nil"/>
              <w:left w:val="nil"/>
              <w:bottom w:val="nil"/>
              <w:right w:val="nil"/>
            </w:tcBorders>
            <w:shd w:val="clear" w:color="auto" w:fill="auto"/>
            <w:noWrap/>
            <w:vAlign w:val="bottom"/>
            <w:hideMark/>
          </w:tcPr>
          <w:p w14:paraId="1EA8A8C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51.9</w:t>
            </w:r>
          </w:p>
        </w:tc>
        <w:tc>
          <w:tcPr>
            <w:tcW w:w="960" w:type="dxa"/>
            <w:tcBorders>
              <w:top w:val="nil"/>
              <w:left w:val="nil"/>
              <w:bottom w:val="nil"/>
              <w:right w:val="nil"/>
            </w:tcBorders>
            <w:shd w:val="clear" w:color="auto" w:fill="auto"/>
            <w:noWrap/>
            <w:vAlign w:val="bottom"/>
            <w:hideMark/>
          </w:tcPr>
          <w:p w14:paraId="4760E17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226.4</w:t>
            </w:r>
          </w:p>
        </w:tc>
        <w:tc>
          <w:tcPr>
            <w:tcW w:w="689" w:type="dxa"/>
            <w:tcBorders>
              <w:top w:val="nil"/>
              <w:left w:val="nil"/>
              <w:bottom w:val="nil"/>
              <w:right w:val="nil"/>
            </w:tcBorders>
            <w:shd w:val="clear" w:color="auto" w:fill="auto"/>
            <w:noWrap/>
            <w:vAlign w:val="bottom"/>
            <w:hideMark/>
          </w:tcPr>
          <w:p w14:paraId="6AB785D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330.1</w:t>
            </w:r>
          </w:p>
        </w:tc>
        <w:tc>
          <w:tcPr>
            <w:tcW w:w="1000" w:type="dxa"/>
            <w:tcBorders>
              <w:top w:val="nil"/>
              <w:left w:val="nil"/>
              <w:bottom w:val="nil"/>
              <w:right w:val="nil"/>
            </w:tcBorders>
            <w:shd w:val="clear" w:color="auto" w:fill="auto"/>
            <w:noWrap/>
            <w:vAlign w:val="bottom"/>
            <w:hideMark/>
          </w:tcPr>
          <w:p w14:paraId="1D97B9D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124.4</w:t>
            </w:r>
          </w:p>
        </w:tc>
      </w:tr>
      <w:tr w:rsidR="00F26016" w:rsidRPr="00F26016" w14:paraId="78692DB0" w14:textId="77777777" w:rsidTr="00F26016">
        <w:trPr>
          <w:trHeight w:val="300"/>
        </w:trPr>
        <w:tc>
          <w:tcPr>
            <w:tcW w:w="1140" w:type="dxa"/>
            <w:tcBorders>
              <w:top w:val="nil"/>
              <w:left w:val="nil"/>
              <w:bottom w:val="nil"/>
              <w:right w:val="nil"/>
            </w:tcBorders>
            <w:shd w:val="clear" w:color="auto" w:fill="auto"/>
            <w:noWrap/>
            <w:hideMark/>
          </w:tcPr>
          <w:p w14:paraId="4F27B28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w:t>
            </w:r>
          </w:p>
        </w:tc>
        <w:tc>
          <w:tcPr>
            <w:tcW w:w="1200" w:type="dxa"/>
            <w:tcBorders>
              <w:top w:val="nil"/>
              <w:left w:val="nil"/>
              <w:bottom w:val="nil"/>
              <w:right w:val="nil"/>
            </w:tcBorders>
            <w:shd w:val="clear" w:color="auto" w:fill="auto"/>
            <w:noWrap/>
            <w:hideMark/>
          </w:tcPr>
          <w:p w14:paraId="40F9DA3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4C342CC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08A73AE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128C14A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2301F96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1DC8D17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3C19545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w:t>
            </w:r>
          </w:p>
        </w:tc>
        <w:tc>
          <w:tcPr>
            <w:tcW w:w="660" w:type="dxa"/>
            <w:tcBorders>
              <w:top w:val="nil"/>
              <w:left w:val="nil"/>
              <w:bottom w:val="nil"/>
              <w:right w:val="nil"/>
            </w:tcBorders>
            <w:shd w:val="clear" w:color="auto" w:fill="auto"/>
            <w:noWrap/>
            <w:vAlign w:val="bottom"/>
            <w:hideMark/>
          </w:tcPr>
          <w:p w14:paraId="32C4923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32.6</w:t>
            </w:r>
          </w:p>
        </w:tc>
        <w:tc>
          <w:tcPr>
            <w:tcW w:w="920" w:type="dxa"/>
            <w:tcBorders>
              <w:top w:val="nil"/>
              <w:left w:val="nil"/>
              <w:bottom w:val="nil"/>
              <w:right w:val="nil"/>
            </w:tcBorders>
            <w:shd w:val="clear" w:color="auto" w:fill="auto"/>
            <w:noWrap/>
            <w:vAlign w:val="bottom"/>
            <w:hideMark/>
          </w:tcPr>
          <w:p w14:paraId="3A29822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7.4</w:t>
            </w:r>
          </w:p>
        </w:tc>
        <w:tc>
          <w:tcPr>
            <w:tcW w:w="741" w:type="dxa"/>
            <w:tcBorders>
              <w:top w:val="nil"/>
              <w:left w:val="nil"/>
              <w:bottom w:val="nil"/>
              <w:right w:val="nil"/>
            </w:tcBorders>
            <w:shd w:val="clear" w:color="auto" w:fill="auto"/>
            <w:noWrap/>
            <w:vAlign w:val="bottom"/>
            <w:hideMark/>
          </w:tcPr>
          <w:p w14:paraId="6572BA8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41.5</w:t>
            </w:r>
          </w:p>
        </w:tc>
        <w:tc>
          <w:tcPr>
            <w:tcW w:w="785" w:type="dxa"/>
            <w:tcBorders>
              <w:top w:val="nil"/>
              <w:left w:val="nil"/>
              <w:bottom w:val="nil"/>
              <w:right w:val="nil"/>
            </w:tcBorders>
            <w:shd w:val="clear" w:color="auto" w:fill="auto"/>
            <w:noWrap/>
            <w:vAlign w:val="bottom"/>
            <w:hideMark/>
          </w:tcPr>
          <w:p w14:paraId="7D6BAFC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21.4</w:t>
            </w:r>
          </w:p>
        </w:tc>
        <w:tc>
          <w:tcPr>
            <w:tcW w:w="732" w:type="dxa"/>
            <w:tcBorders>
              <w:top w:val="nil"/>
              <w:left w:val="nil"/>
              <w:bottom w:val="nil"/>
              <w:right w:val="nil"/>
            </w:tcBorders>
            <w:shd w:val="clear" w:color="auto" w:fill="auto"/>
            <w:noWrap/>
            <w:vAlign w:val="bottom"/>
            <w:hideMark/>
          </w:tcPr>
          <w:p w14:paraId="2742549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160.3</w:t>
            </w:r>
          </w:p>
        </w:tc>
        <w:tc>
          <w:tcPr>
            <w:tcW w:w="860" w:type="dxa"/>
            <w:tcBorders>
              <w:top w:val="nil"/>
              <w:left w:val="nil"/>
              <w:bottom w:val="nil"/>
              <w:right w:val="nil"/>
            </w:tcBorders>
            <w:shd w:val="clear" w:color="auto" w:fill="auto"/>
            <w:noWrap/>
            <w:vAlign w:val="bottom"/>
            <w:hideMark/>
          </w:tcPr>
          <w:p w14:paraId="36B4A1E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12.6</w:t>
            </w:r>
          </w:p>
        </w:tc>
        <w:tc>
          <w:tcPr>
            <w:tcW w:w="960" w:type="dxa"/>
            <w:tcBorders>
              <w:top w:val="nil"/>
              <w:left w:val="nil"/>
              <w:bottom w:val="nil"/>
              <w:right w:val="nil"/>
            </w:tcBorders>
            <w:shd w:val="clear" w:color="auto" w:fill="auto"/>
            <w:noWrap/>
            <w:vAlign w:val="bottom"/>
            <w:hideMark/>
          </w:tcPr>
          <w:p w14:paraId="4AB36AA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87.8</w:t>
            </w:r>
          </w:p>
        </w:tc>
        <w:tc>
          <w:tcPr>
            <w:tcW w:w="689" w:type="dxa"/>
            <w:tcBorders>
              <w:top w:val="nil"/>
              <w:left w:val="nil"/>
              <w:bottom w:val="nil"/>
              <w:right w:val="nil"/>
            </w:tcBorders>
            <w:shd w:val="clear" w:color="auto" w:fill="auto"/>
            <w:noWrap/>
            <w:vAlign w:val="bottom"/>
            <w:hideMark/>
          </w:tcPr>
          <w:p w14:paraId="600FD67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58.5</w:t>
            </w:r>
          </w:p>
        </w:tc>
        <w:tc>
          <w:tcPr>
            <w:tcW w:w="1000" w:type="dxa"/>
            <w:tcBorders>
              <w:top w:val="nil"/>
              <w:left w:val="nil"/>
              <w:bottom w:val="nil"/>
              <w:right w:val="nil"/>
            </w:tcBorders>
            <w:shd w:val="clear" w:color="auto" w:fill="auto"/>
            <w:noWrap/>
            <w:vAlign w:val="bottom"/>
            <w:hideMark/>
          </w:tcPr>
          <w:p w14:paraId="5AA49EB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207.3</w:t>
            </w:r>
          </w:p>
        </w:tc>
      </w:tr>
      <w:tr w:rsidR="00F26016" w:rsidRPr="00F26016" w14:paraId="0DAED399" w14:textId="77777777" w:rsidTr="00F26016">
        <w:trPr>
          <w:trHeight w:val="300"/>
        </w:trPr>
        <w:tc>
          <w:tcPr>
            <w:tcW w:w="1140" w:type="dxa"/>
            <w:tcBorders>
              <w:top w:val="nil"/>
              <w:left w:val="nil"/>
              <w:bottom w:val="nil"/>
              <w:right w:val="nil"/>
            </w:tcBorders>
            <w:shd w:val="clear" w:color="auto" w:fill="auto"/>
            <w:noWrap/>
            <w:hideMark/>
          </w:tcPr>
          <w:p w14:paraId="760AB20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w:t>
            </w:r>
          </w:p>
        </w:tc>
        <w:tc>
          <w:tcPr>
            <w:tcW w:w="1200" w:type="dxa"/>
            <w:tcBorders>
              <w:top w:val="nil"/>
              <w:left w:val="nil"/>
              <w:bottom w:val="nil"/>
              <w:right w:val="nil"/>
            </w:tcBorders>
            <w:shd w:val="clear" w:color="auto" w:fill="auto"/>
            <w:noWrap/>
            <w:hideMark/>
          </w:tcPr>
          <w:p w14:paraId="135C580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58AA329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146415E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5EA96EE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2511476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22EDE57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1B88909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w:t>
            </w:r>
          </w:p>
        </w:tc>
        <w:tc>
          <w:tcPr>
            <w:tcW w:w="660" w:type="dxa"/>
            <w:tcBorders>
              <w:top w:val="nil"/>
              <w:left w:val="nil"/>
              <w:bottom w:val="nil"/>
              <w:right w:val="nil"/>
            </w:tcBorders>
            <w:shd w:val="clear" w:color="auto" w:fill="auto"/>
            <w:noWrap/>
            <w:vAlign w:val="bottom"/>
            <w:hideMark/>
          </w:tcPr>
          <w:p w14:paraId="611F0D6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9.0</w:t>
            </w:r>
          </w:p>
        </w:tc>
        <w:tc>
          <w:tcPr>
            <w:tcW w:w="920" w:type="dxa"/>
            <w:tcBorders>
              <w:top w:val="nil"/>
              <w:left w:val="nil"/>
              <w:bottom w:val="nil"/>
              <w:right w:val="nil"/>
            </w:tcBorders>
            <w:shd w:val="clear" w:color="auto" w:fill="auto"/>
            <w:noWrap/>
            <w:vAlign w:val="bottom"/>
            <w:hideMark/>
          </w:tcPr>
          <w:p w14:paraId="7F52E70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27.3</w:t>
            </w:r>
          </w:p>
        </w:tc>
        <w:tc>
          <w:tcPr>
            <w:tcW w:w="741" w:type="dxa"/>
            <w:tcBorders>
              <w:top w:val="nil"/>
              <w:left w:val="nil"/>
              <w:bottom w:val="nil"/>
              <w:right w:val="nil"/>
            </w:tcBorders>
            <w:shd w:val="clear" w:color="auto" w:fill="auto"/>
            <w:noWrap/>
            <w:vAlign w:val="bottom"/>
            <w:hideMark/>
          </w:tcPr>
          <w:p w14:paraId="2A7544D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785" w:type="dxa"/>
            <w:tcBorders>
              <w:top w:val="nil"/>
              <w:left w:val="nil"/>
              <w:bottom w:val="nil"/>
              <w:right w:val="nil"/>
            </w:tcBorders>
            <w:shd w:val="clear" w:color="auto" w:fill="auto"/>
            <w:noWrap/>
            <w:vAlign w:val="bottom"/>
            <w:hideMark/>
          </w:tcPr>
          <w:p w14:paraId="6FDDE0F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15.5</w:t>
            </w:r>
          </w:p>
        </w:tc>
        <w:tc>
          <w:tcPr>
            <w:tcW w:w="732" w:type="dxa"/>
            <w:tcBorders>
              <w:top w:val="nil"/>
              <w:left w:val="nil"/>
              <w:bottom w:val="nil"/>
              <w:right w:val="nil"/>
            </w:tcBorders>
            <w:shd w:val="clear" w:color="auto" w:fill="auto"/>
            <w:noWrap/>
            <w:vAlign w:val="bottom"/>
            <w:hideMark/>
          </w:tcPr>
          <w:p w14:paraId="2E0C31C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88.2</w:t>
            </w:r>
          </w:p>
        </w:tc>
        <w:tc>
          <w:tcPr>
            <w:tcW w:w="860" w:type="dxa"/>
            <w:tcBorders>
              <w:top w:val="nil"/>
              <w:left w:val="nil"/>
              <w:bottom w:val="nil"/>
              <w:right w:val="nil"/>
            </w:tcBorders>
            <w:shd w:val="clear" w:color="auto" w:fill="auto"/>
            <w:noWrap/>
            <w:vAlign w:val="bottom"/>
            <w:hideMark/>
          </w:tcPr>
          <w:p w14:paraId="24DF902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26.1</w:t>
            </w:r>
          </w:p>
        </w:tc>
        <w:tc>
          <w:tcPr>
            <w:tcW w:w="960" w:type="dxa"/>
            <w:tcBorders>
              <w:top w:val="nil"/>
              <w:left w:val="nil"/>
              <w:bottom w:val="nil"/>
              <w:right w:val="nil"/>
            </w:tcBorders>
            <w:shd w:val="clear" w:color="auto" w:fill="auto"/>
            <w:noWrap/>
            <w:vAlign w:val="bottom"/>
            <w:hideMark/>
          </w:tcPr>
          <w:p w14:paraId="2FAA7D6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40.9</w:t>
            </w:r>
          </w:p>
        </w:tc>
        <w:tc>
          <w:tcPr>
            <w:tcW w:w="689" w:type="dxa"/>
            <w:tcBorders>
              <w:top w:val="nil"/>
              <w:left w:val="nil"/>
              <w:bottom w:val="nil"/>
              <w:right w:val="nil"/>
            </w:tcBorders>
            <w:shd w:val="clear" w:color="auto" w:fill="auto"/>
            <w:noWrap/>
            <w:vAlign w:val="bottom"/>
            <w:hideMark/>
          </w:tcPr>
          <w:p w14:paraId="3A9A236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114.9</w:t>
            </w:r>
          </w:p>
        </w:tc>
        <w:tc>
          <w:tcPr>
            <w:tcW w:w="1000" w:type="dxa"/>
            <w:tcBorders>
              <w:top w:val="nil"/>
              <w:left w:val="nil"/>
              <w:bottom w:val="nil"/>
              <w:right w:val="nil"/>
            </w:tcBorders>
            <w:shd w:val="clear" w:color="auto" w:fill="auto"/>
            <w:noWrap/>
            <w:vAlign w:val="bottom"/>
            <w:hideMark/>
          </w:tcPr>
          <w:p w14:paraId="464CDC5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119.1</w:t>
            </w:r>
          </w:p>
        </w:tc>
      </w:tr>
      <w:tr w:rsidR="00F26016" w:rsidRPr="00F26016" w14:paraId="7207E43C" w14:textId="77777777" w:rsidTr="00F26016">
        <w:trPr>
          <w:trHeight w:val="300"/>
        </w:trPr>
        <w:tc>
          <w:tcPr>
            <w:tcW w:w="1140" w:type="dxa"/>
            <w:tcBorders>
              <w:top w:val="nil"/>
              <w:left w:val="nil"/>
              <w:bottom w:val="nil"/>
              <w:right w:val="nil"/>
            </w:tcBorders>
            <w:shd w:val="clear" w:color="auto" w:fill="auto"/>
            <w:noWrap/>
            <w:hideMark/>
          </w:tcPr>
          <w:p w14:paraId="06F8591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w:t>
            </w:r>
          </w:p>
        </w:tc>
        <w:tc>
          <w:tcPr>
            <w:tcW w:w="1200" w:type="dxa"/>
            <w:tcBorders>
              <w:top w:val="nil"/>
              <w:left w:val="nil"/>
              <w:bottom w:val="nil"/>
              <w:right w:val="nil"/>
            </w:tcBorders>
            <w:shd w:val="clear" w:color="auto" w:fill="auto"/>
            <w:noWrap/>
            <w:hideMark/>
          </w:tcPr>
          <w:p w14:paraId="007DBBC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729918D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765A79E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0804305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23BE8EA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6074A1B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756C067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w:t>
            </w:r>
          </w:p>
        </w:tc>
        <w:tc>
          <w:tcPr>
            <w:tcW w:w="660" w:type="dxa"/>
            <w:tcBorders>
              <w:top w:val="nil"/>
              <w:left w:val="nil"/>
              <w:bottom w:val="nil"/>
              <w:right w:val="nil"/>
            </w:tcBorders>
            <w:shd w:val="clear" w:color="auto" w:fill="auto"/>
            <w:noWrap/>
            <w:vAlign w:val="bottom"/>
            <w:hideMark/>
          </w:tcPr>
          <w:p w14:paraId="4C42385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35.7</w:t>
            </w:r>
          </w:p>
        </w:tc>
        <w:tc>
          <w:tcPr>
            <w:tcW w:w="920" w:type="dxa"/>
            <w:tcBorders>
              <w:top w:val="nil"/>
              <w:left w:val="nil"/>
              <w:bottom w:val="nil"/>
              <w:right w:val="nil"/>
            </w:tcBorders>
            <w:shd w:val="clear" w:color="auto" w:fill="auto"/>
            <w:noWrap/>
            <w:vAlign w:val="bottom"/>
            <w:hideMark/>
          </w:tcPr>
          <w:p w14:paraId="237915F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110.5</w:t>
            </w:r>
          </w:p>
        </w:tc>
        <w:tc>
          <w:tcPr>
            <w:tcW w:w="741" w:type="dxa"/>
            <w:tcBorders>
              <w:top w:val="nil"/>
              <w:left w:val="nil"/>
              <w:bottom w:val="nil"/>
              <w:right w:val="nil"/>
            </w:tcBorders>
            <w:shd w:val="clear" w:color="auto" w:fill="auto"/>
            <w:noWrap/>
            <w:vAlign w:val="bottom"/>
            <w:hideMark/>
          </w:tcPr>
          <w:p w14:paraId="774B5CF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162.0</w:t>
            </w:r>
          </w:p>
        </w:tc>
        <w:tc>
          <w:tcPr>
            <w:tcW w:w="785" w:type="dxa"/>
            <w:tcBorders>
              <w:top w:val="nil"/>
              <w:left w:val="nil"/>
              <w:bottom w:val="nil"/>
              <w:right w:val="nil"/>
            </w:tcBorders>
            <w:shd w:val="clear" w:color="auto" w:fill="auto"/>
            <w:noWrap/>
            <w:vAlign w:val="bottom"/>
            <w:hideMark/>
          </w:tcPr>
          <w:p w14:paraId="213A8C8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125.8</w:t>
            </w:r>
          </w:p>
        </w:tc>
        <w:tc>
          <w:tcPr>
            <w:tcW w:w="732" w:type="dxa"/>
            <w:tcBorders>
              <w:top w:val="nil"/>
              <w:left w:val="nil"/>
              <w:bottom w:val="nil"/>
              <w:right w:val="nil"/>
            </w:tcBorders>
            <w:shd w:val="clear" w:color="auto" w:fill="auto"/>
            <w:noWrap/>
            <w:vAlign w:val="bottom"/>
            <w:hideMark/>
          </w:tcPr>
          <w:p w14:paraId="5E2F042B" w14:textId="77777777" w:rsidR="00F26016" w:rsidRPr="00F26016" w:rsidRDefault="00F26016" w:rsidP="00F26016">
            <w:pPr>
              <w:rPr>
                <w:rFonts w:ascii="Calibri" w:eastAsia="Times New Roman" w:hAnsi="Calibri" w:cs="Times New Roman"/>
                <w:color w:val="000000"/>
                <w:sz w:val="16"/>
                <w:szCs w:val="16"/>
              </w:rPr>
            </w:pPr>
          </w:p>
        </w:tc>
        <w:tc>
          <w:tcPr>
            <w:tcW w:w="860" w:type="dxa"/>
            <w:tcBorders>
              <w:top w:val="nil"/>
              <w:left w:val="nil"/>
              <w:bottom w:val="nil"/>
              <w:right w:val="nil"/>
            </w:tcBorders>
            <w:shd w:val="clear" w:color="auto" w:fill="auto"/>
            <w:noWrap/>
            <w:vAlign w:val="bottom"/>
            <w:hideMark/>
          </w:tcPr>
          <w:p w14:paraId="4CBFC4A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108.7</w:t>
            </w:r>
          </w:p>
        </w:tc>
        <w:tc>
          <w:tcPr>
            <w:tcW w:w="960" w:type="dxa"/>
            <w:tcBorders>
              <w:top w:val="nil"/>
              <w:left w:val="nil"/>
              <w:bottom w:val="nil"/>
              <w:right w:val="nil"/>
            </w:tcBorders>
            <w:shd w:val="clear" w:color="auto" w:fill="auto"/>
            <w:noWrap/>
            <w:vAlign w:val="bottom"/>
            <w:hideMark/>
          </w:tcPr>
          <w:p w14:paraId="73E73A9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167.7</w:t>
            </w:r>
          </w:p>
        </w:tc>
        <w:tc>
          <w:tcPr>
            <w:tcW w:w="689" w:type="dxa"/>
            <w:tcBorders>
              <w:top w:val="nil"/>
              <w:left w:val="nil"/>
              <w:bottom w:val="nil"/>
              <w:right w:val="nil"/>
            </w:tcBorders>
            <w:shd w:val="clear" w:color="auto" w:fill="auto"/>
            <w:noWrap/>
            <w:vAlign w:val="bottom"/>
            <w:hideMark/>
          </w:tcPr>
          <w:p w14:paraId="08C088F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108.3</w:t>
            </w:r>
          </w:p>
        </w:tc>
        <w:tc>
          <w:tcPr>
            <w:tcW w:w="1000" w:type="dxa"/>
            <w:tcBorders>
              <w:top w:val="nil"/>
              <w:left w:val="nil"/>
              <w:bottom w:val="nil"/>
              <w:right w:val="nil"/>
            </w:tcBorders>
            <w:shd w:val="clear" w:color="auto" w:fill="auto"/>
            <w:noWrap/>
            <w:vAlign w:val="bottom"/>
            <w:hideMark/>
          </w:tcPr>
          <w:p w14:paraId="5D53C70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119.6</w:t>
            </w:r>
          </w:p>
        </w:tc>
      </w:tr>
      <w:tr w:rsidR="00F26016" w:rsidRPr="00F26016" w14:paraId="4F40CF1B" w14:textId="77777777" w:rsidTr="00F26016">
        <w:trPr>
          <w:trHeight w:val="300"/>
        </w:trPr>
        <w:tc>
          <w:tcPr>
            <w:tcW w:w="1140" w:type="dxa"/>
            <w:tcBorders>
              <w:top w:val="nil"/>
              <w:left w:val="nil"/>
              <w:bottom w:val="nil"/>
              <w:right w:val="nil"/>
            </w:tcBorders>
            <w:shd w:val="clear" w:color="auto" w:fill="auto"/>
            <w:noWrap/>
            <w:hideMark/>
          </w:tcPr>
          <w:p w14:paraId="33CBB99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w:t>
            </w:r>
          </w:p>
        </w:tc>
        <w:tc>
          <w:tcPr>
            <w:tcW w:w="1200" w:type="dxa"/>
            <w:tcBorders>
              <w:top w:val="nil"/>
              <w:left w:val="nil"/>
              <w:bottom w:val="nil"/>
              <w:right w:val="nil"/>
            </w:tcBorders>
            <w:shd w:val="clear" w:color="auto" w:fill="auto"/>
            <w:noWrap/>
            <w:hideMark/>
          </w:tcPr>
          <w:p w14:paraId="299B05E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3B3E766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66509D6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3DB2CE9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0FAD02E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7B541AC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6494F2A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412CE15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177.9</w:t>
            </w:r>
          </w:p>
        </w:tc>
        <w:tc>
          <w:tcPr>
            <w:tcW w:w="920" w:type="dxa"/>
            <w:tcBorders>
              <w:top w:val="nil"/>
              <w:left w:val="nil"/>
              <w:bottom w:val="nil"/>
              <w:right w:val="nil"/>
            </w:tcBorders>
            <w:shd w:val="clear" w:color="auto" w:fill="auto"/>
            <w:noWrap/>
            <w:vAlign w:val="bottom"/>
            <w:hideMark/>
          </w:tcPr>
          <w:p w14:paraId="71CD415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26.8</w:t>
            </w:r>
          </w:p>
        </w:tc>
        <w:tc>
          <w:tcPr>
            <w:tcW w:w="741" w:type="dxa"/>
            <w:tcBorders>
              <w:top w:val="nil"/>
              <w:left w:val="nil"/>
              <w:bottom w:val="nil"/>
              <w:right w:val="nil"/>
            </w:tcBorders>
            <w:shd w:val="clear" w:color="auto" w:fill="auto"/>
            <w:noWrap/>
            <w:vAlign w:val="bottom"/>
            <w:hideMark/>
          </w:tcPr>
          <w:p w14:paraId="6A514B3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57.1</w:t>
            </w:r>
          </w:p>
        </w:tc>
        <w:tc>
          <w:tcPr>
            <w:tcW w:w="785" w:type="dxa"/>
            <w:tcBorders>
              <w:top w:val="nil"/>
              <w:left w:val="nil"/>
              <w:bottom w:val="nil"/>
              <w:right w:val="nil"/>
            </w:tcBorders>
            <w:shd w:val="clear" w:color="auto" w:fill="auto"/>
            <w:noWrap/>
            <w:vAlign w:val="bottom"/>
            <w:hideMark/>
          </w:tcPr>
          <w:p w14:paraId="4BBEC93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52.4</w:t>
            </w:r>
          </w:p>
        </w:tc>
        <w:tc>
          <w:tcPr>
            <w:tcW w:w="732" w:type="dxa"/>
            <w:tcBorders>
              <w:top w:val="nil"/>
              <w:left w:val="nil"/>
              <w:bottom w:val="nil"/>
              <w:right w:val="nil"/>
            </w:tcBorders>
            <w:shd w:val="clear" w:color="auto" w:fill="auto"/>
            <w:noWrap/>
            <w:vAlign w:val="bottom"/>
            <w:hideMark/>
          </w:tcPr>
          <w:p w14:paraId="7139BC6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1012.1</w:t>
            </w:r>
          </w:p>
        </w:tc>
        <w:tc>
          <w:tcPr>
            <w:tcW w:w="860" w:type="dxa"/>
            <w:tcBorders>
              <w:top w:val="nil"/>
              <w:left w:val="nil"/>
              <w:bottom w:val="nil"/>
              <w:right w:val="nil"/>
            </w:tcBorders>
            <w:shd w:val="clear" w:color="auto" w:fill="auto"/>
            <w:noWrap/>
            <w:vAlign w:val="bottom"/>
            <w:hideMark/>
          </w:tcPr>
          <w:p w14:paraId="4EFCFC6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28.2</w:t>
            </w:r>
          </w:p>
        </w:tc>
        <w:tc>
          <w:tcPr>
            <w:tcW w:w="960" w:type="dxa"/>
            <w:tcBorders>
              <w:top w:val="nil"/>
              <w:left w:val="nil"/>
              <w:bottom w:val="nil"/>
              <w:right w:val="nil"/>
            </w:tcBorders>
            <w:shd w:val="clear" w:color="auto" w:fill="auto"/>
            <w:noWrap/>
            <w:vAlign w:val="bottom"/>
            <w:hideMark/>
          </w:tcPr>
          <w:p w14:paraId="5A6BDE8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62.6</w:t>
            </w:r>
          </w:p>
        </w:tc>
        <w:tc>
          <w:tcPr>
            <w:tcW w:w="689" w:type="dxa"/>
            <w:tcBorders>
              <w:top w:val="nil"/>
              <w:left w:val="nil"/>
              <w:bottom w:val="nil"/>
              <w:right w:val="nil"/>
            </w:tcBorders>
            <w:shd w:val="clear" w:color="auto" w:fill="auto"/>
            <w:noWrap/>
            <w:vAlign w:val="bottom"/>
            <w:hideMark/>
          </w:tcPr>
          <w:p w14:paraId="7745869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11.7</w:t>
            </w:r>
          </w:p>
        </w:tc>
        <w:tc>
          <w:tcPr>
            <w:tcW w:w="1000" w:type="dxa"/>
            <w:tcBorders>
              <w:top w:val="nil"/>
              <w:left w:val="nil"/>
              <w:bottom w:val="nil"/>
              <w:right w:val="nil"/>
            </w:tcBorders>
            <w:shd w:val="clear" w:color="auto" w:fill="auto"/>
            <w:noWrap/>
            <w:vAlign w:val="bottom"/>
            <w:hideMark/>
          </w:tcPr>
          <w:p w14:paraId="414A022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204.1</w:t>
            </w:r>
          </w:p>
        </w:tc>
      </w:tr>
      <w:tr w:rsidR="00F26016" w:rsidRPr="00F26016" w14:paraId="4A633CCD" w14:textId="77777777" w:rsidTr="00F26016">
        <w:trPr>
          <w:trHeight w:val="300"/>
        </w:trPr>
        <w:tc>
          <w:tcPr>
            <w:tcW w:w="1140" w:type="dxa"/>
            <w:tcBorders>
              <w:top w:val="nil"/>
              <w:left w:val="nil"/>
              <w:bottom w:val="nil"/>
              <w:right w:val="nil"/>
            </w:tcBorders>
            <w:shd w:val="clear" w:color="auto" w:fill="auto"/>
            <w:noWrap/>
            <w:hideMark/>
          </w:tcPr>
          <w:p w14:paraId="0456293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w:t>
            </w:r>
          </w:p>
        </w:tc>
        <w:tc>
          <w:tcPr>
            <w:tcW w:w="1200" w:type="dxa"/>
            <w:tcBorders>
              <w:top w:val="nil"/>
              <w:left w:val="nil"/>
              <w:bottom w:val="nil"/>
              <w:right w:val="nil"/>
            </w:tcBorders>
            <w:shd w:val="clear" w:color="auto" w:fill="auto"/>
            <w:noWrap/>
            <w:hideMark/>
          </w:tcPr>
          <w:p w14:paraId="7877AD6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2243DF0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20D0A3C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7F28E48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5ED344C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6A02D31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096843A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7FF7A5D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7.2</w:t>
            </w:r>
          </w:p>
        </w:tc>
        <w:tc>
          <w:tcPr>
            <w:tcW w:w="920" w:type="dxa"/>
            <w:tcBorders>
              <w:top w:val="nil"/>
              <w:left w:val="nil"/>
              <w:bottom w:val="nil"/>
              <w:right w:val="nil"/>
            </w:tcBorders>
            <w:shd w:val="clear" w:color="auto" w:fill="auto"/>
            <w:noWrap/>
            <w:vAlign w:val="bottom"/>
            <w:hideMark/>
          </w:tcPr>
          <w:p w14:paraId="5AA2434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32.6</w:t>
            </w:r>
          </w:p>
        </w:tc>
        <w:tc>
          <w:tcPr>
            <w:tcW w:w="741" w:type="dxa"/>
            <w:tcBorders>
              <w:top w:val="nil"/>
              <w:left w:val="nil"/>
              <w:bottom w:val="nil"/>
              <w:right w:val="nil"/>
            </w:tcBorders>
            <w:shd w:val="clear" w:color="auto" w:fill="auto"/>
            <w:noWrap/>
            <w:vAlign w:val="bottom"/>
            <w:hideMark/>
          </w:tcPr>
          <w:p w14:paraId="1DFD00A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7.7</w:t>
            </w:r>
          </w:p>
        </w:tc>
        <w:tc>
          <w:tcPr>
            <w:tcW w:w="785" w:type="dxa"/>
            <w:tcBorders>
              <w:top w:val="nil"/>
              <w:left w:val="nil"/>
              <w:bottom w:val="nil"/>
              <w:right w:val="nil"/>
            </w:tcBorders>
            <w:shd w:val="clear" w:color="auto" w:fill="auto"/>
            <w:noWrap/>
            <w:vAlign w:val="bottom"/>
            <w:hideMark/>
          </w:tcPr>
          <w:p w14:paraId="0E0E96B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26.1</w:t>
            </w:r>
          </w:p>
        </w:tc>
        <w:tc>
          <w:tcPr>
            <w:tcW w:w="732" w:type="dxa"/>
            <w:tcBorders>
              <w:top w:val="nil"/>
              <w:left w:val="nil"/>
              <w:bottom w:val="nil"/>
              <w:right w:val="nil"/>
            </w:tcBorders>
            <w:shd w:val="clear" w:color="auto" w:fill="auto"/>
            <w:noWrap/>
            <w:vAlign w:val="bottom"/>
            <w:hideMark/>
          </w:tcPr>
          <w:p w14:paraId="60B84C4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111.6</w:t>
            </w:r>
          </w:p>
        </w:tc>
        <w:tc>
          <w:tcPr>
            <w:tcW w:w="860" w:type="dxa"/>
            <w:tcBorders>
              <w:top w:val="nil"/>
              <w:left w:val="nil"/>
              <w:bottom w:val="nil"/>
              <w:right w:val="nil"/>
            </w:tcBorders>
            <w:shd w:val="clear" w:color="auto" w:fill="auto"/>
            <w:noWrap/>
            <w:vAlign w:val="bottom"/>
            <w:hideMark/>
          </w:tcPr>
          <w:p w14:paraId="19535EA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41.8</w:t>
            </w:r>
          </w:p>
        </w:tc>
        <w:tc>
          <w:tcPr>
            <w:tcW w:w="960" w:type="dxa"/>
            <w:tcBorders>
              <w:top w:val="nil"/>
              <w:left w:val="nil"/>
              <w:bottom w:val="nil"/>
              <w:right w:val="nil"/>
            </w:tcBorders>
            <w:shd w:val="clear" w:color="auto" w:fill="auto"/>
            <w:noWrap/>
            <w:vAlign w:val="bottom"/>
            <w:hideMark/>
          </w:tcPr>
          <w:p w14:paraId="2E62966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19.7</w:t>
            </w:r>
          </w:p>
        </w:tc>
        <w:tc>
          <w:tcPr>
            <w:tcW w:w="689" w:type="dxa"/>
            <w:tcBorders>
              <w:top w:val="nil"/>
              <w:left w:val="nil"/>
              <w:bottom w:val="nil"/>
              <w:right w:val="nil"/>
            </w:tcBorders>
            <w:shd w:val="clear" w:color="auto" w:fill="auto"/>
            <w:noWrap/>
            <w:vAlign w:val="bottom"/>
            <w:hideMark/>
          </w:tcPr>
          <w:p w14:paraId="17313C5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29.3</w:t>
            </w:r>
          </w:p>
        </w:tc>
        <w:tc>
          <w:tcPr>
            <w:tcW w:w="1000" w:type="dxa"/>
            <w:tcBorders>
              <w:top w:val="nil"/>
              <w:left w:val="nil"/>
              <w:bottom w:val="nil"/>
              <w:right w:val="nil"/>
            </w:tcBorders>
            <w:shd w:val="clear" w:color="auto" w:fill="auto"/>
            <w:noWrap/>
            <w:vAlign w:val="bottom"/>
            <w:hideMark/>
          </w:tcPr>
          <w:p w14:paraId="56E5D68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137.8</w:t>
            </w:r>
          </w:p>
        </w:tc>
      </w:tr>
      <w:tr w:rsidR="00F26016" w:rsidRPr="00F26016" w14:paraId="39021023" w14:textId="77777777" w:rsidTr="00F26016">
        <w:trPr>
          <w:trHeight w:val="300"/>
        </w:trPr>
        <w:tc>
          <w:tcPr>
            <w:tcW w:w="1140" w:type="dxa"/>
            <w:tcBorders>
              <w:top w:val="nil"/>
              <w:left w:val="nil"/>
              <w:bottom w:val="nil"/>
              <w:right w:val="nil"/>
            </w:tcBorders>
            <w:shd w:val="clear" w:color="auto" w:fill="auto"/>
            <w:noWrap/>
            <w:hideMark/>
          </w:tcPr>
          <w:p w14:paraId="5C205CD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w:t>
            </w:r>
          </w:p>
        </w:tc>
        <w:tc>
          <w:tcPr>
            <w:tcW w:w="1200" w:type="dxa"/>
            <w:tcBorders>
              <w:top w:val="nil"/>
              <w:left w:val="nil"/>
              <w:bottom w:val="nil"/>
              <w:right w:val="nil"/>
            </w:tcBorders>
            <w:shd w:val="clear" w:color="auto" w:fill="auto"/>
            <w:noWrap/>
            <w:hideMark/>
          </w:tcPr>
          <w:p w14:paraId="6095775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610F63D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26774F1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4A22AAA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2EF8CAF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198E3AF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0079178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4087A0C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60.3</w:t>
            </w:r>
          </w:p>
        </w:tc>
        <w:tc>
          <w:tcPr>
            <w:tcW w:w="920" w:type="dxa"/>
            <w:tcBorders>
              <w:top w:val="nil"/>
              <w:left w:val="nil"/>
              <w:bottom w:val="nil"/>
              <w:right w:val="nil"/>
            </w:tcBorders>
            <w:shd w:val="clear" w:color="auto" w:fill="auto"/>
            <w:noWrap/>
            <w:vAlign w:val="bottom"/>
            <w:hideMark/>
          </w:tcPr>
          <w:p w14:paraId="2E2FE83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93.5</w:t>
            </w:r>
          </w:p>
        </w:tc>
        <w:tc>
          <w:tcPr>
            <w:tcW w:w="741" w:type="dxa"/>
            <w:tcBorders>
              <w:top w:val="nil"/>
              <w:left w:val="nil"/>
              <w:bottom w:val="nil"/>
              <w:right w:val="nil"/>
            </w:tcBorders>
            <w:shd w:val="clear" w:color="auto" w:fill="auto"/>
            <w:noWrap/>
            <w:vAlign w:val="bottom"/>
            <w:hideMark/>
          </w:tcPr>
          <w:p w14:paraId="7EED00F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245.4</w:t>
            </w:r>
          </w:p>
        </w:tc>
        <w:tc>
          <w:tcPr>
            <w:tcW w:w="785" w:type="dxa"/>
            <w:tcBorders>
              <w:top w:val="nil"/>
              <w:left w:val="nil"/>
              <w:bottom w:val="nil"/>
              <w:right w:val="nil"/>
            </w:tcBorders>
            <w:shd w:val="clear" w:color="auto" w:fill="auto"/>
            <w:noWrap/>
            <w:vAlign w:val="bottom"/>
            <w:hideMark/>
          </w:tcPr>
          <w:p w14:paraId="654BD6C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128.6</w:t>
            </w:r>
          </w:p>
        </w:tc>
        <w:tc>
          <w:tcPr>
            <w:tcW w:w="732" w:type="dxa"/>
            <w:tcBorders>
              <w:top w:val="nil"/>
              <w:left w:val="nil"/>
              <w:bottom w:val="nil"/>
              <w:right w:val="nil"/>
            </w:tcBorders>
            <w:shd w:val="clear" w:color="auto" w:fill="auto"/>
            <w:noWrap/>
            <w:vAlign w:val="bottom"/>
            <w:hideMark/>
          </w:tcPr>
          <w:p w14:paraId="297B8DA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148.5</w:t>
            </w:r>
          </w:p>
        </w:tc>
        <w:tc>
          <w:tcPr>
            <w:tcW w:w="860" w:type="dxa"/>
            <w:tcBorders>
              <w:top w:val="nil"/>
              <w:left w:val="nil"/>
              <w:bottom w:val="nil"/>
              <w:right w:val="nil"/>
            </w:tcBorders>
            <w:shd w:val="clear" w:color="auto" w:fill="auto"/>
            <w:noWrap/>
            <w:vAlign w:val="bottom"/>
            <w:hideMark/>
          </w:tcPr>
          <w:p w14:paraId="03F5EEB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232.5</w:t>
            </w:r>
          </w:p>
        </w:tc>
        <w:tc>
          <w:tcPr>
            <w:tcW w:w="960" w:type="dxa"/>
            <w:tcBorders>
              <w:top w:val="nil"/>
              <w:left w:val="nil"/>
              <w:bottom w:val="nil"/>
              <w:right w:val="nil"/>
            </w:tcBorders>
            <w:shd w:val="clear" w:color="auto" w:fill="auto"/>
            <w:noWrap/>
            <w:vAlign w:val="bottom"/>
            <w:hideMark/>
          </w:tcPr>
          <w:p w14:paraId="0CD40BB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148.8</w:t>
            </w:r>
          </w:p>
        </w:tc>
        <w:tc>
          <w:tcPr>
            <w:tcW w:w="689" w:type="dxa"/>
            <w:tcBorders>
              <w:top w:val="nil"/>
              <w:left w:val="nil"/>
              <w:bottom w:val="nil"/>
              <w:right w:val="nil"/>
            </w:tcBorders>
            <w:shd w:val="clear" w:color="auto" w:fill="auto"/>
            <w:noWrap/>
            <w:vAlign w:val="bottom"/>
            <w:hideMark/>
          </w:tcPr>
          <w:p w14:paraId="3DD35E6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82.8</w:t>
            </w:r>
          </w:p>
        </w:tc>
        <w:tc>
          <w:tcPr>
            <w:tcW w:w="1000" w:type="dxa"/>
            <w:tcBorders>
              <w:top w:val="nil"/>
              <w:left w:val="nil"/>
              <w:bottom w:val="nil"/>
              <w:right w:val="nil"/>
            </w:tcBorders>
            <w:shd w:val="clear" w:color="auto" w:fill="auto"/>
            <w:noWrap/>
            <w:vAlign w:val="bottom"/>
            <w:hideMark/>
          </w:tcPr>
          <w:p w14:paraId="70D8675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120.3</w:t>
            </w:r>
          </w:p>
        </w:tc>
      </w:tr>
      <w:tr w:rsidR="00F26016" w:rsidRPr="00F26016" w14:paraId="512E970F" w14:textId="77777777" w:rsidTr="00F26016">
        <w:trPr>
          <w:trHeight w:val="300"/>
        </w:trPr>
        <w:tc>
          <w:tcPr>
            <w:tcW w:w="1140" w:type="dxa"/>
            <w:tcBorders>
              <w:top w:val="nil"/>
              <w:left w:val="nil"/>
              <w:bottom w:val="nil"/>
              <w:right w:val="nil"/>
            </w:tcBorders>
            <w:shd w:val="clear" w:color="auto" w:fill="auto"/>
            <w:noWrap/>
            <w:hideMark/>
          </w:tcPr>
          <w:p w14:paraId="1F31CEC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w:t>
            </w:r>
          </w:p>
        </w:tc>
        <w:tc>
          <w:tcPr>
            <w:tcW w:w="1200" w:type="dxa"/>
            <w:tcBorders>
              <w:top w:val="nil"/>
              <w:left w:val="nil"/>
              <w:bottom w:val="nil"/>
              <w:right w:val="nil"/>
            </w:tcBorders>
            <w:shd w:val="clear" w:color="auto" w:fill="auto"/>
            <w:noWrap/>
            <w:hideMark/>
          </w:tcPr>
          <w:p w14:paraId="54D68DB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4608AFF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5653F09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6D42E5B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3A72A0A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5A89E92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77C1753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w:t>
            </w:r>
          </w:p>
        </w:tc>
        <w:tc>
          <w:tcPr>
            <w:tcW w:w="660" w:type="dxa"/>
            <w:tcBorders>
              <w:top w:val="nil"/>
              <w:left w:val="nil"/>
              <w:bottom w:val="nil"/>
              <w:right w:val="nil"/>
            </w:tcBorders>
            <w:shd w:val="clear" w:color="auto" w:fill="auto"/>
            <w:noWrap/>
            <w:vAlign w:val="bottom"/>
            <w:hideMark/>
          </w:tcPr>
          <w:p w14:paraId="53BBDF0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179.9</w:t>
            </w:r>
          </w:p>
        </w:tc>
        <w:tc>
          <w:tcPr>
            <w:tcW w:w="920" w:type="dxa"/>
            <w:tcBorders>
              <w:top w:val="nil"/>
              <w:left w:val="nil"/>
              <w:bottom w:val="nil"/>
              <w:right w:val="nil"/>
            </w:tcBorders>
            <w:shd w:val="clear" w:color="auto" w:fill="auto"/>
            <w:noWrap/>
            <w:vAlign w:val="bottom"/>
            <w:hideMark/>
          </w:tcPr>
          <w:p w14:paraId="69690EF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28.7</w:t>
            </w:r>
          </w:p>
        </w:tc>
        <w:tc>
          <w:tcPr>
            <w:tcW w:w="741" w:type="dxa"/>
            <w:tcBorders>
              <w:top w:val="nil"/>
              <w:left w:val="nil"/>
              <w:bottom w:val="nil"/>
              <w:right w:val="nil"/>
            </w:tcBorders>
            <w:shd w:val="clear" w:color="auto" w:fill="auto"/>
            <w:noWrap/>
            <w:vAlign w:val="bottom"/>
            <w:hideMark/>
          </w:tcPr>
          <w:p w14:paraId="7E6F6B9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56.9</w:t>
            </w:r>
          </w:p>
        </w:tc>
        <w:tc>
          <w:tcPr>
            <w:tcW w:w="785" w:type="dxa"/>
            <w:tcBorders>
              <w:top w:val="nil"/>
              <w:left w:val="nil"/>
              <w:bottom w:val="nil"/>
              <w:right w:val="nil"/>
            </w:tcBorders>
            <w:shd w:val="clear" w:color="auto" w:fill="auto"/>
            <w:noWrap/>
            <w:vAlign w:val="bottom"/>
            <w:hideMark/>
          </w:tcPr>
          <w:p w14:paraId="137EC47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13.7</w:t>
            </w:r>
          </w:p>
        </w:tc>
        <w:tc>
          <w:tcPr>
            <w:tcW w:w="732" w:type="dxa"/>
            <w:tcBorders>
              <w:top w:val="nil"/>
              <w:left w:val="nil"/>
              <w:bottom w:val="nil"/>
              <w:right w:val="nil"/>
            </w:tcBorders>
            <w:shd w:val="clear" w:color="auto" w:fill="auto"/>
            <w:noWrap/>
            <w:vAlign w:val="bottom"/>
            <w:hideMark/>
          </w:tcPr>
          <w:p w14:paraId="0142D50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946.0</w:t>
            </w:r>
          </w:p>
        </w:tc>
        <w:tc>
          <w:tcPr>
            <w:tcW w:w="860" w:type="dxa"/>
            <w:tcBorders>
              <w:top w:val="nil"/>
              <w:left w:val="nil"/>
              <w:bottom w:val="nil"/>
              <w:right w:val="nil"/>
            </w:tcBorders>
            <w:shd w:val="clear" w:color="auto" w:fill="auto"/>
            <w:noWrap/>
            <w:vAlign w:val="bottom"/>
            <w:hideMark/>
          </w:tcPr>
          <w:p w14:paraId="7BF34D4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17.0</w:t>
            </w:r>
          </w:p>
        </w:tc>
        <w:tc>
          <w:tcPr>
            <w:tcW w:w="960" w:type="dxa"/>
            <w:tcBorders>
              <w:top w:val="nil"/>
              <w:left w:val="nil"/>
              <w:bottom w:val="nil"/>
              <w:right w:val="nil"/>
            </w:tcBorders>
            <w:shd w:val="clear" w:color="auto" w:fill="auto"/>
            <w:noWrap/>
            <w:vAlign w:val="bottom"/>
            <w:hideMark/>
          </w:tcPr>
          <w:p w14:paraId="3FE9620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99.6</w:t>
            </w:r>
          </w:p>
        </w:tc>
        <w:tc>
          <w:tcPr>
            <w:tcW w:w="689" w:type="dxa"/>
            <w:tcBorders>
              <w:top w:val="nil"/>
              <w:left w:val="nil"/>
              <w:bottom w:val="nil"/>
              <w:right w:val="nil"/>
            </w:tcBorders>
            <w:shd w:val="clear" w:color="auto" w:fill="auto"/>
            <w:noWrap/>
            <w:vAlign w:val="bottom"/>
            <w:hideMark/>
          </w:tcPr>
          <w:p w14:paraId="7763ABC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62.2</w:t>
            </w:r>
          </w:p>
        </w:tc>
        <w:tc>
          <w:tcPr>
            <w:tcW w:w="1000" w:type="dxa"/>
            <w:tcBorders>
              <w:top w:val="nil"/>
              <w:left w:val="nil"/>
              <w:bottom w:val="nil"/>
              <w:right w:val="nil"/>
            </w:tcBorders>
            <w:shd w:val="clear" w:color="auto" w:fill="auto"/>
            <w:noWrap/>
            <w:vAlign w:val="bottom"/>
            <w:hideMark/>
          </w:tcPr>
          <w:p w14:paraId="45C27C7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218.2</w:t>
            </w:r>
          </w:p>
        </w:tc>
      </w:tr>
      <w:tr w:rsidR="00F26016" w:rsidRPr="00F26016" w14:paraId="39038014" w14:textId="77777777" w:rsidTr="00F26016">
        <w:trPr>
          <w:trHeight w:val="300"/>
        </w:trPr>
        <w:tc>
          <w:tcPr>
            <w:tcW w:w="1140" w:type="dxa"/>
            <w:tcBorders>
              <w:top w:val="nil"/>
              <w:left w:val="nil"/>
              <w:bottom w:val="nil"/>
              <w:right w:val="nil"/>
            </w:tcBorders>
            <w:shd w:val="clear" w:color="auto" w:fill="auto"/>
            <w:noWrap/>
            <w:hideMark/>
          </w:tcPr>
          <w:p w14:paraId="0365F78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w:t>
            </w:r>
          </w:p>
        </w:tc>
        <w:tc>
          <w:tcPr>
            <w:tcW w:w="1200" w:type="dxa"/>
            <w:tcBorders>
              <w:top w:val="nil"/>
              <w:left w:val="nil"/>
              <w:bottom w:val="nil"/>
              <w:right w:val="nil"/>
            </w:tcBorders>
            <w:shd w:val="clear" w:color="auto" w:fill="auto"/>
            <w:noWrap/>
            <w:hideMark/>
          </w:tcPr>
          <w:p w14:paraId="79D526F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0145C64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6CD449C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271EB1F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5F9EBE0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67ECF63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08ADCC5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w:t>
            </w:r>
          </w:p>
        </w:tc>
        <w:tc>
          <w:tcPr>
            <w:tcW w:w="660" w:type="dxa"/>
            <w:tcBorders>
              <w:top w:val="nil"/>
              <w:left w:val="nil"/>
              <w:bottom w:val="nil"/>
              <w:right w:val="nil"/>
            </w:tcBorders>
            <w:shd w:val="clear" w:color="auto" w:fill="auto"/>
            <w:noWrap/>
            <w:vAlign w:val="bottom"/>
            <w:hideMark/>
          </w:tcPr>
          <w:p w14:paraId="0E84AF8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w:t>
            </w:r>
          </w:p>
        </w:tc>
        <w:tc>
          <w:tcPr>
            <w:tcW w:w="920" w:type="dxa"/>
            <w:tcBorders>
              <w:top w:val="nil"/>
              <w:left w:val="nil"/>
              <w:bottom w:val="nil"/>
              <w:right w:val="nil"/>
            </w:tcBorders>
            <w:shd w:val="clear" w:color="auto" w:fill="auto"/>
            <w:noWrap/>
            <w:vAlign w:val="bottom"/>
            <w:hideMark/>
          </w:tcPr>
          <w:p w14:paraId="134D741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16.8</w:t>
            </w:r>
          </w:p>
        </w:tc>
        <w:tc>
          <w:tcPr>
            <w:tcW w:w="741" w:type="dxa"/>
            <w:tcBorders>
              <w:top w:val="nil"/>
              <w:left w:val="nil"/>
              <w:bottom w:val="nil"/>
              <w:right w:val="nil"/>
            </w:tcBorders>
            <w:shd w:val="clear" w:color="auto" w:fill="auto"/>
            <w:noWrap/>
            <w:vAlign w:val="bottom"/>
            <w:hideMark/>
          </w:tcPr>
          <w:p w14:paraId="1D6AEE0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9.4</w:t>
            </w:r>
          </w:p>
        </w:tc>
        <w:tc>
          <w:tcPr>
            <w:tcW w:w="785" w:type="dxa"/>
            <w:tcBorders>
              <w:top w:val="nil"/>
              <w:left w:val="nil"/>
              <w:bottom w:val="nil"/>
              <w:right w:val="nil"/>
            </w:tcBorders>
            <w:shd w:val="clear" w:color="auto" w:fill="auto"/>
            <w:noWrap/>
            <w:vAlign w:val="bottom"/>
            <w:hideMark/>
          </w:tcPr>
          <w:p w14:paraId="2A3B007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19.6</w:t>
            </w:r>
          </w:p>
        </w:tc>
        <w:tc>
          <w:tcPr>
            <w:tcW w:w="732" w:type="dxa"/>
            <w:tcBorders>
              <w:top w:val="nil"/>
              <w:left w:val="nil"/>
              <w:bottom w:val="nil"/>
              <w:right w:val="nil"/>
            </w:tcBorders>
            <w:shd w:val="clear" w:color="auto" w:fill="auto"/>
            <w:noWrap/>
            <w:vAlign w:val="bottom"/>
            <w:hideMark/>
          </w:tcPr>
          <w:p w14:paraId="348E120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136.9</w:t>
            </w:r>
          </w:p>
        </w:tc>
        <w:tc>
          <w:tcPr>
            <w:tcW w:w="860" w:type="dxa"/>
            <w:tcBorders>
              <w:top w:val="nil"/>
              <w:left w:val="nil"/>
              <w:bottom w:val="nil"/>
              <w:right w:val="nil"/>
            </w:tcBorders>
            <w:shd w:val="clear" w:color="auto" w:fill="auto"/>
            <w:noWrap/>
            <w:vAlign w:val="bottom"/>
            <w:hideMark/>
          </w:tcPr>
          <w:p w14:paraId="49574C5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27.9</w:t>
            </w:r>
          </w:p>
        </w:tc>
        <w:tc>
          <w:tcPr>
            <w:tcW w:w="960" w:type="dxa"/>
            <w:tcBorders>
              <w:top w:val="nil"/>
              <w:left w:val="nil"/>
              <w:bottom w:val="nil"/>
              <w:right w:val="nil"/>
            </w:tcBorders>
            <w:shd w:val="clear" w:color="auto" w:fill="auto"/>
            <w:noWrap/>
            <w:vAlign w:val="bottom"/>
            <w:hideMark/>
          </w:tcPr>
          <w:p w14:paraId="3519B59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51.1</w:t>
            </w:r>
          </w:p>
        </w:tc>
        <w:tc>
          <w:tcPr>
            <w:tcW w:w="689" w:type="dxa"/>
            <w:tcBorders>
              <w:top w:val="nil"/>
              <w:left w:val="nil"/>
              <w:bottom w:val="nil"/>
              <w:right w:val="nil"/>
            </w:tcBorders>
            <w:shd w:val="clear" w:color="auto" w:fill="auto"/>
            <w:noWrap/>
            <w:vAlign w:val="bottom"/>
            <w:hideMark/>
          </w:tcPr>
          <w:p w14:paraId="365792C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98.6</w:t>
            </w:r>
          </w:p>
        </w:tc>
        <w:tc>
          <w:tcPr>
            <w:tcW w:w="1000" w:type="dxa"/>
            <w:tcBorders>
              <w:top w:val="nil"/>
              <w:left w:val="nil"/>
              <w:bottom w:val="nil"/>
              <w:right w:val="nil"/>
            </w:tcBorders>
            <w:shd w:val="clear" w:color="auto" w:fill="auto"/>
            <w:noWrap/>
            <w:vAlign w:val="bottom"/>
            <w:hideMark/>
          </w:tcPr>
          <w:p w14:paraId="58A7D0D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159.6</w:t>
            </w:r>
          </w:p>
        </w:tc>
      </w:tr>
      <w:tr w:rsidR="00F26016" w:rsidRPr="00F26016" w14:paraId="071FF9D2" w14:textId="77777777" w:rsidTr="00F26016">
        <w:trPr>
          <w:trHeight w:val="300"/>
        </w:trPr>
        <w:tc>
          <w:tcPr>
            <w:tcW w:w="1140" w:type="dxa"/>
            <w:tcBorders>
              <w:top w:val="nil"/>
              <w:left w:val="nil"/>
              <w:bottom w:val="nil"/>
              <w:right w:val="nil"/>
            </w:tcBorders>
            <w:shd w:val="clear" w:color="auto" w:fill="auto"/>
            <w:noWrap/>
            <w:hideMark/>
          </w:tcPr>
          <w:p w14:paraId="56554D0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w:t>
            </w:r>
          </w:p>
        </w:tc>
        <w:tc>
          <w:tcPr>
            <w:tcW w:w="1200" w:type="dxa"/>
            <w:tcBorders>
              <w:top w:val="nil"/>
              <w:left w:val="nil"/>
              <w:bottom w:val="nil"/>
              <w:right w:val="nil"/>
            </w:tcBorders>
            <w:shd w:val="clear" w:color="auto" w:fill="auto"/>
            <w:noWrap/>
            <w:hideMark/>
          </w:tcPr>
          <w:p w14:paraId="2179674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497CD9A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55B7A07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0094785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5AD9331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5988D30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71141C7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w:t>
            </w:r>
          </w:p>
        </w:tc>
        <w:tc>
          <w:tcPr>
            <w:tcW w:w="660" w:type="dxa"/>
            <w:tcBorders>
              <w:top w:val="nil"/>
              <w:left w:val="nil"/>
              <w:bottom w:val="nil"/>
              <w:right w:val="nil"/>
            </w:tcBorders>
            <w:shd w:val="clear" w:color="auto" w:fill="auto"/>
            <w:noWrap/>
            <w:vAlign w:val="bottom"/>
            <w:hideMark/>
          </w:tcPr>
          <w:p w14:paraId="2B94DD2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55.7</w:t>
            </w:r>
          </w:p>
        </w:tc>
        <w:tc>
          <w:tcPr>
            <w:tcW w:w="920" w:type="dxa"/>
            <w:tcBorders>
              <w:top w:val="nil"/>
              <w:left w:val="nil"/>
              <w:bottom w:val="nil"/>
              <w:right w:val="nil"/>
            </w:tcBorders>
            <w:shd w:val="clear" w:color="auto" w:fill="auto"/>
            <w:noWrap/>
            <w:vAlign w:val="bottom"/>
            <w:hideMark/>
          </w:tcPr>
          <w:p w14:paraId="08F58FA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99.4</w:t>
            </w:r>
          </w:p>
        </w:tc>
        <w:tc>
          <w:tcPr>
            <w:tcW w:w="741" w:type="dxa"/>
            <w:tcBorders>
              <w:top w:val="nil"/>
              <w:left w:val="nil"/>
              <w:bottom w:val="nil"/>
              <w:right w:val="nil"/>
            </w:tcBorders>
            <w:shd w:val="clear" w:color="auto" w:fill="auto"/>
            <w:noWrap/>
            <w:vAlign w:val="bottom"/>
            <w:hideMark/>
          </w:tcPr>
          <w:p w14:paraId="4F954CD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203.7</w:t>
            </w:r>
          </w:p>
        </w:tc>
        <w:tc>
          <w:tcPr>
            <w:tcW w:w="785" w:type="dxa"/>
            <w:tcBorders>
              <w:top w:val="nil"/>
              <w:left w:val="nil"/>
              <w:bottom w:val="nil"/>
              <w:right w:val="nil"/>
            </w:tcBorders>
            <w:shd w:val="clear" w:color="auto" w:fill="auto"/>
            <w:noWrap/>
            <w:vAlign w:val="bottom"/>
            <w:hideMark/>
          </w:tcPr>
          <w:p w14:paraId="2DB0C28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125.4</w:t>
            </w:r>
          </w:p>
        </w:tc>
        <w:tc>
          <w:tcPr>
            <w:tcW w:w="732" w:type="dxa"/>
            <w:tcBorders>
              <w:top w:val="nil"/>
              <w:left w:val="nil"/>
              <w:bottom w:val="nil"/>
              <w:right w:val="nil"/>
            </w:tcBorders>
            <w:shd w:val="clear" w:color="auto" w:fill="auto"/>
            <w:noWrap/>
            <w:vAlign w:val="bottom"/>
            <w:hideMark/>
          </w:tcPr>
          <w:p w14:paraId="712344E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19.1</w:t>
            </w:r>
          </w:p>
        </w:tc>
        <w:tc>
          <w:tcPr>
            <w:tcW w:w="860" w:type="dxa"/>
            <w:tcBorders>
              <w:top w:val="nil"/>
              <w:left w:val="nil"/>
              <w:bottom w:val="nil"/>
              <w:right w:val="nil"/>
            </w:tcBorders>
            <w:shd w:val="clear" w:color="auto" w:fill="auto"/>
            <w:noWrap/>
            <w:vAlign w:val="bottom"/>
            <w:hideMark/>
          </w:tcPr>
          <w:p w14:paraId="7118256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105.5</w:t>
            </w:r>
          </w:p>
        </w:tc>
        <w:tc>
          <w:tcPr>
            <w:tcW w:w="960" w:type="dxa"/>
            <w:tcBorders>
              <w:top w:val="nil"/>
              <w:left w:val="nil"/>
              <w:bottom w:val="nil"/>
              <w:right w:val="nil"/>
            </w:tcBorders>
            <w:shd w:val="clear" w:color="auto" w:fill="auto"/>
            <w:noWrap/>
            <w:vAlign w:val="bottom"/>
            <w:hideMark/>
          </w:tcPr>
          <w:p w14:paraId="4660544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173.0</w:t>
            </w:r>
          </w:p>
        </w:tc>
        <w:tc>
          <w:tcPr>
            <w:tcW w:w="689" w:type="dxa"/>
            <w:tcBorders>
              <w:top w:val="nil"/>
              <w:left w:val="nil"/>
              <w:bottom w:val="nil"/>
              <w:right w:val="nil"/>
            </w:tcBorders>
            <w:shd w:val="clear" w:color="auto" w:fill="auto"/>
            <w:noWrap/>
            <w:vAlign w:val="bottom"/>
            <w:hideMark/>
          </w:tcPr>
          <w:p w14:paraId="788F3DD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67.7</w:t>
            </w:r>
          </w:p>
        </w:tc>
        <w:tc>
          <w:tcPr>
            <w:tcW w:w="1000" w:type="dxa"/>
            <w:tcBorders>
              <w:top w:val="nil"/>
              <w:left w:val="nil"/>
              <w:bottom w:val="nil"/>
              <w:right w:val="nil"/>
            </w:tcBorders>
            <w:shd w:val="clear" w:color="auto" w:fill="auto"/>
            <w:noWrap/>
            <w:vAlign w:val="bottom"/>
            <w:hideMark/>
          </w:tcPr>
          <w:p w14:paraId="2A43D3C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119.4</w:t>
            </w:r>
          </w:p>
        </w:tc>
      </w:tr>
      <w:tr w:rsidR="00F26016" w:rsidRPr="00F26016" w14:paraId="0E446610" w14:textId="77777777" w:rsidTr="00F26016">
        <w:trPr>
          <w:trHeight w:val="300"/>
        </w:trPr>
        <w:tc>
          <w:tcPr>
            <w:tcW w:w="1140" w:type="dxa"/>
            <w:tcBorders>
              <w:top w:val="nil"/>
              <w:left w:val="nil"/>
              <w:bottom w:val="nil"/>
              <w:right w:val="nil"/>
            </w:tcBorders>
            <w:shd w:val="clear" w:color="auto" w:fill="auto"/>
            <w:noWrap/>
            <w:hideMark/>
          </w:tcPr>
          <w:p w14:paraId="70BFAB2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w:t>
            </w:r>
          </w:p>
        </w:tc>
        <w:tc>
          <w:tcPr>
            <w:tcW w:w="1200" w:type="dxa"/>
            <w:tcBorders>
              <w:top w:val="nil"/>
              <w:left w:val="nil"/>
              <w:bottom w:val="nil"/>
              <w:right w:val="nil"/>
            </w:tcBorders>
            <w:shd w:val="clear" w:color="auto" w:fill="auto"/>
            <w:noWrap/>
            <w:hideMark/>
          </w:tcPr>
          <w:p w14:paraId="0416DEE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7C71F9A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3B82EB7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2890C4E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54DE5EA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71E2283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0C2E00B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5BDDC5B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175.5</w:t>
            </w:r>
          </w:p>
        </w:tc>
        <w:tc>
          <w:tcPr>
            <w:tcW w:w="920" w:type="dxa"/>
            <w:tcBorders>
              <w:top w:val="nil"/>
              <w:left w:val="nil"/>
              <w:bottom w:val="nil"/>
              <w:right w:val="nil"/>
            </w:tcBorders>
            <w:shd w:val="clear" w:color="auto" w:fill="auto"/>
            <w:noWrap/>
            <w:vAlign w:val="bottom"/>
            <w:hideMark/>
          </w:tcPr>
          <w:p w14:paraId="65F7E76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38.0</w:t>
            </w:r>
          </w:p>
        </w:tc>
        <w:tc>
          <w:tcPr>
            <w:tcW w:w="741" w:type="dxa"/>
            <w:tcBorders>
              <w:top w:val="nil"/>
              <w:left w:val="nil"/>
              <w:bottom w:val="nil"/>
              <w:right w:val="nil"/>
            </w:tcBorders>
            <w:shd w:val="clear" w:color="auto" w:fill="auto"/>
            <w:noWrap/>
            <w:vAlign w:val="bottom"/>
            <w:hideMark/>
          </w:tcPr>
          <w:p w14:paraId="727480E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51.8</w:t>
            </w:r>
          </w:p>
        </w:tc>
        <w:tc>
          <w:tcPr>
            <w:tcW w:w="785" w:type="dxa"/>
            <w:tcBorders>
              <w:top w:val="nil"/>
              <w:left w:val="nil"/>
              <w:bottom w:val="nil"/>
              <w:right w:val="nil"/>
            </w:tcBorders>
            <w:shd w:val="clear" w:color="auto" w:fill="auto"/>
            <w:noWrap/>
            <w:vAlign w:val="bottom"/>
            <w:hideMark/>
          </w:tcPr>
          <w:p w14:paraId="7A810F4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49.3</w:t>
            </w:r>
          </w:p>
        </w:tc>
        <w:tc>
          <w:tcPr>
            <w:tcW w:w="732" w:type="dxa"/>
            <w:tcBorders>
              <w:top w:val="nil"/>
              <w:left w:val="nil"/>
              <w:bottom w:val="nil"/>
              <w:right w:val="nil"/>
            </w:tcBorders>
            <w:shd w:val="clear" w:color="auto" w:fill="auto"/>
            <w:noWrap/>
            <w:vAlign w:val="bottom"/>
            <w:hideMark/>
          </w:tcPr>
          <w:p w14:paraId="4433107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899.6</w:t>
            </w:r>
          </w:p>
        </w:tc>
        <w:tc>
          <w:tcPr>
            <w:tcW w:w="860" w:type="dxa"/>
            <w:tcBorders>
              <w:top w:val="nil"/>
              <w:left w:val="nil"/>
              <w:bottom w:val="nil"/>
              <w:right w:val="nil"/>
            </w:tcBorders>
            <w:shd w:val="clear" w:color="auto" w:fill="auto"/>
            <w:noWrap/>
            <w:vAlign w:val="bottom"/>
            <w:hideMark/>
          </w:tcPr>
          <w:p w14:paraId="760ACB8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31.6</w:t>
            </w:r>
          </w:p>
        </w:tc>
        <w:tc>
          <w:tcPr>
            <w:tcW w:w="960" w:type="dxa"/>
            <w:tcBorders>
              <w:top w:val="nil"/>
              <w:left w:val="nil"/>
              <w:bottom w:val="nil"/>
              <w:right w:val="nil"/>
            </w:tcBorders>
            <w:shd w:val="clear" w:color="auto" w:fill="auto"/>
            <w:noWrap/>
            <w:vAlign w:val="bottom"/>
            <w:hideMark/>
          </w:tcPr>
          <w:p w14:paraId="172F5D1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66.5</w:t>
            </w:r>
          </w:p>
        </w:tc>
        <w:tc>
          <w:tcPr>
            <w:tcW w:w="689" w:type="dxa"/>
            <w:tcBorders>
              <w:top w:val="nil"/>
              <w:left w:val="nil"/>
              <w:bottom w:val="nil"/>
              <w:right w:val="nil"/>
            </w:tcBorders>
            <w:shd w:val="clear" w:color="auto" w:fill="auto"/>
            <w:noWrap/>
            <w:vAlign w:val="bottom"/>
            <w:hideMark/>
          </w:tcPr>
          <w:p w14:paraId="0F128A22" w14:textId="77777777" w:rsidR="00F26016" w:rsidRPr="00F26016" w:rsidRDefault="00F26016" w:rsidP="00F26016">
            <w:pPr>
              <w:rPr>
                <w:rFonts w:ascii="Calibri" w:eastAsia="Times New Roman" w:hAnsi="Calibri" w:cs="Times New Roman"/>
                <w:color w:val="000000"/>
                <w:sz w:val="16"/>
                <w:szCs w:val="16"/>
              </w:rPr>
            </w:pPr>
          </w:p>
        </w:tc>
        <w:tc>
          <w:tcPr>
            <w:tcW w:w="1000" w:type="dxa"/>
            <w:tcBorders>
              <w:top w:val="nil"/>
              <w:left w:val="nil"/>
              <w:bottom w:val="nil"/>
              <w:right w:val="nil"/>
            </w:tcBorders>
            <w:shd w:val="clear" w:color="auto" w:fill="auto"/>
            <w:noWrap/>
            <w:vAlign w:val="bottom"/>
            <w:hideMark/>
          </w:tcPr>
          <w:p w14:paraId="5549E0D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209.4</w:t>
            </w:r>
          </w:p>
        </w:tc>
      </w:tr>
      <w:tr w:rsidR="00F26016" w:rsidRPr="00F26016" w14:paraId="7147545E" w14:textId="77777777" w:rsidTr="00F26016">
        <w:trPr>
          <w:trHeight w:val="300"/>
        </w:trPr>
        <w:tc>
          <w:tcPr>
            <w:tcW w:w="1140" w:type="dxa"/>
            <w:tcBorders>
              <w:top w:val="nil"/>
              <w:left w:val="nil"/>
              <w:bottom w:val="nil"/>
              <w:right w:val="nil"/>
            </w:tcBorders>
            <w:shd w:val="clear" w:color="auto" w:fill="auto"/>
            <w:noWrap/>
            <w:hideMark/>
          </w:tcPr>
          <w:p w14:paraId="710C3D3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w:t>
            </w:r>
          </w:p>
        </w:tc>
        <w:tc>
          <w:tcPr>
            <w:tcW w:w="1200" w:type="dxa"/>
            <w:tcBorders>
              <w:top w:val="nil"/>
              <w:left w:val="nil"/>
              <w:bottom w:val="nil"/>
              <w:right w:val="nil"/>
            </w:tcBorders>
            <w:shd w:val="clear" w:color="auto" w:fill="auto"/>
            <w:noWrap/>
            <w:hideMark/>
          </w:tcPr>
          <w:p w14:paraId="7D964DA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0A2E3A0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2A747B6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51AEF0F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3F5FFA3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600E134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1707413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0C5DEFC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w:t>
            </w:r>
          </w:p>
        </w:tc>
        <w:tc>
          <w:tcPr>
            <w:tcW w:w="920" w:type="dxa"/>
            <w:tcBorders>
              <w:top w:val="nil"/>
              <w:left w:val="nil"/>
              <w:bottom w:val="nil"/>
              <w:right w:val="nil"/>
            </w:tcBorders>
            <w:shd w:val="clear" w:color="auto" w:fill="auto"/>
            <w:noWrap/>
            <w:vAlign w:val="bottom"/>
            <w:hideMark/>
          </w:tcPr>
          <w:p w14:paraId="0AC4E82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33.1</w:t>
            </w:r>
          </w:p>
        </w:tc>
        <w:tc>
          <w:tcPr>
            <w:tcW w:w="741" w:type="dxa"/>
            <w:tcBorders>
              <w:top w:val="nil"/>
              <w:left w:val="nil"/>
              <w:bottom w:val="nil"/>
              <w:right w:val="nil"/>
            </w:tcBorders>
            <w:shd w:val="clear" w:color="auto" w:fill="auto"/>
            <w:noWrap/>
            <w:vAlign w:val="bottom"/>
            <w:hideMark/>
          </w:tcPr>
          <w:p w14:paraId="3F0C17B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8.6</w:t>
            </w:r>
          </w:p>
        </w:tc>
        <w:tc>
          <w:tcPr>
            <w:tcW w:w="785" w:type="dxa"/>
            <w:tcBorders>
              <w:top w:val="nil"/>
              <w:left w:val="nil"/>
              <w:bottom w:val="nil"/>
              <w:right w:val="nil"/>
            </w:tcBorders>
            <w:shd w:val="clear" w:color="auto" w:fill="auto"/>
            <w:noWrap/>
            <w:vAlign w:val="bottom"/>
            <w:hideMark/>
          </w:tcPr>
          <w:p w14:paraId="4DF6634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23.2</w:t>
            </w:r>
          </w:p>
        </w:tc>
        <w:tc>
          <w:tcPr>
            <w:tcW w:w="732" w:type="dxa"/>
            <w:tcBorders>
              <w:top w:val="nil"/>
              <w:left w:val="nil"/>
              <w:bottom w:val="nil"/>
              <w:right w:val="nil"/>
            </w:tcBorders>
            <w:shd w:val="clear" w:color="auto" w:fill="auto"/>
            <w:noWrap/>
            <w:vAlign w:val="bottom"/>
            <w:hideMark/>
          </w:tcPr>
          <w:p w14:paraId="004B838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106.0</w:t>
            </w:r>
          </w:p>
        </w:tc>
        <w:tc>
          <w:tcPr>
            <w:tcW w:w="860" w:type="dxa"/>
            <w:tcBorders>
              <w:top w:val="nil"/>
              <w:left w:val="nil"/>
              <w:bottom w:val="nil"/>
              <w:right w:val="nil"/>
            </w:tcBorders>
            <w:shd w:val="clear" w:color="auto" w:fill="auto"/>
            <w:noWrap/>
            <w:vAlign w:val="bottom"/>
            <w:hideMark/>
          </w:tcPr>
          <w:p w14:paraId="6C0242C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41.4</w:t>
            </w:r>
          </w:p>
        </w:tc>
        <w:tc>
          <w:tcPr>
            <w:tcW w:w="960" w:type="dxa"/>
            <w:tcBorders>
              <w:top w:val="nil"/>
              <w:left w:val="nil"/>
              <w:bottom w:val="nil"/>
              <w:right w:val="nil"/>
            </w:tcBorders>
            <w:shd w:val="clear" w:color="auto" w:fill="auto"/>
            <w:noWrap/>
            <w:vAlign w:val="bottom"/>
            <w:hideMark/>
          </w:tcPr>
          <w:p w14:paraId="2DC90A5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21.1</w:t>
            </w:r>
          </w:p>
        </w:tc>
        <w:tc>
          <w:tcPr>
            <w:tcW w:w="689" w:type="dxa"/>
            <w:tcBorders>
              <w:top w:val="nil"/>
              <w:left w:val="nil"/>
              <w:bottom w:val="nil"/>
              <w:right w:val="nil"/>
            </w:tcBorders>
            <w:shd w:val="clear" w:color="auto" w:fill="auto"/>
            <w:noWrap/>
            <w:vAlign w:val="bottom"/>
            <w:hideMark/>
          </w:tcPr>
          <w:p w14:paraId="149D798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196.6</w:t>
            </w:r>
          </w:p>
        </w:tc>
        <w:tc>
          <w:tcPr>
            <w:tcW w:w="1000" w:type="dxa"/>
            <w:tcBorders>
              <w:top w:val="nil"/>
              <w:left w:val="nil"/>
              <w:bottom w:val="nil"/>
              <w:right w:val="nil"/>
            </w:tcBorders>
            <w:shd w:val="clear" w:color="auto" w:fill="auto"/>
            <w:noWrap/>
            <w:vAlign w:val="bottom"/>
            <w:hideMark/>
          </w:tcPr>
          <w:p w14:paraId="784B068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132.9</w:t>
            </w:r>
          </w:p>
        </w:tc>
      </w:tr>
      <w:tr w:rsidR="00F26016" w:rsidRPr="00F26016" w14:paraId="1A9618D7" w14:textId="77777777" w:rsidTr="00F26016">
        <w:trPr>
          <w:trHeight w:val="300"/>
        </w:trPr>
        <w:tc>
          <w:tcPr>
            <w:tcW w:w="1140" w:type="dxa"/>
            <w:tcBorders>
              <w:top w:val="nil"/>
              <w:left w:val="nil"/>
              <w:bottom w:val="nil"/>
              <w:right w:val="nil"/>
            </w:tcBorders>
            <w:shd w:val="clear" w:color="auto" w:fill="auto"/>
            <w:noWrap/>
            <w:hideMark/>
          </w:tcPr>
          <w:p w14:paraId="587C91C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w:t>
            </w:r>
          </w:p>
        </w:tc>
        <w:tc>
          <w:tcPr>
            <w:tcW w:w="1200" w:type="dxa"/>
            <w:tcBorders>
              <w:top w:val="nil"/>
              <w:left w:val="nil"/>
              <w:bottom w:val="nil"/>
              <w:right w:val="nil"/>
            </w:tcBorders>
            <w:shd w:val="clear" w:color="auto" w:fill="auto"/>
            <w:noWrap/>
            <w:hideMark/>
          </w:tcPr>
          <w:p w14:paraId="3DF28F3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1D6BE7E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4FAB422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7814F04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5653FE5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6F51EC6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34E73B9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25E588E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59.1</w:t>
            </w:r>
          </w:p>
        </w:tc>
        <w:tc>
          <w:tcPr>
            <w:tcW w:w="920" w:type="dxa"/>
            <w:tcBorders>
              <w:top w:val="nil"/>
              <w:left w:val="nil"/>
              <w:bottom w:val="nil"/>
              <w:right w:val="nil"/>
            </w:tcBorders>
            <w:shd w:val="clear" w:color="auto" w:fill="auto"/>
            <w:noWrap/>
            <w:vAlign w:val="bottom"/>
            <w:hideMark/>
          </w:tcPr>
          <w:p w14:paraId="71C14A6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114.4</w:t>
            </w:r>
          </w:p>
        </w:tc>
        <w:tc>
          <w:tcPr>
            <w:tcW w:w="741" w:type="dxa"/>
            <w:tcBorders>
              <w:top w:val="nil"/>
              <w:left w:val="nil"/>
              <w:bottom w:val="nil"/>
              <w:right w:val="nil"/>
            </w:tcBorders>
            <w:shd w:val="clear" w:color="auto" w:fill="auto"/>
            <w:noWrap/>
            <w:vAlign w:val="bottom"/>
            <w:hideMark/>
          </w:tcPr>
          <w:p w14:paraId="1F5108E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217.4</w:t>
            </w:r>
          </w:p>
        </w:tc>
        <w:tc>
          <w:tcPr>
            <w:tcW w:w="785" w:type="dxa"/>
            <w:tcBorders>
              <w:top w:val="nil"/>
              <w:left w:val="nil"/>
              <w:bottom w:val="nil"/>
              <w:right w:val="nil"/>
            </w:tcBorders>
            <w:shd w:val="clear" w:color="auto" w:fill="auto"/>
            <w:noWrap/>
            <w:vAlign w:val="bottom"/>
            <w:hideMark/>
          </w:tcPr>
          <w:p w14:paraId="02CF162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118.2</w:t>
            </w:r>
          </w:p>
        </w:tc>
        <w:tc>
          <w:tcPr>
            <w:tcW w:w="732" w:type="dxa"/>
            <w:tcBorders>
              <w:top w:val="nil"/>
              <w:left w:val="nil"/>
              <w:bottom w:val="nil"/>
              <w:right w:val="nil"/>
            </w:tcBorders>
            <w:shd w:val="clear" w:color="auto" w:fill="auto"/>
            <w:noWrap/>
            <w:vAlign w:val="bottom"/>
            <w:hideMark/>
          </w:tcPr>
          <w:p w14:paraId="5D92A62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185.5</w:t>
            </w:r>
          </w:p>
        </w:tc>
        <w:tc>
          <w:tcPr>
            <w:tcW w:w="860" w:type="dxa"/>
            <w:tcBorders>
              <w:top w:val="nil"/>
              <w:left w:val="nil"/>
              <w:bottom w:val="nil"/>
              <w:right w:val="nil"/>
            </w:tcBorders>
            <w:shd w:val="clear" w:color="auto" w:fill="auto"/>
            <w:noWrap/>
            <w:vAlign w:val="bottom"/>
            <w:hideMark/>
          </w:tcPr>
          <w:p w14:paraId="5DFCC59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255.6</w:t>
            </w:r>
          </w:p>
        </w:tc>
        <w:tc>
          <w:tcPr>
            <w:tcW w:w="960" w:type="dxa"/>
            <w:tcBorders>
              <w:top w:val="nil"/>
              <w:left w:val="nil"/>
              <w:bottom w:val="nil"/>
              <w:right w:val="nil"/>
            </w:tcBorders>
            <w:shd w:val="clear" w:color="auto" w:fill="auto"/>
            <w:noWrap/>
            <w:vAlign w:val="bottom"/>
            <w:hideMark/>
          </w:tcPr>
          <w:p w14:paraId="45341A4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124.6</w:t>
            </w:r>
          </w:p>
        </w:tc>
        <w:tc>
          <w:tcPr>
            <w:tcW w:w="689" w:type="dxa"/>
            <w:tcBorders>
              <w:top w:val="nil"/>
              <w:left w:val="nil"/>
              <w:bottom w:val="nil"/>
              <w:right w:val="nil"/>
            </w:tcBorders>
            <w:shd w:val="clear" w:color="auto" w:fill="auto"/>
            <w:noWrap/>
            <w:vAlign w:val="bottom"/>
            <w:hideMark/>
          </w:tcPr>
          <w:p w14:paraId="7AE0DE0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18.3</w:t>
            </w:r>
          </w:p>
        </w:tc>
        <w:tc>
          <w:tcPr>
            <w:tcW w:w="1000" w:type="dxa"/>
            <w:tcBorders>
              <w:top w:val="nil"/>
              <w:left w:val="nil"/>
              <w:bottom w:val="nil"/>
              <w:right w:val="nil"/>
            </w:tcBorders>
            <w:shd w:val="clear" w:color="auto" w:fill="auto"/>
            <w:noWrap/>
            <w:vAlign w:val="bottom"/>
            <w:hideMark/>
          </w:tcPr>
          <w:p w14:paraId="1FB269E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123.3</w:t>
            </w:r>
          </w:p>
        </w:tc>
      </w:tr>
      <w:tr w:rsidR="00F26016" w:rsidRPr="00F26016" w14:paraId="39E02F70" w14:textId="77777777" w:rsidTr="00F26016">
        <w:trPr>
          <w:trHeight w:val="300"/>
        </w:trPr>
        <w:tc>
          <w:tcPr>
            <w:tcW w:w="1140" w:type="dxa"/>
            <w:tcBorders>
              <w:top w:val="nil"/>
              <w:left w:val="nil"/>
              <w:bottom w:val="nil"/>
              <w:right w:val="nil"/>
            </w:tcBorders>
            <w:shd w:val="clear" w:color="auto" w:fill="auto"/>
            <w:noWrap/>
            <w:hideMark/>
          </w:tcPr>
          <w:p w14:paraId="0B43B9F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w:t>
            </w:r>
          </w:p>
        </w:tc>
        <w:tc>
          <w:tcPr>
            <w:tcW w:w="1200" w:type="dxa"/>
            <w:tcBorders>
              <w:top w:val="nil"/>
              <w:left w:val="nil"/>
              <w:bottom w:val="nil"/>
              <w:right w:val="nil"/>
            </w:tcBorders>
            <w:shd w:val="clear" w:color="auto" w:fill="auto"/>
            <w:noWrap/>
            <w:hideMark/>
          </w:tcPr>
          <w:p w14:paraId="4042D62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5F1DAB2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103C822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7C5959A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0AD1F6F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33FC800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78C96B8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622E2C9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53.9</w:t>
            </w:r>
          </w:p>
        </w:tc>
        <w:tc>
          <w:tcPr>
            <w:tcW w:w="920" w:type="dxa"/>
            <w:tcBorders>
              <w:top w:val="nil"/>
              <w:left w:val="nil"/>
              <w:bottom w:val="nil"/>
              <w:right w:val="nil"/>
            </w:tcBorders>
            <w:shd w:val="clear" w:color="auto" w:fill="auto"/>
            <w:noWrap/>
            <w:vAlign w:val="bottom"/>
            <w:hideMark/>
          </w:tcPr>
          <w:p w14:paraId="2070CED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11.1</w:t>
            </w:r>
          </w:p>
        </w:tc>
        <w:tc>
          <w:tcPr>
            <w:tcW w:w="741" w:type="dxa"/>
            <w:tcBorders>
              <w:top w:val="nil"/>
              <w:left w:val="nil"/>
              <w:bottom w:val="nil"/>
              <w:right w:val="nil"/>
            </w:tcBorders>
            <w:shd w:val="clear" w:color="auto" w:fill="auto"/>
            <w:noWrap/>
            <w:vAlign w:val="bottom"/>
            <w:hideMark/>
          </w:tcPr>
          <w:p w14:paraId="22BC7E0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33.3</w:t>
            </w:r>
          </w:p>
        </w:tc>
        <w:tc>
          <w:tcPr>
            <w:tcW w:w="785" w:type="dxa"/>
            <w:tcBorders>
              <w:top w:val="nil"/>
              <w:left w:val="nil"/>
              <w:bottom w:val="nil"/>
              <w:right w:val="nil"/>
            </w:tcBorders>
            <w:shd w:val="clear" w:color="auto" w:fill="auto"/>
            <w:noWrap/>
            <w:vAlign w:val="bottom"/>
            <w:hideMark/>
          </w:tcPr>
          <w:p w14:paraId="343B9D8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23.0</w:t>
            </w:r>
          </w:p>
        </w:tc>
        <w:tc>
          <w:tcPr>
            <w:tcW w:w="732" w:type="dxa"/>
            <w:tcBorders>
              <w:top w:val="nil"/>
              <w:left w:val="nil"/>
              <w:bottom w:val="nil"/>
              <w:right w:val="nil"/>
            </w:tcBorders>
            <w:shd w:val="clear" w:color="auto" w:fill="auto"/>
            <w:noWrap/>
            <w:vAlign w:val="bottom"/>
            <w:hideMark/>
          </w:tcPr>
          <w:p w14:paraId="6E17D6E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247.0</w:t>
            </w:r>
          </w:p>
        </w:tc>
        <w:tc>
          <w:tcPr>
            <w:tcW w:w="860" w:type="dxa"/>
            <w:tcBorders>
              <w:top w:val="nil"/>
              <w:left w:val="nil"/>
              <w:bottom w:val="nil"/>
              <w:right w:val="nil"/>
            </w:tcBorders>
            <w:shd w:val="clear" w:color="auto" w:fill="auto"/>
            <w:noWrap/>
            <w:vAlign w:val="bottom"/>
            <w:hideMark/>
          </w:tcPr>
          <w:p w14:paraId="239B597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31.9</w:t>
            </w:r>
          </w:p>
        </w:tc>
        <w:tc>
          <w:tcPr>
            <w:tcW w:w="960" w:type="dxa"/>
            <w:tcBorders>
              <w:top w:val="nil"/>
              <w:left w:val="nil"/>
              <w:bottom w:val="nil"/>
              <w:right w:val="nil"/>
            </w:tcBorders>
            <w:shd w:val="clear" w:color="auto" w:fill="auto"/>
            <w:noWrap/>
            <w:vAlign w:val="bottom"/>
            <w:hideMark/>
          </w:tcPr>
          <w:p w14:paraId="19C4217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70.5</w:t>
            </w:r>
          </w:p>
        </w:tc>
        <w:tc>
          <w:tcPr>
            <w:tcW w:w="689" w:type="dxa"/>
            <w:tcBorders>
              <w:top w:val="nil"/>
              <w:left w:val="nil"/>
              <w:bottom w:val="nil"/>
              <w:right w:val="nil"/>
            </w:tcBorders>
            <w:shd w:val="clear" w:color="auto" w:fill="auto"/>
            <w:noWrap/>
            <w:vAlign w:val="bottom"/>
            <w:hideMark/>
          </w:tcPr>
          <w:p w14:paraId="1443C58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8.7</w:t>
            </w:r>
          </w:p>
        </w:tc>
        <w:tc>
          <w:tcPr>
            <w:tcW w:w="1000" w:type="dxa"/>
            <w:tcBorders>
              <w:top w:val="nil"/>
              <w:left w:val="nil"/>
              <w:bottom w:val="nil"/>
              <w:right w:val="nil"/>
            </w:tcBorders>
            <w:shd w:val="clear" w:color="auto" w:fill="auto"/>
            <w:noWrap/>
            <w:vAlign w:val="bottom"/>
            <w:hideMark/>
          </w:tcPr>
          <w:p w14:paraId="06FD2E2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206.7</w:t>
            </w:r>
          </w:p>
        </w:tc>
      </w:tr>
      <w:tr w:rsidR="00F26016" w:rsidRPr="00F26016" w14:paraId="3F4296DB" w14:textId="77777777" w:rsidTr="00F26016">
        <w:trPr>
          <w:trHeight w:val="300"/>
        </w:trPr>
        <w:tc>
          <w:tcPr>
            <w:tcW w:w="1140" w:type="dxa"/>
            <w:tcBorders>
              <w:top w:val="nil"/>
              <w:left w:val="nil"/>
              <w:bottom w:val="nil"/>
              <w:right w:val="nil"/>
            </w:tcBorders>
            <w:shd w:val="clear" w:color="auto" w:fill="auto"/>
            <w:noWrap/>
            <w:hideMark/>
          </w:tcPr>
          <w:p w14:paraId="6888A80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w:t>
            </w:r>
          </w:p>
        </w:tc>
        <w:tc>
          <w:tcPr>
            <w:tcW w:w="1200" w:type="dxa"/>
            <w:tcBorders>
              <w:top w:val="nil"/>
              <w:left w:val="nil"/>
              <w:bottom w:val="nil"/>
              <w:right w:val="nil"/>
            </w:tcBorders>
            <w:shd w:val="clear" w:color="auto" w:fill="auto"/>
            <w:noWrap/>
            <w:hideMark/>
          </w:tcPr>
          <w:p w14:paraId="5DA364F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60664A8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4F46DAB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6C42647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4A161BD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4D3656C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38ABE41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3559168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5.7</w:t>
            </w:r>
          </w:p>
        </w:tc>
        <w:tc>
          <w:tcPr>
            <w:tcW w:w="920" w:type="dxa"/>
            <w:tcBorders>
              <w:top w:val="nil"/>
              <w:left w:val="nil"/>
              <w:bottom w:val="nil"/>
              <w:right w:val="nil"/>
            </w:tcBorders>
            <w:shd w:val="clear" w:color="auto" w:fill="auto"/>
            <w:noWrap/>
            <w:vAlign w:val="bottom"/>
            <w:hideMark/>
          </w:tcPr>
          <w:p w14:paraId="35C0FA6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26.5</w:t>
            </w:r>
          </w:p>
        </w:tc>
        <w:tc>
          <w:tcPr>
            <w:tcW w:w="741" w:type="dxa"/>
            <w:tcBorders>
              <w:top w:val="nil"/>
              <w:left w:val="nil"/>
              <w:bottom w:val="nil"/>
              <w:right w:val="nil"/>
            </w:tcBorders>
            <w:shd w:val="clear" w:color="auto" w:fill="auto"/>
            <w:noWrap/>
            <w:vAlign w:val="bottom"/>
            <w:hideMark/>
          </w:tcPr>
          <w:p w14:paraId="4753FDD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w:t>
            </w:r>
          </w:p>
        </w:tc>
        <w:tc>
          <w:tcPr>
            <w:tcW w:w="785" w:type="dxa"/>
            <w:tcBorders>
              <w:top w:val="nil"/>
              <w:left w:val="nil"/>
              <w:bottom w:val="nil"/>
              <w:right w:val="nil"/>
            </w:tcBorders>
            <w:shd w:val="clear" w:color="auto" w:fill="auto"/>
            <w:noWrap/>
            <w:vAlign w:val="bottom"/>
            <w:hideMark/>
          </w:tcPr>
          <w:p w14:paraId="7C3DFD9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16.3</w:t>
            </w:r>
          </w:p>
        </w:tc>
        <w:tc>
          <w:tcPr>
            <w:tcW w:w="732" w:type="dxa"/>
            <w:tcBorders>
              <w:top w:val="nil"/>
              <w:left w:val="nil"/>
              <w:bottom w:val="nil"/>
              <w:right w:val="nil"/>
            </w:tcBorders>
            <w:shd w:val="clear" w:color="auto" w:fill="auto"/>
            <w:noWrap/>
            <w:vAlign w:val="bottom"/>
            <w:hideMark/>
          </w:tcPr>
          <w:p w14:paraId="7135830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93.2</w:t>
            </w:r>
          </w:p>
        </w:tc>
        <w:tc>
          <w:tcPr>
            <w:tcW w:w="860" w:type="dxa"/>
            <w:tcBorders>
              <w:top w:val="nil"/>
              <w:left w:val="nil"/>
              <w:bottom w:val="nil"/>
              <w:right w:val="nil"/>
            </w:tcBorders>
            <w:shd w:val="clear" w:color="auto" w:fill="auto"/>
            <w:noWrap/>
            <w:vAlign w:val="bottom"/>
            <w:hideMark/>
          </w:tcPr>
          <w:p w14:paraId="2CF1B92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47.1</w:t>
            </w:r>
          </w:p>
        </w:tc>
        <w:tc>
          <w:tcPr>
            <w:tcW w:w="960" w:type="dxa"/>
            <w:tcBorders>
              <w:top w:val="nil"/>
              <w:left w:val="nil"/>
              <w:bottom w:val="nil"/>
              <w:right w:val="nil"/>
            </w:tcBorders>
            <w:shd w:val="clear" w:color="auto" w:fill="auto"/>
            <w:noWrap/>
            <w:vAlign w:val="bottom"/>
            <w:hideMark/>
          </w:tcPr>
          <w:p w14:paraId="5058095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22.8</w:t>
            </w:r>
          </w:p>
        </w:tc>
        <w:tc>
          <w:tcPr>
            <w:tcW w:w="689" w:type="dxa"/>
            <w:tcBorders>
              <w:top w:val="nil"/>
              <w:left w:val="nil"/>
              <w:bottom w:val="nil"/>
              <w:right w:val="nil"/>
            </w:tcBorders>
            <w:shd w:val="clear" w:color="auto" w:fill="auto"/>
            <w:noWrap/>
            <w:vAlign w:val="bottom"/>
            <w:hideMark/>
          </w:tcPr>
          <w:p w14:paraId="5C6C47F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57.7</w:t>
            </w:r>
          </w:p>
        </w:tc>
        <w:tc>
          <w:tcPr>
            <w:tcW w:w="1000" w:type="dxa"/>
            <w:tcBorders>
              <w:top w:val="nil"/>
              <w:left w:val="nil"/>
              <w:bottom w:val="nil"/>
              <w:right w:val="nil"/>
            </w:tcBorders>
            <w:shd w:val="clear" w:color="auto" w:fill="auto"/>
            <w:noWrap/>
            <w:vAlign w:val="bottom"/>
            <w:hideMark/>
          </w:tcPr>
          <w:p w14:paraId="4110DED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147.6</w:t>
            </w:r>
          </w:p>
        </w:tc>
      </w:tr>
      <w:tr w:rsidR="00F26016" w:rsidRPr="00F26016" w14:paraId="4360220E" w14:textId="77777777" w:rsidTr="00F26016">
        <w:trPr>
          <w:trHeight w:val="300"/>
        </w:trPr>
        <w:tc>
          <w:tcPr>
            <w:tcW w:w="1140" w:type="dxa"/>
            <w:tcBorders>
              <w:top w:val="nil"/>
              <w:left w:val="nil"/>
              <w:bottom w:val="nil"/>
              <w:right w:val="nil"/>
            </w:tcBorders>
            <w:shd w:val="clear" w:color="auto" w:fill="auto"/>
            <w:noWrap/>
            <w:hideMark/>
          </w:tcPr>
          <w:p w14:paraId="78A22FD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w:t>
            </w:r>
          </w:p>
        </w:tc>
        <w:tc>
          <w:tcPr>
            <w:tcW w:w="1200" w:type="dxa"/>
            <w:tcBorders>
              <w:top w:val="nil"/>
              <w:left w:val="nil"/>
              <w:bottom w:val="nil"/>
              <w:right w:val="nil"/>
            </w:tcBorders>
            <w:shd w:val="clear" w:color="auto" w:fill="auto"/>
            <w:noWrap/>
            <w:hideMark/>
          </w:tcPr>
          <w:p w14:paraId="0112349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3278EE8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6464AC0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05288A3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7F4AE69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777C6EA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7BAD704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47BA3B6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48.0</w:t>
            </w:r>
          </w:p>
        </w:tc>
        <w:tc>
          <w:tcPr>
            <w:tcW w:w="920" w:type="dxa"/>
            <w:tcBorders>
              <w:top w:val="nil"/>
              <w:left w:val="nil"/>
              <w:bottom w:val="nil"/>
              <w:right w:val="nil"/>
            </w:tcBorders>
            <w:shd w:val="clear" w:color="auto" w:fill="auto"/>
            <w:noWrap/>
            <w:vAlign w:val="bottom"/>
            <w:hideMark/>
          </w:tcPr>
          <w:p w14:paraId="4E84A00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93.4</w:t>
            </w:r>
          </w:p>
        </w:tc>
        <w:tc>
          <w:tcPr>
            <w:tcW w:w="741" w:type="dxa"/>
            <w:tcBorders>
              <w:top w:val="nil"/>
              <w:left w:val="nil"/>
              <w:bottom w:val="nil"/>
              <w:right w:val="nil"/>
            </w:tcBorders>
            <w:shd w:val="clear" w:color="auto" w:fill="auto"/>
            <w:noWrap/>
            <w:vAlign w:val="bottom"/>
            <w:hideMark/>
          </w:tcPr>
          <w:p w14:paraId="50FBF15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189.3</w:t>
            </w:r>
          </w:p>
        </w:tc>
        <w:tc>
          <w:tcPr>
            <w:tcW w:w="785" w:type="dxa"/>
            <w:tcBorders>
              <w:top w:val="nil"/>
              <w:left w:val="nil"/>
              <w:bottom w:val="nil"/>
              <w:right w:val="nil"/>
            </w:tcBorders>
            <w:shd w:val="clear" w:color="auto" w:fill="auto"/>
            <w:noWrap/>
            <w:vAlign w:val="bottom"/>
            <w:hideMark/>
          </w:tcPr>
          <w:p w14:paraId="6C65F39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143.6</w:t>
            </w:r>
          </w:p>
        </w:tc>
        <w:tc>
          <w:tcPr>
            <w:tcW w:w="732" w:type="dxa"/>
            <w:tcBorders>
              <w:top w:val="nil"/>
              <w:left w:val="nil"/>
              <w:bottom w:val="nil"/>
              <w:right w:val="nil"/>
            </w:tcBorders>
            <w:shd w:val="clear" w:color="auto" w:fill="auto"/>
            <w:noWrap/>
            <w:vAlign w:val="bottom"/>
            <w:hideMark/>
          </w:tcPr>
          <w:p w14:paraId="1E3FAE8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118.8</w:t>
            </w:r>
          </w:p>
        </w:tc>
        <w:tc>
          <w:tcPr>
            <w:tcW w:w="860" w:type="dxa"/>
            <w:tcBorders>
              <w:top w:val="nil"/>
              <w:left w:val="nil"/>
              <w:bottom w:val="nil"/>
              <w:right w:val="nil"/>
            </w:tcBorders>
            <w:shd w:val="clear" w:color="auto" w:fill="auto"/>
            <w:noWrap/>
            <w:vAlign w:val="bottom"/>
            <w:hideMark/>
          </w:tcPr>
          <w:p w14:paraId="0C17E28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200.7</w:t>
            </w:r>
          </w:p>
        </w:tc>
        <w:tc>
          <w:tcPr>
            <w:tcW w:w="960" w:type="dxa"/>
            <w:tcBorders>
              <w:top w:val="nil"/>
              <w:left w:val="nil"/>
              <w:bottom w:val="nil"/>
              <w:right w:val="nil"/>
            </w:tcBorders>
            <w:shd w:val="clear" w:color="auto" w:fill="auto"/>
            <w:noWrap/>
            <w:vAlign w:val="bottom"/>
            <w:hideMark/>
          </w:tcPr>
          <w:p w14:paraId="0B5A8C0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167.5</w:t>
            </w:r>
          </w:p>
        </w:tc>
        <w:tc>
          <w:tcPr>
            <w:tcW w:w="689" w:type="dxa"/>
            <w:tcBorders>
              <w:top w:val="nil"/>
              <w:left w:val="nil"/>
              <w:bottom w:val="nil"/>
              <w:right w:val="nil"/>
            </w:tcBorders>
            <w:shd w:val="clear" w:color="auto" w:fill="auto"/>
            <w:noWrap/>
            <w:vAlign w:val="bottom"/>
            <w:hideMark/>
          </w:tcPr>
          <w:p w14:paraId="2BBA650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62.0</w:t>
            </w:r>
          </w:p>
        </w:tc>
        <w:tc>
          <w:tcPr>
            <w:tcW w:w="1000" w:type="dxa"/>
            <w:tcBorders>
              <w:top w:val="nil"/>
              <w:left w:val="nil"/>
              <w:bottom w:val="nil"/>
              <w:right w:val="nil"/>
            </w:tcBorders>
            <w:shd w:val="clear" w:color="auto" w:fill="auto"/>
            <w:noWrap/>
            <w:vAlign w:val="bottom"/>
            <w:hideMark/>
          </w:tcPr>
          <w:p w14:paraId="28C25C6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114.9</w:t>
            </w:r>
          </w:p>
        </w:tc>
      </w:tr>
      <w:tr w:rsidR="00F26016" w:rsidRPr="00F26016" w14:paraId="4D90E097" w14:textId="77777777" w:rsidTr="00F26016">
        <w:trPr>
          <w:trHeight w:val="300"/>
        </w:trPr>
        <w:tc>
          <w:tcPr>
            <w:tcW w:w="1140" w:type="dxa"/>
            <w:tcBorders>
              <w:top w:val="nil"/>
              <w:left w:val="nil"/>
              <w:bottom w:val="nil"/>
              <w:right w:val="nil"/>
            </w:tcBorders>
            <w:shd w:val="clear" w:color="auto" w:fill="auto"/>
            <w:noWrap/>
            <w:hideMark/>
          </w:tcPr>
          <w:p w14:paraId="5A073AD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w:t>
            </w:r>
          </w:p>
        </w:tc>
        <w:tc>
          <w:tcPr>
            <w:tcW w:w="1200" w:type="dxa"/>
            <w:tcBorders>
              <w:top w:val="nil"/>
              <w:left w:val="nil"/>
              <w:bottom w:val="nil"/>
              <w:right w:val="nil"/>
            </w:tcBorders>
            <w:shd w:val="clear" w:color="auto" w:fill="auto"/>
            <w:noWrap/>
            <w:hideMark/>
          </w:tcPr>
          <w:p w14:paraId="626A30E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1EE43C4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34EA635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1EF2B74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606D3BF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59A2362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3F04D56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377AC83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66.3</w:t>
            </w:r>
          </w:p>
        </w:tc>
        <w:tc>
          <w:tcPr>
            <w:tcW w:w="920" w:type="dxa"/>
            <w:tcBorders>
              <w:top w:val="nil"/>
              <w:left w:val="nil"/>
              <w:bottom w:val="nil"/>
              <w:right w:val="nil"/>
            </w:tcBorders>
            <w:shd w:val="clear" w:color="auto" w:fill="auto"/>
            <w:noWrap/>
            <w:vAlign w:val="bottom"/>
            <w:hideMark/>
          </w:tcPr>
          <w:p w14:paraId="7C5F1DD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12.3</w:t>
            </w:r>
          </w:p>
        </w:tc>
        <w:tc>
          <w:tcPr>
            <w:tcW w:w="741" w:type="dxa"/>
            <w:tcBorders>
              <w:top w:val="nil"/>
              <w:left w:val="nil"/>
              <w:bottom w:val="nil"/>
              <w:right w:val="nil"/>
            </w:tcBorders>
            <w:shd w:val="clear" w:color="auto" w:fill="auto"/>
            <w:noWrap/>
            <w:vAlign w:val="bottom"/>
            <w:hideMark/>
          </w:tcPr>
          <w:p w14:paraId="6808049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35.2</w:t>
            </w:r>
          </w:p>
        </w:tc>
        <w:tc>
          <w:tcPr>
            <w:tcW w:w="785" w:type="dxa"/>
            <w:tcBorders>
              <w:top w:val="nil"/>
              <w:left w:val="nil"/>
              <w:bottom w:val="nil"/>
              <w:right w:val="nil"/>
            </w:tcBorders>
            <w:shd w:val="clear" w:color="auto" w:fill="auto"/>
            <w:noWrap/>
            <w:vAlign w:val="bottom"/>
            <w:hideMark/>
          </w:tcPr>
          <w:p w14:paraId="16A3EB2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42.5</w:t>
            </w:r>
          </w:p>
        </w:tc>
        <w:tc>
          <w:tcPr>
            <w:tcW w:w="732" w:type="dxa"/>
            <w:tcBorders>
              <w:top w:val="nil"/>
              <w:left w:val="nil"/>
              <w:bottom w:val="nil"/>
              <w:right w:val="nil"/>
            </w:tcBorders>
            <w:shd w:val="clear" w:color="auto" w:fill="auto"/>
            <w:noWrap/>
            <w:vAlign w:val="bottom"/>
            <w:hideMark/>
          </w:tcPr>
          <w:p w14:paraId="2980B45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249.5</w:t>
            </w:r>
          </w:p>
        </w:tc>
        <w:tc>
          <w:tcPr>
            <w:tcW w:w="860" w:type="dxa"/>
            <w:tcBorders>
              <w:top w:val="nil"/>
              <w:left w:val="nil"/>
              <w:bottom w:val="nil"/>
              <w:right w:val="nil"/>
            </w:tcBorders>
            <w:shd w:val="clear" w:color="auto" w:fill="auto"/>
            <w:noWrap/>
            <w:vAlign w:val="bottom"/>
            <w:hideMark/>
          </w:tcPr>
          <w:p w14:paraId="49928B6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57.5</w:t>
            </w:r>
          </w:p>
        </w:tc>
        <w:tc>
          <w:tcPr>
            <w:tcW w:w="960" w:type="dxa"/>
            <w:tcBorders>
              <w:top w:val="nil"/>
              <w:left w:val="nil"/>
              <w:bottom w:val="nil"/>
              <w:right w:val="nil"/>
            </w:tcBorders>
            <w:shd w:val="clear" w:color="auto" w:fill="auto"/>
            <w:noWrap/>
            <w:vAlign w:val="bottom"/>
            <w:hideMark/>
          </w:tcPr>
          <w:p w14:paraId="15F9B6B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59.5</w:t>
            </w:r>
          </w:p>
        </w:tc>
        <w:tc>
          <w:tcPr>
            <w:tcW w:w="689" w:type="dxa"/>
            <w:tcBorders>
              <w:top w:val="nil"/>
              <w:left w:val="nil"/>
              <w:bottom w:val="nil"/>
              <w:right w:val="nil"/>
            </w:tcBorders>
            <w:shd w:val="clear" w:color="auto" w:fill="auto"/>
            <w:noWrap/>
            <w:vAlign w:val="bottom"/>
            <w:hideMark/>
          </w:tcPr>
          <w:p w14:paraId="27E295D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15.8</w:t>
            </w:r>
          </w:p>
        </w:tc>
        <w:tc>
          <w:tcPr>
            <w:tcW w:w="1000" w:type="dxa"/>
            <w:tcBorders>
              <w:top w:val="nil"/>
              <w:left w:val="nil"/>
              <w:bottom w:val="nil"/>
              <w:right w:val="nil"/>
            </w:tcBorders>
            <w:shd w:val="clear" w:color="auto" w:fill="auto"/>
            <w:noWrap/>
            <w:vAlign w:val="bottom"/>
            <w:hideMark/>
          </w:tcPr>
          <w:p w14:paraId="3A9A53E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188.5</w:t>
            </w:r>
          </w:p>
        </w:tc>
      </w:tr>
      <w:tr w:rsidR="00F26016" w:rsidRPr="00F26016" w14:paraId="33841708" w14:textId="77777777" w:rsidTr="00F26016">
        <w:trPr>
          <w:trHeight w:val="300"/>
        </w:trPr>
        <w:tc>
          <w:tcPr>
            <w:tcW w:w="1140" w:type="dxa"/>
            <w:tcBorders>
              <w:top w:val="nil"/>
              <w:left w:val="nil"/>
              <w:bottom w:val="nil"/>
              <w:right w:val="nil"/>
            </w:tcBorders>
            <w:shd w:val="clear" w:color="auto" w:fill="auto"/>
            <w:noWrap/>
            <w:hideMark/>
          </w:tcPr>
          <w:p w14:paraId="4A04D26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w:t>
            </w:r>
          </w:p>
        </w:tc>
        <w:tc>
          <w:tcPr>
            <w:tcW w:w="1200" w:type="dxa"/>
            <w:tcBorders>
              <w:top w:val="nil"/>
              <w:left w:val="nil"/>
              <w:bottom w:val="nil"/>
              <w:right w:val="nil"/>
            </w:tcBorders>
            <w:shd w:val="clear" w:color="auto" w:fill="auto"/>
            <w:noWrap/>
            <w:hideMark/>
          </w:tcPr>
          <w:p w14:paraId="36079EB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5D5FC2C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3DBFCA9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01CB161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671A212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7077B27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3B07288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1CAB531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11.9</w:t>
            </w:r>
          </w:p>
        </w:tc>
        <w:tc>
          <w:tcPr>
            <w:tcW w:w="920" w:type="dxa"/>
            <w:tcBorders>
              <w:top w:val="nil"/>
              <w:left w:val="nil"/>
              <w:bottom w:val="nil"/>
              <w:right w:val="nil"/>
            </w:tcBorders>
            <w:shd w:val="clear" w:color="auto" w:fill="auto"/>
            <w:noWrap/>
            <w:vAlign w:val="bottom"/>
            <w:hideMark/>
          </w:tcPr>
          <w:p w14:paraId="73A0214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36.8</w:t>
            </w:r>
          </w:p>
        </w:tc>
        <w:tc>
          <w:tcPr>
            <w:tcW w:w="741" w:type="dxa"/>
            <w:tcBorders>
              <w:top w:val="nil"/>
              <w:left w:val="nil"/>
              <w:bottom w:val="nil"/>
              <w:right w:val="nil"/>
            </w:tcBorders>
            <w:shd w:val="clear" w:color="auto" w:fill="auto"/>
            <w:noWrap/>
            <w:vAlign w:val="bottom"/>
            <w:hideMark/>
          </w:tcPr>
          <w:p w14:paraId="61288A6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18.9</w:t>
            </w:r>
          </w:p>
        </w:tc>
        <w:tc>
          <w:tcPr>
            <w:tcW w:w="785" w:type="dxa"/>
            <w:tcBorders>
              <w:top w:val="nil"/>
              <w:left w:val="nil"/>
              <w:bottom w:val="nil"/>
              <w:right w:val="nil"/>
            </w:tcBorders>
            <w:shd w:val="clear" w:color="auto" w:fill="auto"/>
            <w:noWrap/>
            <w:vAlign w:val="bottom"/>
            <w:hideMark/>
          </w:tcPr>
          <w:p w14:paraId="6B52C93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52.5</w:t>
            </w:r>
          </w:p>
        </w:tc>
        <w:tc>
          <w:tcPr>
            <w:tcW w:w="732" w:type="dxa"/>
            <w:tcBorders>
              <w:top w:val="nil"/>
              <w:left w:val="nil"/>
              <w:bottom w:val="nil"/>
              <w:right w:val="nil"/>
            </w:tcBorders>
            <w:shd w:val="clear" w:color="auto" w:fill="auto"/>
            <w:noWrap/>
            <w:vAlign w:val="bottom"/>
            <w:hideMark/>
          </w:tcPr>
          <w:p w14:paraId="61FE327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65.9</w:t>
            </w:r>
          </w:p>
        </w:tc>
        <w:tc>
          <w:tcPr>
            <w:tcW w:w="860" w:type="dxa"/>
            <w:tcBorders>
              <w:top w:val="nil"/>
              <w:left w:val="nil"/>
              <w:bottom w:val="nil"/>
              <w:right w:val="nil"/>
            </w:tcBorders>
            <w:shd w:val="clear" w:color="auto" w:fill="auto"/>
            <w:noWrap/>
            <w:vAlign w:val="bottom"/>
            <w:hideMark/>
          </w:tcPr>
          <w:p w14:paraId="6FE3309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53.3</w:t>
            </w:r>
          </w:p>
        </w:tc>
        <w:tc>
          <w:tcPr>
            <w:tcW w:w="960" w:type="dxa"/>
            <w:tcBorders>
              <w:top w:val="nil"/>
              <w:left w:val="nil"/>
              <w:bottom w:val="nil"/>
              <w:right w:val="nil"/>
            </w:tcBorders>
            <w:shd w:val="clear" w:color="auto" w:fill="auto"/>
            <w:noWrap/>
            <w:vAlign w:val="bottom"/>
            <w:hideMark/>
          </w:tcPr>
          <w:p w14:paraId="79CBC22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27.9</w:t>
            </w:r>
          </w:p>
        </w:tc>
        <w:tc>
          <w:tcPr>
            <w:tcW w:w="689" w:type="dxa"/>
            <w:tcBorders>
              <w:top w:val="nil"/>
              <w:left w:val="nil"/>
              <w:bottom w:val="nil"/>
              <w:right w:val="nil"/>
            </w:tcBorders>
            <w:shd w:val="clear" w:color="auto" w:fill="auto"/>
            <w:noWrap/>
            <w:vAlign w:val="bottom"/>
            <w:hideMark/>
          </w:tcPr>
          <w:p w14:paraId="18E4667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29.7</w:t>
            </w:r>
          </w:p>
        </w:tc>
        <w:tc>
          <w:tcPr>
            <w:tcW w:w="1000" w:type="dxa"/>
            <w:tcBorders>
              <w:top w:val="nil"/>
              <w:left w:val="nil"/>
              <w:bottom w:val="nil"/>
              <w:right w:val="nil"/>
            </w:tcBorders>
            <w:shd w:val="clear" w:color="auto" w:fill="auto"/>
            <w:noWrap/>
            <w:vAlign w:val="bottom"/>
            <w:hideMark/>
          </w:tcPr>
          <w:p w14:paraId="0D3B359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137.8</w:t>
            </w:r>
          </w:p>
        </w:tc>
      </w:tr>
      <w:tr w:rsidR="00F26016" w:rsidRPr="00F26016" w14:paraId="53F6CBFA" w14:textId="77777777" w:rsidTr="00F26016">
        <w:trPr>
          <w:trHeight w:val="300"/>
        </w:trPr>
        <w:tc>
          <w:tcPr>
            <w:tcW w:w="1140" w:type="dxa"/>
            <w:tcBorders>
              <w:top w:val="nil"/>
              <w:left w:val="nil"/>
              <w:bottom w:val="nil"/>
              <w:right w:val="nil"/>
            </w:tcBorders>
            <w:shd w:val="clear" w:color="auto" w:fill="auto"/>
            <w:noWrap/>
            <w:hideMark/>
          </w:tcPr>
          <w:p w14:paraId="6D746FA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w:t>
            </w:r>
          </w:p>
        </w:tc>
        <w:tc>
          <w:tcPr>
            <w:tcW w:w="1200" w:type="dxa"/>
            <w:tcBorders>
              <w:top w:val="nil"/>
              <w:left w:val="nil"/>
              <w:bottom w:val="nil"/>
              <w:right w:val="nil"/>
            </w:tcBorders>
            <w:shd w:val="clear" w:color="auto" w:fill="auto"/>
            <w:noWrap/>
            <w:hideMark/>
          </w:tcPr>
          <w:p w14:paraId="26ED8E5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027ADD4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3E86AFD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501407B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2B7A0FE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04C1629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09EF375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392B805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43.0</w:t>
            </w:r>
          </w:p>
        </w:tc>
        <w:tc>
          <w:tcPr>
            <w:tcW w:w="920" w:type="dxa"/>
            <w:tcBorders>
              <w:top w:val="nil"/>
              <w:left w:val="nil"/>
              <w:bottom w:val="nil"/>
              <w:right w:val="nil"/>
            </w:tcBorders>
            <w:shd w:val="clear" w:color="auto" w:fill="auto"/>
            <w:noWrap/>
            <w:vAlign w:val="bottom"/>
            <w:hideMark/>
          </w:tcPr>
          <w:p w14:paraId="54E8559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110.7</w:t>
            </w:r>
          </w:p>
        </w:tc>
        <w:tc>
          <w:tcPr>
            <w:tcW w:w="741" w:type="dxa"/>
            <w:tcBorders>
              <w:top w:val="nil"/>
              <w:left w:val="nil"/>
              <w:bottom w:val="nil"/>
              <w:right w:val="nil"/>
            </w:tcBorders>
            <w:shd w:val="clear" w:color="auto" w:fill="auto"/>
            <w:noWrap/>
            <w:vAlign w:val="bottom"/>
            <w:hideMark/>
          </w:tcPr>
          <w:p w14:paraId="70293C1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218.8</w:t>
            </w:r>
          </w:p>
        </w:tc>
        <w:tc>
          <w:tcPr>
            <w:tcW w:w="785" w:type="dxa"/>
            <w:tcBorders>
              <w:top w:val="nil"/>
              <w:left w:val="nil"/>
              <w:bottom w:val="nil"/>
              <w:right w:val="nil"/>
            </w:tcBorders>
            <w:shd w:val="clear" w:color="auto" w:fill="auto"/>
            <w:noWrap/>
            <w:vAlign w:val="bottom"/>
            <w:hideMark/>
          </w:tcPr>
          <w:p w14:paraId="78F3AA0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144.4</w:t>
            </w:r>
          </w:p>
        </w:tc>
        <w:tc>
          <w:tcPr>
            <w:tcW w:w="732" w:type="dxa"/>
            <w:tcBorders>
              <w:top w:val="nil"/>
              <w:left w:val="nil"/>
              <w:bottom w:val="nil"/>
              <w:right w:val="nil"/>
            </w:tcBorders>
            <w:shd w:val="clear" w:color="auto" w:fill="auto"/>
            <w:noWrap/>
            <w:vAlign w:val="bottom"/>
            <w:hideMark/>
          </w:tcPr>
          <w:p w14:paraId="36CDCC3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w:t>
            </w:r>
          </w:p>
        </w:tc>
        <w:tc>
          <w:tcPr>
            <w:tcW w:w="860" w:type="dxa"/>
            <w:tcBorders>
              <w:top w:val="nil"/>
              <w:left w:val="nil"/>
              <w:bottom w:val="nil"/>
              <w:right w:val="nil"/>
            </w:tcBorders>
            <w:shd w:val="clear" w:color="auto" w:fill="auto"/>
            <w:noWrap/>
            <w:vAlign w:val="bottom"/>
            <w:hideMark/>
          </w:tcPr>
          <w:p w14:paraId="1021455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154.1</w:t>
            </w:r>
          </w:p>
        </w:tc>
        <w:tc>
          <w:tcPr>
            <w:tcW w:w="960" w:type="dxa"/>
            <w:tcBorders>
              <w:top w:val="nil"/>
              <w:left w:val="nil"/>
              <w:bottom w:val="nil"/>
              <w:right w:val="nil"/>
            </w:tcBorders>
            <w:shd w:val="clear" w:color="auto" w:fill="auto"/>
            <w:noWrap/>
            <w:vAlign w:val="bottom"/>
            <w:hideMark/>
          </w:tcPr>
          <w:p w14:paraId="676CB8E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151.2</w:t>
            </w:r>
          </w:p>
        </w:tc>
        <w:tc>
          <w:tcPr>
            <w:tcW w:w="689" w:type="dxa"/>
            <w:tcBorders>
              <w:top w:val="nil"/>
              <w:left w:val="nil"/>
              <w:bottom w:val="nil"/>
              <w:right w:val="nil"/>
            </w:tcBorders>
            <w:shd w:val="clear" w:color="auto" w:fill="auto"/>
            <w:noWrap/>
            <w:vAlign w:val="bottom"/>
            <w:hideMark/>
          </w:tcPr>
          <w:p w14:paraId="50FF0BA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29.0</w:t>
            </w:r>
          </w:p>
        </w:tc>
        <w:tc>
          <w:tcPr>
            <w:tcW w:w="1000" w:type="dxa"/>
            <w:tcBorders>
              <w:top w:val="nil"/>
              <w:left w:val="nil"/>
              <w:bottom w:val="nil"/>
              <w:right w:val="nil"/>
            </w:tcBorders>
            <w:shd w:val="clear" w:color="auto" w:fill="auto"/>
            <w:noWrap/>
            <w:vAlign w:val="bottom"/>
            <w:hideMark/>
          </w:tcPr>
          <w:p w14:paraId="636FD2C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113.4</w:t>
            </w:r>
          </w:p>
        </w:tc>
      </w:tr>
      <w:tr w:rsidR="00F26016" w:rsidRPr="00F26016" w14:paraId="5690FC67" w14:textId="77777777" w:rsidTr="00F26016">
        <w:trPr>
          <w:trHeight w:val="300"/>
        </w:trPr>
        <w:tc>
          <w:tcPr>
            <w:tcW w:w="1140" w:type="dxa"/>
            <w:tcBorders>
              <w:top w:val="nil"/>
              <w:left w:val="nil"/>
              <w:bottom w:val="nil"/>
              <w:right w:val="nil"/>
            </w:tcBorders>
            <w:shd w:val="clear" w:color="auto" w:fill="auto"/>
            <w:noWrap/>
            <w:hideMark/>
          </w:tcPr>
          <w:p w14:paraId="3DFC16E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w:t>
            </w:r>
          </w:p>
        </w:tc>
        <w:tc>
          <w:tcPr>
            <w:tcW w:w="1200" w:type="dxa"/>
            <w:tcBorders>
              <w:top w:val="nil"/>
              <w:left w:val="nil"/>
              <w:bottom w:val="nil"/>
              <w:right w:val="nil"/>
            </w:tcBorders>
            <w:shd w:val="clear" w:color="auto" w:fill="auto"/>
            <w:noWrap/>
            <w:hideMark/>
          </w:tcPr>
          <w:p w14:paraId="0B086B8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5D11BCF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0C8AF59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49FBB17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57D3EA6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77D3AEB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0EE322D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3ABB482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57.4</w:t>
            </w:r>
          </w:p>
        </w:tc>
        <w:tc>
          <w:tcPr>
            <w:tcW w:w="920" w:type="dxa"/>
            <w:tcBorders>
              <w:top w:val="nil"/>
              <w:left w:val="nil"/>
              <w:bottom w:val="nil"/>
              <w:right w:val="nil"/>
            </w:tcBorders>
            <w:shd w:val="clear" w:color="auto" w:fill="auto"/>
            <w:noWrap/>
            <w:vAlign w:val="bottom"/>
            <w:hideMark/>
          </w:tcPr>
          <w:p w14:paraId="3DCCAC2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w:t>
            </w:r>
          </w:p>
        </w:tc>
        <w:tc>
          <w:tcPr>
            <w:tcW w:w="741" w:type="dxa"/>
            <w:tcBorders>
              <w:top w:val="nil"/>
              <w:left w:val="nil"/>
              <w:bottom w:val="nil"/>
              <w:right w:val="nil"/>
            </w:tcBorders>
            <w:shd w:val="clear" w:color="auto" w:fill="auto"/>
            <w:noWrap/>
            <w:vAlign w:val="bottom"/>
            <w:hideMark/>
          </w:tcPr>
          <w:p w14:paraId="6FF645A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36.4</w:t>
            </w:r>
          </w:p>
        </w:tc>
        <w:tc>
          <w:tcPr>
            <w:tcW w:w="785" w:type="dxa"/>
            <w:tcBorders>
              <w:top w:val="nil"/>
              <w:left w:val="nil"/>
              <w:bottom w:val="nil"/>
              <w:right w:val="nil"/>
            </w:tcBorders>
            <w:shd w:val="clear" w:color="auto" w:fill="auto"/>
            <w:noWrap/>
            <w:vAlign w:val="bottom"/>
            <w:hideMark/>
          </w:tcPr>
          <w:p w14:paraId="55DA71C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44.1</w:t>
            </w:r>
          </w:p>
        </w:tc>
        <w:tc>
          <w:tcPr>
            <w:tcW w:w="732" w:type="dxa"/>
            <w:tcBorders>
              <w:top w:val="nil"/>
              <w:left w:val="nil"/>
              <w:bottom w:val="nil"/>
              <w:right w:val="nil"/>
            </w:tcBorders>
            <w:shd w:val="clear" w:color="auto" w:fill="auto"/>
            <w:noWrap/>
            <w:vAlign w:val="bottom"/>
            <w:hideMark/>
          </w:tcPr>
          <w:p w14:paraId="384AD68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170.8</w:t>
            </w:r>
          </w:p>
        </w:tc>
        <w:tc>
          <w:tcPr>
            <w:tcW w:w="860" w:type="dxa"/>
            <w:tcBorders>
              <w:top w:val="nil"/>
              <w:left w:val="nil"/>
              <w:bottom w:val="nil"/>
              <w:right w:val="nil"/>
            </w:tcBorders>
            <w:shd w:val="clear" w:color="auto" w:fill="auto"/>
            <w:noWrap/>
            <w:vAlign w:val="bottom"/>
            <w:hideMark/>
          </w:tcPr>
          <w:p w14:paraId="2A15A61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44.7</w:t>
            </w:r>
          </w:p>
        </w:tc>
        <w:tc>
          <w:tcPr>
            <w:tcW w:w="960" w:type="dxa"/>
            <w:tcBorders>
              <w:top w:val="nil"/>
              <w:left w:val="nil"/>
              <w:bottom w:val="nil"/>
              <w:right w:val="nil"/>
            </w:tcBorders>
            <w:shd w:val="clear" w:color="auto" w:fill="auto"/>
            <w:noWrap/>
            <w:vAlign w:val="bottom"/>
            <w:hideMark/>
          </w:tcPr>
          <w:p w14:paraId="1B922D3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66.0</w:t>
            </w:r>
          </w:p>
        </w:tc>
        <w:tc>
          <w:tcPr>
            <w:tcW w:w="689" w:type="dxa"/>
            <w:tcBorders>
              <w:top w:val="nil"/>
              <w:left w:val="nil"/>
              <w:bottom w:val="nil"/>
              <w:right w:val="nil"/>
            </w:tcBorders>
            <w:shd w:val="clear" w:color="auto" w:fill="auto"/>
            <w:noWrap/>
            <w:vAlign w:val="bottom"/>
            <w:hideMark/>
          </w:tcPr>
          <w:p w14:paraId="51DD041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8.9</w:t>
            </w:r>
          </w:p>
        </w:tc>
        <w:tc>
          <w:tcPr>
            <w:tcW w:w="1000" w:type="dxa"/>
            <w:tcBorders>
              <w:top w:val="nil"/>
              <w:left w:val="nil"/>
              <w:bottom w:val="nil"/>
              <w:right w:val="nil"/>
            </w:tcBorders>
            <w:shd w:val="clear" w:color="auto" w:fill="auto"/>
            <w:noWrap/>
            <w:vAlign w:val="bottom"/>
            <w:hideMark/>
          </w:tcPr>
          <w:p w14:paraId="26F3159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203.6</w:t>
            </w:r>
          </w:p>
        </w:tc>
      </w:tr>
      <w:tr w:rsidR="00F26016" w:rsidRPr="00F26016" w14:paraId="67AAE076" w14:textId="77777777" w:rsidTr="00F26016">
        <w:trPr>
          <w:trHeight w:val="300"/>
        </w:trPr>
        <w:tc>
          <w:tcPr>
            <w:tcW w:w="1140" w:type="dxa"/>
            <w:tcBorders>
              <w:top w:val="nil"/>
              <w:left w:val="nil"/>
              <w:bottom w:val="nil"/>
              <w:right w:val="nil"/>
            </w:tcBorders>
            <w:shd w:val="clear" w:color="auto" w:fill="auto"/>
            <w:noWrap/>
            <w:hideMark/>
          </w:tcPr>
          <w:p w14:paraId="132FE97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w:t>
            </w:r>
          </w:p>
        </w:tc>
        <w:tc>
          <w:tcPr>
            <w:tcW w:w="1200" w:type="dxa"/>
            <w:tcBorders>
              <w:top w:val="nil"/>
              <w:left w:val="nil"/>
              <w:bottom w:val="nil"/>
              <w:right w:val="nil"/>
            </w:tcBorders>
            <w:shd w:val="clear" w:color="auto" w:fill="auto"/>
            <w:noWrap/>
            <w:hideMark/>
          </w:tcPr>
          <w:p w14:paraId="301D33B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6B56662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6C9A8CA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00121D5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51FD2BA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7880D90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021382F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419517D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9.5</w:t>
            </w:r>
          </w:p>
        </w:tc>
        <w:tc>
          <w:tcPr>
            <w:tcW w:w="920" w:type="dxa"/>
            <w:tcBorders>
              <w:top w:val="nil"/>
              <w:left w:val="nil"/>
              <w:bottom w:val="nil"/>
              <w:right w:val="nil"/>
            </w:tcBorders>
            <w:shd w:val="clear" w:color="auto" w:fill="auto"/>
            <w:noWrap/>
            <w:vAlign w:val="bottom"/>
            <w:hideMark/>
          </w:tcPr>
          <w:p w14:paraId="0FBFD36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31.1</w:t>
            </w:r>
          </w:p>
        </w:tc>
        <w:tc>
          <w:tcPr>
            <w:tcW w:w="741" w:type="dxa"/>
            <w:tcBorders>
              <w:top w:val="nil"/>
              <w:left w:val="nil"/>
              <w:bottom w:val="nil"/>
              <w:right w:val="nil"/>
            </w:tcBorders>
            <w:shd w:val="clear" w:color="auto" w:fill="auto"/>
            <w:noWrap/>
            <w:vAlign w:val="bottom"/>
            <w:hideMark/>
          </w:tcPr>
          <w:p w14:paraId="4D1E919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7.1</w:t>
            </w:r>
          </w:p>
        </w:tc>
        <w:tc>
          <w:tcPr>
            <w:tcW w:w="785" w:type="dxa"/>
            <w:tcBorders>
              <w:top w:val="nil"/>
              <w:left w:val="nil"/>
              <w:bottom w:val="nil"/>
              <w:right w:val="nil"/>
            </w:tcBorders>
            <w:shd w:val="clear" w:color="auto" w:fill="auto"/>
            <w:noWrap/>
            <w:vAlign w:val="bottom"/>
            <w:hideMark/>
          </w:tcPr>
          <w:p w14:paraId="28C3AF3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21.2</w:t>
            </w:r>
          </w:p>
        </w:tc>
        <w:tc>
          <w:tcPr>
            <w:tcW w:w="732" w:type="dxa"/>
            <w:tcBorders>
              <w:top w:val="nil"/>
              <w:left w:val="nil"/>
              <w:bottom w:val="nil"/>
              <w:right w:val="nil"/>
            </w:tcBorders>
            <w:shd w:val="clear" w:color="auto" w:fill="auto"/>
            <w:noWrap/>
            <w:vAlign w:val="bottom"/>
            <w:hideMark/>
          </w:tcPr>
          <w:p w14:paraId="7625794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102.4</w:t>
            </w:r>
          </w:p>
        </w:tc>
        <w:tc>
          <w:tcPr>
            <w:tcW w:w="860" w:type="dxa"/>
            <w:tcBorders>
              <w:top w:val="nil"/>
              <w:left w:val="nil"/>
              <w:bottom w:val="nil"/>
              <w:right w:val="nil"/>
            </w:tcBorders>
            <w:shd w:val="clear" w:color="auto" w:fill="auto"/>
            <w:noWrap/>
            <w:vAlign w:val="bottom"/>
            <w:hideMark/>
          </w:tcPr>
          <w:p w14:paraId="16AB017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56.6</w:t>
            </w:r>
          </w:p>
        </w:tc>
        <w:tc>
          <w:tcPr>
            <w:tcW w:w="960" w:type="dxa"/>
            <w:tcBorders>
              <w:top w:val="nil"/>
              <w:left w:val="nil"/>
              <w:bottom w:val="nil"/>
              <w:right w:val="nil"/>
            </w:tcBorders>
            <w:shd w:val="clear" w:color="auto" w:fill="auto"/>
            <w:noWrap/>
            <w:vAlign w:val="bottom"/>
            <w:hideMark/>
          </w:tcPr>
          <w:p w14:paraId="39634C1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23.0</w:t>
            </w:r>
          </w:p>
        </w:tc>
        <w:tc>
          <w:tcPr>
            <w:tcW w:w="689" w:type="dxa"/>
            <w:tcBorders>
              <w:top w:val="nil"/>
              <w:left w:val="nil"/>
              <w:bottom w:val="nil"/>
              <w:right w:val="nil"/>
            </w:tcBorders>
            <w:shd w:val="clear" w:color="auto" w:fill="auto"/>
            <w:noWrap/>
            <w:vAlign w:val="bottom"/>
            <w:hideMark/>
          </w:tcPr>
          <w:p w14:paraId="316B6B8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37.0</w:t>
            </w:r>
          </w:p>
        </w:tc>
        <w:tc>
          <w:tcPr>
            <w:tcW w:w="1000" w:type="dxa"/>
            <w:tcBorders>
              <w:top w:val="nil"/>
              <w:left w:val="nil"/>
              <w:bottom w:val="nil"/>
              <w:right w:val="nil"/>
            </w:tcBorders>
            <w:shd w:val="clear" w:color="auto" w:fill="auto"/>
            <w:noWrap/>
            <w:vAlign w:val="bottom"/>
            <w:hideMark/>
          </w:tcPr>
          <w:p w14:paraId="0109952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143.8</w:t>
            </w:r>
          </w:p>
        </w:tc>
      </w:tr>
      <w:tr w:rsidR="00F26016" w:rsidRPr="00F26016" w14:paraId="2E948344" w14:textId="77777777" w:rsidTr="00F26016">
        <w:trPr>
          <w:trHeight w:val="300"/>
        </w:trPr>
        <w:tc>
          <w:tcPr>
            <w:tcW w:w="1140" w:type="dxa"/>
            <w:tcBorders>
              <w:top w:val="nil"/>
              <w:left w:val="nil"/>
              <w:bottom w:val="nil"/>
              <w:right w:val="nil"/>
            </w:tcBorders>
            <w:shd w:val="clear" w:color="auto" w:fill="auto"/>
            <w:noWrap/>
            <w:hideMark/>
          </w:tcPr>
          <w:p w14:paraId="2172080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w:t>
            </w:r>
          </w:p>
        </w:tc>
        <w:tc>
          <w:tcPr>
            <w:tcW w:w="1200" w:type="dxa"/>
            <w:tcBorders>
              <w:top w:val="nil"/>
              <w:left w:val="nil"/>
              <w:bottom w:val="nil"/>
              <w:right w:val="nil"/>
            </w:tcBorders>
            <w:shd w:val="clear" w:color="auto" w:fill="auto"/>
            <w:noWrap/>
            <w:hideMark/>
          </w:tcPr>
          <w:p w14:paraId="2EAACED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69CD967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0F136D2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774FB4B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47D546E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5C0E8F3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359A309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7747D0D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33.3</w:t>
            </w:r>
          </w:p>
        </w:tc>
        <w:tc>
          <w:tcPr>
            <w:tcW w:w="920" w:type="dxa"/>
            <w:tcBorders>
              <w:top w:val="nil"/>
              <w:left w:val="nil"/>
              <w:bottom w:val="nil"/>
              <w:right w:val="nil"/>
            </w:tcBorders>
            <w:shd w:val="clear" w:color="auto" w:fill="auto"/>
            <w:noWrap/>
            <w:vAlign w:val="bottom"/>
            <w:hideMark/>
          </w:tcPr>
          <w:p w14:paraId="1924F30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129.1</w:t>
            </w:r>
          </w:p>
        </w:tc>
        <w:tc>
          <w:tcPr>
            <w:tcW w:w="741" w:type="dxa"/>
            <w:tcBorders>
              <w:top w:val="nil"/>
              <w:left w:val="nil"/>
              <w:bottom w:val="nil"/>
              <w:right w:val="nil"/>
            </w:tcBorders>
            <w:shd w:val="clear" w:color="auto" w:fill="auto"/>
            <w:noWrap/>
            <w:vAlign w:val="bottom"/>
            <w:hideMark/>
          </w:tcPr>
          <w:p w14:paraId="398CECE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181.7</w:t>
            </w:r>
          </w:p>
        </w:tc>
        <w:tc>
          <w:tcPr>
            <w:tcW w:w="785" w:type="dxa"/>
            <w:tcBorders>
              <w:top w:val="nil"/>
              <w:left w:val="nil"/>
              <w:bottom w:val="nil"/>
              <w:right w:val="nil"/>
            </w:tcBorders>
            <w:shd w:val="clear" w:color="auto" w:fill="auto"/>
            <w:noWrap/>
            <w:vAlign w:val="bottom"/>
            <w:hideMark/>
          </w:tcPr>
          <w:p w14:paraId="6E690FB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102.6</w:t>
            </w:r>
          </w:p>
        </w:tc>
        <w:tc>
          <w:tcPr>
            <w:tcW w:w="732" w:type="dxa"/>
            <w:tcBorders>
              <w:top w:val="nil"/>
              <w:left w:val="nil"/>
              <w:bottom w:val="nil"/>
              <w:right w:val="nil"/>
            </w:tcBorders>
            <w:shd w:val="clear" w:color="auto" w:fill="auto"/>
            <w:noWrap/>
            <w:vAlign w:val="bottom"/>
            <w:hideMark/>
          </w:tcPr>
          <w:p w14:paraId="4F8CC95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145.5</w:t>
            </w:r>
          </w:p>
        </w:tc>
        <w:tc>
          <w:tcPr>
            <w:tcW w:w="860" w:type="dxa"/>
            <w:tcBorders>
              <w:top w:val="nil"/>
              <w:left w:val="nil"/>
              <w:bottom w:val="nil"/>
              <w:right w:val="nil"/>
            </w:tcBorders>
            <w:shd w:val="clear" w:color="auto" w:fill="auto"/>
            <w:noWrap/>
            <w:vAlign w:val="bottom"/>
            <w:hideMark/>
          </w:tcPr>
          <w:p w14:paraId="671574D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274.2</w:t>
            </w:r>
          </w:p>
        </w:tc>
        <w:tc>
          <w:tcPr>
            <w:tcW w:w="960" w:type="dxa"/>
            <w:tcBorders>
              <w:top w:val="nil"/>
              <w:left w:val="nil"/>
              <w:bottom w:val="nil"/>
              <w:right w:val="nil"/>
            </w:tcBorders>
            <w:shd w:val="clear" w:color="auto" w:fill="auto"/>
            <w:noWrap/>
            <w:vAlign w:val="bottom"/>
            <w:hideMark/>
          </w:tcPr>
          <w:p w14:paraId="3D30FCB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118.6</w:t>
            </w:r>
          </w:p>
        </w:tc>
        <w:tc>
          <w:tcPr>
            <w:tcW w:w="689" w:type="dxa"/>
            <w:tcBorders>
              <w:top w:val="nil"/>
              <w:left w:val="nil"/>
              <w:bottom w:val="nil"/>
              <w:right w:val="nil"/>
            </w:tcBorders>
            <w:shd w:val="clear" w:color="auto" w:fill="auto"/>
            <w:noWrap/>
            <w:vAlign w:val="bottom"/>
            <w:hideMark/>
          </w:tcPr>
          <w:p w14:paraId="1B5C5F7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21.8</w:t>
            </w:r>
          </w:p>
        </w:tc>
        <w:tc>
          <w:tcPr>
            <w:tcW w:w="1000" w:type="dxa"/>
            <w:tcBorders>
              <w:top w:val="nil"/>
              <w:left w:val="nil"/>
              <w:bottom w:val="nil"/>
              <w:right w:val="nil"/>
            </w:tcBorders>
            <w:shd w:val="clear" w:color="auto" w:fill="auto"/>
            <w:noWrap/>
            <w:vAlign w:val="bottom"/>
            <w:hideMark/>
          </w:tcPr>
          <w:p w14:paraId="41C7F1D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112.9</w:t>
            </w:r>
          </w:p>
        </w:tc>
      </w:tr>
      <w:tr w:rsidR="00F26016" w:rsidRPr="00F26016" w14:paraId="50B8DF0B" w14:textId="77777777" w:rsidTr="00F26016">
        <w:trPr>
          <w:trHeight w:val="300"/>
        </w:trPr>
        <w:tc>
          <w:tcPr>
            <w:tcW w:w="1140" w:type="dxa"/>
            <w:tcBorders>
              <w:top w:val="nil"/>
              <w:left w:val="nil"/>
              <w:bottom w:val="nil"/>
              <w:right w:val="nil"/>
            </w:tcBorders>
            <w:shd w:val="clear" w:color="auto" w:fill="auto"/>
            <w:noWrap/>
            <w:hideMark/>
          </w:tcPr>
          <w:p w14:paraId="127CA53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w:t>
            </w:r>
          </w:p>
        </w:tc>
        <w:tc>
          <w:tcPr>
            <w:tcW w:w="1200" w:type="dxa"/>
            <w:tcBorders>
              <w:top w:val="nil"/>
              <w:left w:val="nil"/>
              <w:bottom w:val="nil"/>
              <w:right w:val="nil"/>
            </w:tcBorders>
            <w:shd w:val="clear" w:color="auto" w:fill="auto"/>
            <w:noWrap/>
            <w:hideMark/>
          </w:tcPr>
          <w:p w14:paraId="52DAFCD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362246A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5BFD554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20BC574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746C651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7D6F866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3A836C3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5EDA60C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164.5</w:t>
            </w:r>
          </w:p>
        </w:tc>
        <w:tc>
          <w:tcPr>
            <w:tcW w:w="920" w:type="dxa"/>
            <w:tcBorders>
              <w:top w:val="nil"/>
              <w:left w:val="nil"/>
              <w:bottom w:val="nil"/>
              <w:right w:val="nil"/>
            </w:tcBorders>
            <w:shd w:val="clear" w:color="auto" w:fill="auto"/>
            <w:noWrap/>
            <w:vAlign w:val="bottom"/>
            <w:hideMark/>
          </w:tcPr>
          <w:p w14:paraId="7ABE947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36.2</w:t>
            </w:r>
          </w:p>
        </w:tc>
        <w:tc>
          <w:tcPr>
            <w:tcW w:w="741" w:type="dxa"/>
            <w:tcBorders>
              <w:top w:val="nil"/>
              <w:left w:val="nil"/>
              <w:bottom w:val="nil"/>
              <w:right w:val="nil"/>
            </w:tcBorders>
            <w:shd w:val="clear" w:color="auto" w:fill="auto"/>
            <w:noWrap/>
            <w:vAlign w:val="bottom"/>
            <w:hideMark/>
          </w:tcPr>
          <w:p w14:paraId="7C53917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59.9</w:t>
            </w:r>
          </w:p>
        </w:tc>
        <w:tc>
          <w:tcPr>
            <w:tcW w:w="785" w:type="dxa"/>
            <w:tcBorders>
              <w:top w:val="nil"/>
              <w:left w:val="nil"/>
              <w:bottom w:val="nil"/>
              <w:right w:val="nil"/>
            </w:tcBorders>
            <w:shd w:val="clear" w:color="auto" w:fill="auto"/>
            <w:noWrap/>
            <w:vAlign w:val="bottom"/>
            <w:hideMark/>
          </w:tcPr>
          <w:p w14:paraId="2CFF9D0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50.9</w:t>
            </w:r>
          </w:p>
        </w:tc>
        <w:tc>
          <w:tcPr>
            <w:tcW w:w="732" w:type="dxa"/>
            <w:tcBorders>
              <w:top w:val="nil"/>
              <w:left w:val="nil"/>
              <w:bottom w:val="nil"/>
              <w:right w:val="nil"/>
            </w:tcBorders>
            <w:shd w:val="clear" w:color="auto" w:fill="auto"/>
            <w:noWrap/>
            <w:vAlign w:val="bottom"/>
            <w:hideMark/>
          </w:tcPr>
          <w:p w14:paraId="6536FA1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919.5</w:t>
            </w:r>
          </w:p>
        </w:tc>
        <w:tc>
          <w:tcPr>
            <w:tcW w:w="860" w:type="dxa"/>
            <w:tcBorders>
              <w:top w:val="nil"/>
              <w:left w:val="nil"/>
              <w:bottom w:val="nil"/>
              <w:right w:val="nil"/>
            </w:tcBorders>
            <w:shd w:val="clear" w:color="auto" w:fill="auto"/>
            <w:noWrap/>
            <w:vAlign w:val="bottom"/>
            <w:hideMark/>
          </w:tcPr>
          <w:p w14:paraId="09243BB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16.0</w:t>
            </w:r>
          </w:p>
        </w:tc>
        <w:tc>
          <w:tcPr>
            <w:tcW w:w="960" w:type="dxa"/>
            <w:tcBorders>
              <w:top w:val="nil"/>
              <w:left w:val="nil"/>
              <w:bottom w:val="nil"/>
              <w:right w:val="nil"/>
            </w:tcBorders>
            <w:shd w:val="clear" w:color="auto" w:fill="auto"/>
            <w:noWrap/>
            <w:vAlign w:val="bottom"/>
            <w:hideMark/>
          </w:tcPr>
          <w:p w14:paraId="4E129CC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72.8</w:t>
            </w:r>
          </w:p>
        </w:tc>
        <w:tc>
          <w:tcPr>
            <w:tcW w:w="689" w:type="dxa"/>
            <w:tcBorders>
              <w:top w:val="nil"/>
              <w:left w:val="nil"/>
              <w:bottom w:val="nil"/>
              <w:right w:val="nil"/>
            </w:tcBorders>
            <w:shd w:val="clear" w:color="auto" w:fill="auto"/>
            <w:noWrap/>
            <w:vAlign w:val="bottom"/>
            <w:hideMark/>
          </w:tcPr>
          <w:p w14:paraId="3B15C0A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14.9</w:t>
            </w:r>
          </w:p>
        </w:tc>
        <w:tc>
          <w:tcPr>
            <w:tcW w:w="1000" w:type="dxa"/>
            <w:tcBorders>
              <w:top w:val="nil"/>
              <w:left w:val="nil"/>
              <w:bottom w:val="nil"/>
              <w:right w:val="nil"/>
            </w:tcBorders>
            <w:shd w:val="clear" w:color="auto" w:fill="auto"/>
            <w:noWrap/>
            <w:vAlign w:val="bottom"/>
            <w:hideMark/>
          </w:tcPr>
          <w:p w14:paraId="4C8CCD9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221.0</w:t>
            </w:r>
          </w:p>
        </w:tc>
      </w:tr>
      <w:tr w:rsidR="00F26016" w:rsidRPr="00F26016" w14:paraId="4C0F8483" w14:textId="77777777" w:rsidTr="00F26016">
        <w:trPr>
          <w:trHeight w:val="300"/>
        </w:trPr>
        <w:tc>
          <w:tcPr>
            <w:tcW w:w="1140" w:type="dxa"/>
            <w:tcBorders>
              <w:top w:val="nil"/>
              <w:left w:val="nil"/>
              <w:bottom w:val="nil"/>
              <w:right w:val="nil"/>
            </w:tcBorders>
            <w:shd w:val="clear" w:color="auto" w:fill="auto"/>
            <w:noWrap/>
            <w:hideMark/>
          </w:tcPr>
          <w:p w14:paraId="5F518F1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w:t>
            </w:r>
          </w:p>
        </w:tc>
        <w:tc>
          <w:tcPr>
            <w:tcW w:w="1200" w:type="dxa"/>
            <w:tcBorders>
              <w:top w:val="nil"/>
              <w:left w:val="nil"/>
              <w:bottom w:val="nil"/>
              <w:right w:val="nil"/>
            </w:tcBorders>
            <w:shd w:val="clear" w:color="auto" w:fill="auto"/>
            <w:noWrap/>
            <w:hideMark/>
          </w:tcPr>
          <w:p w14:paraId="56EC883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4B321AF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5C415B0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524E31E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1CDE19C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0F8FC87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1A0ABA5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289BD3D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w:t>
            </w:r>
          </w:p>
        </w:tc>
        <w:tc>
          <w:tcPr>
            <w:tcW w:w="920" w:type="dxa"/>
            <w:tcBorders>
              <w:top w:val="nil"/>
              <w:left w:val="nil"/>
              <w:bottom w:val="nil"/>
              <w:right w:val="nil"/>
            </w:tcBorders>
            <w:shd w:val="clear" w:color="auto" w:fill="auto"/>
            <w:noWrap/>
            <w:vAlign w:val="bottom"/>
            <w:hideMark/>
          </w:tcPr>
          <w:p w14:paraId="7D1B452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26.2</w:t>
            </w:r>
          </w:p>
        </w:tc>
        <w:tc>
          <w:tcPr>
            <w:tcW w:w="741" w:type="dxa"/>
            <w:tcBorders>
              <w:top w:val="nil"/>
              <w:left w:val="nil"/>
              <w:bottom w:val="nil"/>
              <w:right w:val="nil"/>
            </w:tcBorders>
            <w:shd w:val="clear" w:color="auto" w:fill="auto"/>
            <w:noWrap/>
            <w:vAlign w:val="bottom"/>
            <w:hideMark/>
          </w:tcPr>
          <w:p w14:paraId="1A381B9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6.6</w:t>
            </w:r>
          </w:p>
        </w:tc>
        <w:tc>
          <w:tcPr>
            <w:tcW w:w="785" w:type="dxa"/>
            <w:tcBorders>
              <w:top w:val="nil"/>
              <w:left w:val="nil"/>
              <w:bottom w:val="nil"/>
              <w:right w:val="nil"/>
            </w:tcBorders>
            <w:shd w:val="clear" w:color="auto" w:fill="auto"/>
            <w:noWrap/>
            <w:vAlign w:val="bottom"/>
            <w:hideMark/>
          </w:tcPr>
          <w:p w14:paraId="7588566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18.7</w:t>
            </w:r>
          </w:p>
        </w:tc>
        <w:tc>
          <w:tcPr>
            <w:tcW w:w="732" w:type="dxa"/>
            <w:tcBorders>
              <w:top w:val="nil"/>
              <w:left w:val="nil"/>
              <w:bottom w:val="nil"/>
              <w:right w:val="nil"/>
            </w:tcBorders>
            <w:shd w:val="clear" w:color="auto" w:fill="auto"/>
            <w:noWrap/>
            <w:vAlign w:val="bottom"/>
            <w:hideMark/>
          </w:tcPr>
          <w:p w14:paraId="0A66F39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85.1</w:t>
            </w:r>
          </w:p>
        </w:tc>
        <w:tc>
          <w:tcPr>
            <w:tcW w:w="860" w:type="dxa"/>
            <w:tcBorders>
              <w:top w:val="nil"/>
              <w:left w:val="nil"/>
              <w:bottom w:val="nil"/>
              <w:right w:val="nil"/>
            </w:tcBorders>
            <w:shd w:val="clear" w:color="auto" w:fill="auto"/>
            <w:noWrap/>
            <w:vAlign w:val="bottom"/>
            <w:hideMark/>
          </w:tcPr>
          <w:p w14:paraId="2A9B1F8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31.0</w:t>
            </w:r>
          </w:p>
        </w:tc>
        <w:tc>
          <w:tcPr>
            <w:tcW w:w="960" w:type="dxa"/>
            <w:tcBorders>
              <w:top w:val="nil"/>
              <w:left w:val="nil"/>
              <w:bottom w:val="nil"/>
              <w:right w:val="nil"/>
            </w:tcBorders>
            <w:shd w:val="clear" w:color="auto" w:fill="auto"/>
            <w:noWrap/>
            <w:vAlign w:val="bottom"/>
            <w:hideMark/>
          </w:tcPr>
          <w:p w14:paraId="1C16333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24.5</w:t>
            </w:r>
          </w:p>
        </w:tc>
        <w:tc>
          <w:tcPr>
            <w:tcW w:w="689" w:type="dxa"/>
            <w:tcBorders>
              <w:top w:val="nil"/>
              <w:left w:val="nil"/>
              <w:bottom w:val="nil"/>
              <w:right w:val="nil"/>
            </w:tcBorders>
            <w:shd w:val="clear" w:color="auto" w:fill="auto"/>
            <w:noWrap/>
            <w:vAlign w:val="bottom"/>
            <w:hideMark/>
          </w:tcPr>
          <w:p w14:paraId="1AB6F03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134.1</w:t>
            </w:r>
          </w:p>
        </w:tc>
        <w:tc>
          <w:tcPr>
            <w:tcW w:w="1000" w:type="dxa"/>
            <w:tcBorders>
              <w:top w:val="nil"/>
              <w:left w:val="nil"/>
              <w:bottom w:val="nil"/>
              <w:right w:val="nil"/>
            </w:tcBorders>
            <w:shd w:val="clear" w:color="auto" w:fill="auto"/>
            <w:noWrap/>
            <w:vAlign w:val="bottom"/>
            <w:hideMark/>
          </w:tcPr>
          <w:p w14:paraId="772B1D4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147.0</w:t>
            </w:r>
          </w:p>
        </w:tc>
      </w:tr>
      <w:tr w:rsidR="00F26016" w:rsidRPr="00F26016" w14:paraId="2BFE0960" w14:textId="77777777" w:rsidTr="00F26016">
        <w:trPr>
          <w:trHeight w:val="300"/>
        </w:trPr>
        <w:tc>
          <w:tcPr>
            <w:tcW w:w="1140" w:type="dxa"/>
            <w:tcBorders>
              <w:top w:val="nil"/>
              <w:left w:val="nil"/>
              <w:bottom w:val="nil"/>
              <w:right w:val="nil"/>
            </w:tcBorders>
            <w:shd w:val="clear" w:color="auto" w:fill="auto"/>
            <w:noWrap/>
            <w:hideMark/>
          </w:tcPr>
          <w:p w14:paraId="0A5B6D5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w:t>
            </w:r>
          </w:p>
        </w:tc>
        <w:tc>
          <w:tcPr>
            <w:tcW w:w="1200" w:type="dxa"/>
            <w:tcBorders>
              <w:top w:val="nil"/>
              <w:left w:val="nil"/>
              <w:bottom w:val="nil"/>
              <w:right w:val="nil"/>
            </w:tcBorders>
            <w:shd w:val="clear" w:color="auto" w:fill="auto"/>
            <w:noWrap/>
            <w:hideMark/>
          </w:tcPr>
          <w:p w14:paraId="707E244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3241AB4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1C55932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19FADB0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47B1FE5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127795D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10BD30F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450BC92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52.3</w:t>
            </w:r>
          </w:p>
        </w:tc>
        <w:tc>
          <w:tcPr>
            <w:tcW w:w="920" w:type="dxa"/>
            <w:tcBorders>
              <w:top w:val="nil"/>
              <w:left w:val="nil"/>
              <w:bottom w:val="nil"/>
              <w:right w:val="nil"/>
            </w:tcBorders>
            <w:shd w:val="clear" w:color="auto" w:fill="auto"/>
            <w:noWrap/>
            <w:vAlign w:val="bottom"/>
            <w:hideMark/>
          </w:tcPr>
          <w:p w14:paraId="7031703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89.0</w:t>
            </w:r>
          </w:p>
        </w:tc>
        <w:tc>
          <w:tcPr>
            <w:tcW w:w="741" w:type="dxa"/>
            <w:tcBorders>
              <w:top w:val="nil"/>
              <w:left w:val="nil"/>
              <w:bottom w:val="nil"/>
              <w:right w:val="nil"/>
            </w:tcBorders>
            <w:shd w:val="clear" w:color="auto" w:fill="auto"/>
            <w:noWrap/>
            <w:vAlign w:val="bottom"/>
            <w:hideMark/>
          </w:tcPr>
          <w:p w14:paraId="33AB59B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214.1</w:t>
            </w:r>
          </w:p>
        </w:tc>
        <w:tc>
          <w:tcPr>
            <w:tcW w:w="785" w:type="dxa"/>
            <w:tcBorders>
              <w:top w:val="nil"/>
              <w:left w:val="nil"/>
              <w:bottom w:val="nil"/>
              <w:right w:val="nil"/>
            </w:tcBorders>
            <w:shd w:val="clear" w:color="auto" w:fill="auto"/>
            <w:noWrap/>
            <w:vAlign w:val="bottom"/>
            <w:hideMark/>
          </w:tcPr>
          <w:p w14:paraId="4F9D395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125.4</w:t>
            </w:r>
          </w:p>
        </w:tc>
        <w:tc>
          <w:tcPr>
            <w:tcW w:w="732" w:type="dxa"/>
            <w:tcBorders>
              <w:top w:val="nil"/>
              <w:left w:val="nil"/>
              <w:bottom w:val="nil"/>
              <w:right w:val="nil"/>
            </w:tcBorders>
            <w:shd w:val="clear" w:color="auto" w:fill="auto"/>
            <w:noWrap/>
            <w:vAlign w:val="bottom"/>
            <w:hideMark/>
          </w:tcPr>
          <w:p w14:paraId="5DAC939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108.1</w:t>
            </w:r>
          </w:p>
        </w:tc>
        <w:tc>
          <w:tcPr>
            <w:tcW w:w="860" w:type="dxa"/>
            <w:tcBorders>
              <w:top w:val="nil"/>
              <w:left w:val="nil"/>
              <w:bottom w:val="nil"/>
              <w:right w:val="nil"/>
            </w:tcBorders>
            <w:shd w:val="clear" w:color="auto" w:fill="auto"/>
            <w:noWrap/>
            <w:vAlign w:val="bottom"/>
            <w:hideMark/>
          </w:tcPr>
          <w:p w14:paraId="40A8014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134.1</w:t>
            </w:r>
          </w:p>
        </w:tc>
        <w:tc>
          <w:tcPr>
            <w:tcW w:w="960" w:type="dxa"/>
            <w:tcBorders>
              <w:top w:val="nil"/>
              <w:left w:val="nil"/>
              <w:bottom w:val="nil"/>
              <w:right w:val="nil"/>
            </w:tcBorders>
            <w:shd w:val="clear" w:color="auto" w:fill="auto"/>
            <w:noWrap/>
            <w:vAlign w:val="bottom"/>
            <w:hideMark/>
          </w:tcPr>
          <w:p w14:paraId="08458AF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139.0</w:t>
            </w:r>
          </w:p>
        </w:tc>
        <w:tc>
          <w:tcPr>
            <w:tcW w:w="689" w:type="dxa"/>
            <w:tcBorders>
              <w:top w:val="nil"/>
              <w:left w:val="nil"/>
              <w:bottom w:val="nil"/>
              <w:right w:val="nil"/>
            </w:tcBorders>
            <w:shd w:val="clear" w:color="auto" w:fill="auto"/>
            <w:noWrap/>
            <w:vAlign w:val="bottom"/>
            <w:hideMark/>
          </w:tcPr>
          <w:p w14:paraId="6EF1B3F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40.1</w:t>
            </w:r>
          </w:p>
        </w:tc>
        <w:tc>
          <w:tcPr>
            <w:tcW w:w="1000" w:type="dxa"/>
            <w:tcBorders>
              <w:top w:val="nil"/>
              <w:left w:val="nil"/>
              <w:bottom w:val="nil"/>
              <w:right w:val="nil"/>
            </w:tcBorders>
            <w:shd w:val="clear" w:color="auto" w:fill="auto"/>
            <w:noWrap/>
            <w:vAlign w:val="bottom"/>
            <w:hideMark/>
          </w:tcPr>
          <w:p w14:paraId="49931E4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128.6</w:t>
            </w:r>
          </w:p>
        </w:tc>
      </w:tr>
      <w:tr w:rsidR="00F26016" w:rsidRPr="00F26016" w14:paraId="7E0E553E" w14:textId="77777777" w:rsidTr="00F26016">
        <w:trPr>
          <w:trHeight w:val="300"/>
        </w:trPr>
        <w:tc>
          <w:tcPr>
            <w:tcW w:w="1140" w:type="dxa"/>
            <w:tcBorders>
              <w:top w:val="nil"/>
              <w:left w:val="nil"/>
              <w:bottom w:val="nil"/>
              <w:right w:val="nil"/>
            </w:tcBorders>
            <w:shd w:val="clear" w:color="auto" w:fill="auto"/>
            <w:noWrap/>
            <w:hideMark/>
          </w:tcPr>
          <w:p w14:paraId="4BBA717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38</w:t>
            </w:r>
          </w:p>
        </w:tc>
        <w:tc>
          <w:tcPr>
            <w:tcW w:w="1200" w:type="dxa"/>
            <w:tcBorders>
              <w:top w:val="nil"/>
              <w:left w:val="nil"/>
              <w:bottom w:val="nil"/>
              <w:right w:val="nil"/>
            </w:tcBorders>
            <w:shd w:val="clear" w:color="auto" w:fill="auto"/>
            <w:noWrap/>
            <w:hideMark/>
          </w:tcPr>
          <w:p w14:paraId="4A9F573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5DE1BE4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384DC02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19D2470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32FBB8B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7DEA819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287AB61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w:t>
            </w:r>
          </w:p>
        </w:tc>
        <w:tc>
          <w:tcPr>
            <w:tcW w:w="660" w:type="dxa"/>
            <w:tcBorders>
              <w:top w:val="nil"/>
              <w:left w:val="nil"/>
              <w:bottom w:val="nil"/>
              <w:right w:val="nil"/>
            </w:tcBorders>
            <w:shd w:val="clear" w:color="auto" w:fill="auto"/>
            <w:noWrap/>
            <w:vAlign w:val="bottom"/>
            <w:hideMark/>
          </w:tcPr>
          <w:p w14:paraId="06A8F67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170.0</w:t>
            </w:r>
          </w:p>
        </w:tc>
        <w:tc>
          <w:tcPr>
            <w:tcW w:w="920" w:type="dxa"/>
            <w:tcBorders>
              <w:top w:val="nil"/>
              <w:left w:val="nil"/>
              <w:bottom w:val="nil"/>
              <w:right w:val="nil"/>
            </w:tcBorders>
            <w:shd w:val="clear" w:color="auto" w:fill="auto"/>
            <w:noWrap/>
            <w:vAlign w:val="bottom"/>
            <w:hideMark/>
          </w:tcPr>
          <w:p w14:paraId="1B03DFB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44.7</w:t>
            </w:r>
          </w:p>
        </w:tc>
        <w:tc>
          <w:tcPr>
            <w:tcW w:w="741" w:type="dxa"/>
            <w:tcBorders>
              <w:top w:val="nil"/>
              <w:left w:val="nil"/>
              <w:bottom w:val="nil"/>
              <w:right w:val="nil"/>
            </w:tcBorders>
            <w:shd w:val="clear" w:color="auto" w:fill="auto"/>
            <w:noWrap/>
            <w:vAlign w:val="bottom"/>
            <w:hideMark/>
          </w:tcPr>
          <w:p w14:paraId="7EAB2B7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54.2</w:t>
            </w:r>
          </w:p>
        </w:tc>
        <w:tc>
          <w:tcPr>
            <w:tcW w:w="785" w:type="dxa"/>
            <w:tcBorders>
              <w:top w:val="nil"/>
              <w:left w:val="nil"/>
              <w:bottom w:val="nil"/>
              <w:right w:val="nil"/>
            </w:tcBorders>
            <w:shd w:val="clear" w:color="auto" w:fill="auto"/>
            <w:noWrap/>
            <w:vAlign w:val="bottom"/>
            <w:hideMark/>
          </w:tcPr>
          <w:p w14:paraId="07AEDA2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36.9</w:t>
            </w:r>
          </w:p>
        </w:tc>
        <w:tc>
          <w:tcPr>
            <w:tcW w:w="732" w:type="dxa"/>
            <w:tcBorders>
              <w:top w:val="nil"/>
              <w:left w:val="nil"/>
              <w:bottom w:val="nil"/>
              <w:right w:val="nil"/>
            </w:tcBorders>
            <w:shd w:val="clear" w:color="auto" w:fill="auto"/>
            <w:noWrap/>
            <w:vAlign w:val="bottom"/>
            <w:hideMark/>
          </w:tcPr>
          <w:p w14:paraId="59F4024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949.1</w:t>
            </w:r>
          </w:p>
        </w:tc>
        <w:tc>
          <w:tcPr>
            <w:tcW w:w="860" w:type="dxa"/>
            <w:tcBorders>
              <w:top w:val="nil"/>
              <w:left w:val="nil"/>
              <w:bottom w:val="nil"/>
              <w:right w:val="nil"/>
            </w:tcBorders>
            <w:shd w:val="clear" w:color="auto" w:fill="auto"/>
            <w:noWrap/>
            <w:vAlign w:val="bottom"/>
            <w:hideMark/>
          </w:tcPr>
          <w:p w14:paraId="01083E2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47.9</w:t>
            </w:r>
          </w:p>
        </w:tc>
        <w:tc>
          <w:tcPr>
            <w:tcW w:w="960" w:type="dxa"/>
            <w:tcBorders>
              <w:top w:val="nil"/>
              <w:left w:val="nil"/>
              <w:bottom w:val="nil"/>
              <w:right w:val="nil"/>
            </w:tcBorders>
            <w:shd w:val="clear" w:color="auto" w:fill="auto"/>
            <w:noWrap/>
            <w:vAlign w:val="bottom"/>
            <w:hideMark/>
          </w:tcPr>
          <w:p w14:paraId="3445284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96.7</w:t>
            </w:r>
          </w:p>
        </w:tc>
        <w:tc>
          <w:tcPr>
            <w:tcW w:w="689" w:type="dxa"/>
            <w:tcBorders>
              <w:top w:val="nil"/>
              <w:left w:val="nil"/>
              <w:bottom w:val="nil"/>
              <w:right w:val="nil"/>
            </w:tcBorders>
            <w:shd w:val="clear" w:color="auto" w:fill="auto"/>
            <w:noWrap/>
            <w:vAlign w:val="bottom"/>
            <w:hideMark/>
          </w:tcPr>
          <w:p w14:paraId="5C26D18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12.9</w:t>
            </w:r>
          </w:p>
        </w:tc>
        <w:tc>
          <w:tcPr>
            <w:tcW w:w="1000" w:type="dxa"/>
            <w:tcBorders>
              <w:top w:val="nil"/>
              <w:left w:val="nil"/>
              <w:bottom w:val="nil"/>
              <w:right w:val="nil"/>
            </w:tcBorders>
            <w:shd w:val="clear" w:color="auto" w:fill="auto"/>
            <w:noWrap/>
            <w:vAlign w:val="bottom"/>
            <w:hideMark/>
          </w:tcPr>
          <w:p w14:paraId="58422EE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212.5</w:t>
            </w:r>
          </w:p>
        </w:tc>
      </w:tr>
      <w:tr w:rsidR="00F26016" w:rsidRPr="00F26016" w14:paraId="0DDA55E1" w14:textId="77777777" w:rsidTr="00F26016">
        <w:trPr>
          <w:trHeight w:val="300"/>
        </w:trPr>
        <w:tc>
          <w:tcPr>
            <w:tcW w:w="1140" w:type="dxa"/>
            <w:tcBorders>
              <w:top w:val="nil"/>
              <w:left w:val="nil"/>
              <w:bottom w:val="nil"/>
              <w:right w:val="nil"/>
            </w:tcBorders>
            <w:shd w:val="clear" w:color="auto" w:fill="auto"/>
            <w:noWrap/>
            <w:hideMark/>
          </w:tcPr>
          <w:p w14:paraId="06E918F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38</w:t>
            </w:r>
          </w:p>
        </w:tc>
        <w:tc>
          <w:tcPr>
            <w:tcW w:w="1200" w:type="dxa"/>
            <w:tcBorders>
              <w:top w:val="nil"/>
              <w:left w:val="nil"/>
              <w:bottom w:val="nil"/>
              <w:right w:val="nil"/>
            </w:tcBorders>
            <w:shd w:val="clear" w:color="auto" w:fill="auto"/>
            <w:noWrap/>
            <w:hideMark/>
          </w:tcPr>
          <w:p w14:paraId="3770B0A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7935AB1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1AF27D6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63C2D59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448868D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402A739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37A15B3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w:t>
            </w:r>
          </w:p>
        </w:tc>
        <w:tc>
          <w:tcPr>
            <w:tcW w:w="660" w:type="dxa"/>
            <w:tcBorders>
              <w:top w:val="nil"/>
              <w:left w:val="nil"/>
              <w:bottom w:val="nil"/>
              <w:right w:val="nil"/>
            </w:tcBorders>
            <w:shd w:val="clear" w:color="auto" w:fill="auto"/>
            <w:noWrap/>
            <w:vAlign w:val="bottom"/>
            <w:hideMark/>
          </w:tcPr>
          <w:p w14:paraId="44364F3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8.7</w:t>
            </w:r>
          </w:p>
        </w:tc>
        <w:tc>
          <w:tcPr>
            <w:tcW w:w="920" w:type="dxa"/>
            <w:tcBorders>
              <w:top w:val="nil"/>
              <w:left w:val="nil"/>
              <w:bottom w:val="nil"/>
              <w:right w:val="nil"/>
            </w:tcBorders>
            <w:shd w:val="clear" w:color="auto" w:fill="auto"/>
            <w:noWrap/>
            <w:vAlign w:val="bottom"/>
            <w:hideMark/>
          </w:tcPr>
          <w:p w14:paraId="728A985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27.2</w:t>
            </w:r>
          </w:p>
        </w:tc>
        <w:tc>
          <w:tcPr>
            <w:tcW w:w="741" w:type="dxa"/>
            <w:tcBorders>
              <w:top w:val="nil"/>
              <w:left w:val="nil"/>
              <w:bottom w:val="nil"/>
              <w:right w:val="nil"/>
            </w:tcBorders>
            <w:shd w:val="clear" w:color="auto" w:fill="auto"/>
            <w:noWrap/>
            <w:vAlign w:val="bottom"/>
            <w:hideMark/>
          </w:tcPr>
          <w:p w14:paraId="4A03693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7.3</w:t>
            </w:r>
          </w:p>
        </w:tc>
        <w:tc>
          <w:tcPr>
            <w:tcW w:w="785" w:type="dxa"/>
            <w:tcBorders>
              <w:top w:val="nil"/>
              <w:left w:val="nil"/>
              <w:bottom w:val="nil"/>
              <w:right w:val="nil"/>
            </w:tcBorders>
            <w:shd w:val="clear" w:color="auto" w:fill="auto"/>
            <w:noWrap/>
            <w:vAlign w:val="bottom"/>
            <w:hideMark/>
          </w:tcPr>
          <w:p w14:paraId="7FE86FE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18.4</w:t>
            </w:r>
          </w:p>
        </w:tc>
        <w:tc>
          <w:tcPr>
            <w:tcW w:w="732" w:type="dxa"/>
            <w:tcBorders>
              <w:top w:val="nil"/>
              <w:left w:val="nil"/>
              <w:bottom w:val="nil"/>
              <w:right w:val="nil"/>
            </w:tcBorders>
            <w:shd w:val="clear" w:color="auto" w:fill="auto"/>
            <w:noWrap/>
            <w:vAlign w:val="bottom"/>
            <w:hideMark/>
          </w:tcPr>
          <w:p w14:paraId="131A7DC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115.8</w:t>
            </w:r>
          </w:p>
        </w:tc>
        <w:tc>
          <w:tcPr>
            <w:tcW w:w="860" w:type="dxa"/>
            <w:tcBorders>
              <w:top w:val="nil"/>
              <w:left w:val="nil"/>
              <w:bottom w:val="nil"/>
              <w:right w:val="nil"/>
            </w:tcBorders>
            <w:shd w:val="clear" w:color="auto" w:fill="auto"/>
            <w:noWrap/>
            <w:vAlign w:val="bottom"/>
            <w:hideMark/>
          </w:tcPr>
          <w:p w14:paraId="7A57713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29.6</w:t>
            </w:r>
          </w:p>
        </w:tc>
        <w:tc>
          <w:tcPr>
            <w:tcW w:w="960" w:type="dxa"/>
            <w:tcBorders>
              <w:top w:val="nil"/>
              <w:left w:val="nil"/>
              <w:bottom w:val="nil"/>
              <w:right w:val="nil"/>
            </w:tcBorders>
            <w:shd w:val="clear" w:color="auto" w:fill="auto"/>
            <w:noWrap/>
            <w:vAlign w:val="bottom"/>
            <w:hideMark/>
          </w:tcPr>
          <w:p w14:paraId="079E25F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29.2</w:t>
            </w:r>
          </w:p>
        </w:tc>
        <w:tc>
          <w:tcPr>
            <w:tcW w:w="689" w:type="dxa"/>
            <w:tcBorders>
              <w:top w:val="nil"/>
              <w:left w:val="nil"/>
              <w:bottom w:val="nil"/>
              <w:right w:val="nil"/>
            </w:tcBorders>
            <w:shd w:val="clear" w:color="auto" w:fill="auto"/>
            <w:noWrap/>
            <w:vAlign w:val="bottom"/>
            <w:hideMark/>
          </w:tcPr>
          <w:p w14:paraId="592435F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609.3</w:t>
            </w:r>
          </w:p>
        </w:tc>
        <w:tc>
          <w:tcPr>
            <w:tcW w:w="1000" w:type="dxa"/>
            <w:tcBorders>
              <w:top w:val="nil"/>
              <w:left w:val="nil"/>
              <w:bottom w:val="nil"/>
              <w:right w:val="nil"/>
            </w:tcBorders>
            <w:shd w:val="clear" w:color="auto" w:fill="auto"/>
            <w:noWrap/>
            <w:vAlign w:val="bottom"/>
            <w:hideMark/>
          </w:tcPr>
          <w:p w14:paraId="5D36795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141.3</w:t>
            </w:r>
          </w:p>
        </w:tc>
      </w:tr>
      <w:tr w:rsidR="00F26016" w:rsidRPr="00F26016" w14:paraId="52F8FB46" w14:textId="77777777" w:rsidTr="00F26016">
        <w:trPr>
          <w:trHeight w:val="300"/>
        </w:trPr>
        <w:tc>
          <w:tcPr>
            <w:tcW w:w="1140" w:type="dxa"/>
            <w:tcBorders>
              <w:top w:val="nil"/>
              <w:left w:val="nil"/>
              <w:bottom w:val="nil"/>
              <w:right w:val="nil"/>
            </w:tcBorders>
            <w:shd w:val="clear" w:color="auto" w:fill="auto"/>
            <w:noWrap/>
            <w:hideMark/>
          </w:tcPr>
          <w:p w14:paraId="0C1D469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38</w:t>
            </w:r>
          </w:p>
        </w:tc>
        <w:tc>
          <w:tcPr>
            <w:tcW w:w="1200" w:type="dxa"/>
            <w:tcBorders>
              <w:top w:val="nil"/>
              <w:left w:val="nil"/>
              <w:bottom w:val="nil"/>
              <w:right w:val="nil"/>
            </w:tcBorders>
            <w:shd w:val="clear" w:color="auto" w:fill="auto"/>
            <w:noWrap/>
            <w:hideMark/>
          </w:tcPr>
          <w:p w14:paraId="5A2A155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1B81F94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6444317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272A8FE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26E04DF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061ADE0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4FC4BDA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w:t>
            </w:r>
          </w:p>
        </w:tc>
        <w:tc>
          <w:tcPr>
            <w:tcW w:w="660" w:type="dxa"/>
            <w:tcBorders>
              <w:top w:val="nil"/>
              <w:left w:val="nil"/>
              <w:bottom w:val="nil"/>
              <w:right w:val="nil"/>
            </w:tcBorders>
            <w:shd w:val="clear" w:color="auto" w:fill="auto"/>
            <w:noWrap/>
            <w:vAlign w:val="bottom"/>
            <w:hideMark/>
          </w:tcPr>
          <w:p w14:paraId="49ADC82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72.8</w:t>
            </w:r>
          </w:p>
        </w:tc>
        <w:tc>
          <w:tcPr>
            <w:tcW w:w="920" w:type="dxa"/>
            <w:tcBorders>
              <w:top w:val="nil"/>
              <w:left w:val="nil"/>
              <w:bottom w:val="nil"/>
              <w:right w:val="nil"/>
            </w:tcBorders>
            <w:shd w:val="clear" w:color="auto" w:fill="auto"/>
            <w:noWrap/>
            <w:vAlign w:val="bottom"/>
            <w:hideMark/>
          </w:tcPr>
          <w:p w14:paraId="2AE54BE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82.2</w:t>
            </w:r>
          </w:p>
        </w:tc>
        <w:tc>
          <w:tcPr>
            <w:tcW w:w="741" w:type="dxa"/>
            <w:tcBorders>
              <w:top w:val="nil"/>
              <w:left w:val="nil"/>
              <w:bottom w:val="nil"/>
              <w:right w:val="nil"/>
            </w:tcBorders>
            <w:shd w:val="clear" w:color="auto" w:fill="auto"/>
            <w:noWrap/>
            <w:vAlign w:val="bottom"/>
            <w:hideMark/>
          </w:tcPr>
          <w:p w14:paraId="399CAEE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242.9</w:t>
            </w:r>
          </w:p>
        </w:tc>
        <w:tc>
          <w:tcPr>
            <w:tcW w:w="785" w:type="dxa"/>
            <w:tcBorders>
              <w:top w:val="nil"/>
              <w:left w:val="nil"/>
              <w:bottom w:val="nil"/>
              <w:right w:val="nil"/>
            </w:tcBorders>
            <w:shd w:val="clear" w:color="auto" w:fill="auto"/>
            <w:noWrap/>
            <w:vAlign w:val="bottom"/>
            <w:hideMark/>
          </w:tcPr>
          <w:p w14:paraId="4AEFE98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164.9</w:t>
            </w:r>
          </w:p>
        </w:tc>
        <w:tc>
          <w:tcPr>
            <w:tcW w:w="732" w:type="dxa"/>
            <w:tcBorders>
              <w:top w:val="nil"/>
              <w:left w:val="nil"/>
              <w:bottom w:val="nil"/>
              <w:right w:val="nil"/>
            </w:tcBorders>
            <w:shd w:val="clear" w:color="auto" w:fill="auto"/>
            <w:noWrap/>
            <w:vAlign w:val="bottom"/>
            <w:hideMark/>
          </w:tcPr>
          <w:p w14:paraId="70DDDC2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72.4</w:t>
            </w:r>
          </w:p>
        </w:tc>
        <w:tc>
          <w:tcPr>
            <w:tcW w:w="860" w:type="dxa"/>
            <w:tcBorders>
              <w:top w:val="nil"/>
              <w:left w:val="nil"/>
              <w:bottom w:val="nil"/>
              <w:right w:val="nil"/>
            </w:tcBorders>
            <w:shd w:val="clear" w:color="auto" w:fill="auto"/>
            <w:noWrap/>
            <w:vAlign w:val="bottom"/>
            <w:hideMark/>
          </w:tcPr>
          <w:p w14:paraId="0A54437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99.1</w:t>
            </w:r>
          </w:p>
        </w:tc>
        <w:tc>
          <w:tcPr>
            <w:tcW w:w="960" w:type="dxa"/>
            <w:tcBorders>
              <w:top w:val="nil"/>
              <w:left w:val="nil"/>
              <w:bottom w:val="nil"/>
              <w:right w:val="nil"/>
            </w:tcBorders>
            <w:shd w:val="clear" w:color="auto" w:fill="auto"/>
            <w:noWrap/>
            <w:vAlign w:val="bottom"/>
            <w:hideMark/>
          </w:tcPr>
          <w:p w14:paraId="5DAC66E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172.8</w:t>
            </w:r>
          </w:p>
        </w:tc>
        <w:tc>
          <w:tcPr>
            <w:tcW w:w="689" w:type="dxa"/>
            <w:tcBorders>
              <w:top w:val="nil"/>
              <w:left w:val="nil"/>
              <w:bottom w:val="nil"/>
              <w:right w:val="nil"/>
            </w:tcBorders>
            <w:shd w:val="clear" w:color="auto" w:fill="auto"/>
            <w:noWrap/>
            <w:vAlign w:val="bottom"/>
            <w:hideMark/>
          </w:tcPr>
          <w:p w14:paraId="39F544E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90.3</w:t>
            </w:r>
          </w:p>
        </w:tc>
        <w:tc>
          <w:tcPr>
            <w:tcW w:w="1000" w:type="dxa"/>
            <w:tcBorders>
              <w:top w:val="nil"/>
              <w:left w:val="nil"/>
              <w:bottom w:val="nil"/>
              <w:right w:val="nil"/>
            </w:tcBorders>
            <w:shd w:val="clear" w:color="auto" w:fill="auto"/>
            <w:noWrap/>
            <w:vAlign w:val="bottom"/>
            <w:hideMark/>
          </w:tcPr>
          <w:p w14:paraId="11610B3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111.7</w:t>
            </w:r>
          </w:p>
        </w:tc>
      </w:tr>
      <w:tr w:rsidR="00F26016" w:rsidRPr="00F26016" w14:paraId="08F57CF0" w14:textId="77777777" w:rsidTr="00F26016">
        <w:trPr>
          <w:trHeight w:val="300"/>
        </w:trPr>
        <w:tc>
          <w:tcPr>
            <w:tcW w:w="1140" w:type="dxa"/>
            <w:tcBorders>
              <w:top w:val="nil"/>
              <w:left w:val="nil"/>
              <w:bottom w:val="nil"/>
              <w:right w:val="nil"/>
            </w:tcBorders>
            <w:shd w:val="clear" w:color="auto" w:fill="auto"/>
            <w:noWrap/>
            <w:hideMark/>
          </w:tcPr>
          <w:p w14:paraId="34CC9DA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w:t>
            </w:r>
          </w:p>
        </w:tc>
        <w:tc>
          <w:tcPr>
            <w:tcW w:w="1200" w:type="dxa"/>
            <w:tcBorders>
              <w:top w:val="nil"/>
              <w:left w:val="nil"/>
              <w:bottom w:val="nil"/>
              <w:right w:val="nil"/>
            </w:tcBorders>
            <w:shd w:val="clear" w:color="auto" w:fill="auto"/>
            <w:noWrap/>
            <w:hideMark/>
          </w:tcPr>
          <w:p w14:paraId="28C8AE6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35D6F7F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12F2823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7C7A2B2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75D679B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4007655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76C6FBE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4ABA326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176.7</w:t>
            </w:r>
          </w:p>
        </w:tc>
        <w:tc>
          <w:tcPr>
            <w:tcW w:w="920" w:type="dxa"/>
            <w:tcBorders>
              <w:top w:val="nil"/>
              <w:left w:val="nil"/>
              <w:bottom w:val="nil"/>
              <w:right w:val="nil"/>
            </w:tcBorders>
            <w:shd w:val="clear" w:color="auto" w:fill="auto"/>
            <w:noWrap/>
            <w:vAlign w:val="bottom"/>
            <w:hideMark/>
          </w:tcPr>
          <w:p w14:paraId="642C1B2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34.5</w:t>
            </w:r>
          </w:p>
        </w:tc>
        <w:tc>
          <w:tcPr>
            <w:tcW w:w="741" w:type="dxa"/>
            <w:tcBorders>
              <w:top w:val="nil"/>
              <w:left w:val="nil"/>
              <w:bottom w:val="nil"/>
              <w:right w:val="nil"/>
            </w:tcBorders>
            <w:shd w:val="clear" w:color="auto" w:fill="auto"/>
            <w:noWrap/>
            <w:vAlign w:val="bottom"/>
            <w:hideMark/>
          </w:tcPr>
          <w:p w14:paraId="0B1A14B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55.6</w:t>
            </w:r>
          </w:p>
        </w:tc>
        <w:tc>
          <w:tcPr>
            <w:tcW w:w="785" w:type="dxa"/>
            <w:tcBorders>
              <w:top w:val="nil"/>
              <w:left w:val="nil"/>
              <w:bottom w:val="nil"/>
              <w:right w:val="nil"/>
            </w:tcBorders>
            <w:shd w:val="clear" w:color="auto" w:fill="auto"/>
            <w:noWrap/>
            <w:vAlign w:val="bottom"/>
            <w:hideMark/>
          </w:tcPr>
          <w:p w14:paraId="029A564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43.0</w:t>
            </w:r>
          </w:p>
        </w:tc>
        <w:tc>
          <w:tcPr>
            <w:tcW w:w="732" w:type="dxa"/>
            <w:tcBorders>
              <w:top w:val="nil"/>
              <w:left w:val="nil"/>
              <w:bottom w:val="nil"/>
              <w:right w:val="nil"/>
            </w:tcBorders>
            <w:shd w:val="clear" w:color="auto" w:fill="auto"/>
            <w:noWrap/>
            <w:vAlign w:val="bottom"/>
            <w:hideMark/>
          </w:tcPr>
          <w:p w14:paraId="75EC9D6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845.3</w:t>
            </w:r>
          </w:p>
        </w:tc>
        <w:tc>
          <w:tcPr>
            <w:tcW w:w="860" w:type="dxa"/>
            <w:tcBorders>
              <w:top w:val="nil"/>
              <w:left w:val="nil"/>
              <w:bottom w:val="nil"/>
              <w:right w:val="nil"/>
            </w:tcBorders>
            <w:shd w:val="clear" w:color="auto" w:fill="auto"/>
            <w:noWrap/>
            <w:vAlign w:val="bottom"/>
            <w:hideMark/>
          </w:tcPr>
          <w:p w14:paraId="11609BA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52.9</w:t>
            </w:r>
          </w:p>
        </w:tc>
        <w:tc>
          <w:tcPr>
            <w:tcW w:w="960" w:type="dxa"/>
            <w:tcBorders>
              <w:top w:val="nil"/>
              <w:left w:val="nil"/>
              <w:bottom w:val="nil"/>
              <w:right w:val="nil"/>
            </w:tcBorders>
            <w:shd w:val="clear" w:color="auto" w:fill="auto"/>
            <w:noWrap/>
            <w:vAlign w:val="bottom"/>
            <w:hideMark/>
          </w:tcPr>
          <w:p w14:paraId="423FDE2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65.5</w:t>
            </w:r>
          </w:p>
        </w:tc>
        <w:tc>
          <w:tcPr>
            <w:tcW w:w="689" w:type="dxa"/>
            <w:tcBorders>
              <w:top w:val="nil"/>
              <w:left w:val="nil"/>
              <w:bottom w:val="nil"/>
              <w:right w:val="nil"/>
            </w:tcBorders>
            <w:shd w:val="clear" w:color="auto" w:fill="auto"/>
            <w:noWrap/>
            <w:vAlign w:val="bottom"/>
            <w:hideMark/>
          </w:tcPr>
          <w:p w14:paraId="2739AC5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1000" w:type="dxa"/>
            <w:tcBorders>
              <w:top w:val="nil"/>
              <w:left w:val="nil"/>
              <w:bottom w:val="nil"/>
              <w:right w:val="nil"/>
            </w:tcBorders>
            <w:shd w:val="clear" w:color="auto" w:fill="auto"/>
            <w:noWrap/>
            <w:vAlign w:val="bottom"/>
            <w:hideMark/>
          </w:tcPr>
          <w:p w14:paraId="6A959EA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192.1</w:t>
            </w:r>
          </w:p>
        </w:tc>
      </w:tr>
      <w:tr w:rsidR="00F26016" w:rsidRPr="00F26016" w14:paraId="45E348E1" w14:textId="77777777" w:rsidTr="00F26016">
        <w:trPr>
          <w:trHeight w:val="300"/>
        </w:trPr>
        <w:tc>
          <w:tcPr>
            <w:tcW w:w="1140" w:type="dxa"/>
            <w:tcBorders>
              <w:top w:val="nil"/>
              <w:left w:val="nil"/>
              <w:bottom w:val="nil"/>
              <w:right w:val="nil"/>
            </w:tcBorders>
            <w:shd w:val="clear" w:color="auto" w:fill="auto"/>
            <w:noWrap/>
            <w:hideMark/>
          </w:tcPr>
          <w:p w14:paraId="4CC6C31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w:t>
            </w:r>
          </w:p>
        </w:tc>
        <w:tc>
          <w:tcPr>
            <w:tcW w:w="1200" w:type="dxa"/>
            <w:tcBorders>
              <w:top w:val="nil"/>
              <w:left w:val="nil"/>
              <w:bottom w:val="nil"/>
              <w:right w:val="nil"/>
            </w:tcBorders>
            <w:shd w:val="clear" w:color="auto" w:fill="auto"/>
            <w:noWrap/>
            <w:hideMark/>
          </w:tcPr>
          <w:p w14:paraId="003793F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6F34243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3E5D9E9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28998B2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257B320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023B038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2D01E78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3D1B9EA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22.1</w:t>
            </w:r>
          </w:p>
        </w:tc>
        <w:tc>
          <w:tcPr>
            <w:tcW w:w="920" w:type="dxa"/>
            <w:tcBorders>
              <w:top w:val="nil"/>
              <w:left w:val="nil"/>
              <w:bottom w:val="nil"/>
              <w:right w:val="nil"/>
            </w:tcBorders>
            <w:shd w:val="clear" w:color="auto" w:fill="auto"/>
            <w:noWrap/>
            <w:vAlign w:val="bottom"/>
            <w:hideMark/>
          </w:tcPr>
          <w:p w14:paraId="67A151A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21.1</w:t>
            </w:r>
          </w:p>
        </w:tc>
        <w:tc>
          <w:tcPr>
            <w:tcW w:w="741" w:type="dxa"/>
            <w:tcBorders>
              <w:top w:val="nil"/>
              <w:left w:val="nil"/>
              <w:bottom w:val="nil"/>
              <w:right w:val="nil"/>
            </w:tcBorders>
            <w:shd w:val="clear" w:color="auto" w:fill="auto"/>
            <w:noWrap/>
            <w:vAlign w:val="bottom"/>
            <w:hideMark/>
          </w:tcPr>
          <w:p w14:paraId="32C5E18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8.6</w:t>
            </w:r>
          </w:p>
        </w:tc>
        <w:tc>
          <w:tcPr>
            <w:tcW w:w="785" w:type="dxa"/>
            <w:tcBorders>
              <w:top w:val="nil"/>
              <w:left w:val="nil"/>
              <w:bottom w:val="nil"/>
              <w:right w:val="nil"/>
            </w:tcBorders>
            <w:shd w:val="clear" w:color="auto" w:fill="auto"/>
            <w:noWrap/>
            <w:vAlign w:val="bottom"/>
            <w:hideMark/>
          </w:tcPr>
          <w:p w14:paraId="6C6A204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26.1</w:t>
            </w:r>
          </w:p>
        </w:tc>
        <w:tc>
          <w:tcPr>
            <w:tcW w:w="732" w:type="dxa"/>
            <w:tcBorders>
              <w:top w:val="nil"/>
              <w:left w:val="nil"/>
              <w:bottom w:val="nil"/>
              <w:right w:val="nil"/>
            </w:tcBorders>
            <w:shd w:val="clear" w:color="auto" w:fill="auto"/>
            <w:noWrap/>
            <w:vAlign w:val="bottom"/>
            <w:hideMark/>
          </w:tcPr>
          <w:p w14:paraId="3E64558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66.1</w:t>
            </w:r>
          </w:p>
        </w:tc>
        <w:tc>
          <w:tcPr>
            <w:tcW w:w="860" w:type="dxa"/>
            <w:tcBorders>
              <w:top w:val="nil"/>
              <w:left w:val="nil"/>
              <w:bottom w:val="nil"/>
              <w:right w:val="nil"/>
            </w:tcBorders>
            <w:shd w:val="clear" w:color="auto" w:fill="auto"/>
            <w:noWrap/>
            <w:vAlign w:val="bottom"/>
            <w:hideMark/>
          </w:tcPr>
          <w:p w14:paraId="2A30DAF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52.5</w:t>
            </w:r>
          </w:p>
        </w:tc>
        <w:tc>
          <w:tcPr>
            <w:tcW w:w="960" w:type="dxa"/>
            <w:tcBorders>
              <w:top w:val="nil"/>
              <w:left w:val="nil"/>
              <w:bottom w:val="nil"/>
              <w:right w:val="nil"/>
            </w:tcBorders>
            <w:shd w:val="clear" w:color="auto" w:fill="auto"/>
            <w:noWrap/>
            <w:vAlign w:val="bottom"/>
            <w:hideMark/>
          </w:tcPr>
          <w:p w14:paraId="2F4C991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23.5</w:t>
            </w:r>
          </w:p>
        </w:tc>
        <w:tc>
          <w:tcPr>
            <w:tcW w:w="689" w:type="dxa"/>
            <w:tcBorders>
              <w:top w:val="nil"/>
              <w:left w:val="nil"/>
              <w:bottom w:val="nil"/>
              <w:right w:val="nil"/>
            </w:tcBorders>
            <w:shd w:val="clear" w:color="auto" w:fill="auto"/>
            <w:noWrap/>
            <w:vAlign w:val="bottom"/>
            <w:hideMark/>
          </w:tcPr>
          <w:p w14:paraId="289A922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301.2</w:t>
            </w:r>
          </w:p>
        </w:tc>
        <w:tc>
          <w:tcPr>
            <w:tcW w:w="1000" w:type="dxa"/>
            <w:tcBorders>
              <w:top w:val="nil"/>
              <w:left w:val="nil"/>
              <w:bottom w:val="nil"/>
              <w:right w:val="nil"/>
            </w:tcBorders>
            <w:shd w:val="clear" w:color="auto" w:fill="auto"/>
            <w:noWrap/>
            <w:vAlign w:val="bottom"/>
            <w:hideMark/>
          </w:tcPr>
          <w:p w14:paraId="4CE69B5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139.0</w:t>
            </w:r>
          </w:p>
        </w:tc>
      </w:tr>
      <w:tr w:rsidR="00F26016" w:rsidRPr="00F26016" w14:paraId="27C1F185" w14:textId="77777777" w:rsidTr="00F26016">
        <w:trPr>
          <w:trHeight w:val="300"/>
        </w:trPr>
        <w:tc>
          <w:tcPr>
            <w:tcW w:w="1140" w:type="dxa"/>
            <w:tcBorders>
              <w:top w:val="nil"/>
              <w:left w:val="nil"/>
              <w:bottom w:val="nil"/>
              <w:right w:val="nil"/>
            </w:tcBorders>
            <w:shd w:val="clear" w:color="auto" w:fill="auto"/>
            <w:noWrap/>
            <w:hideMark/>
          </w:tcPr>
          <w:p w14:paraId="3B6FB08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w:t>
            </w:r>
          </w:p>
        </w:tc>
        <w:tc>
          <w:tcPr>
            <w:tcW w:w="1200" w:type="dxa"/>
            <w:tcBorders>
              <w:top w:val="nil"/>
              <w:left w:val="nil"/>
              <w:bottom w:val="nil"/>
              <w:right w:val="nil"/>
            </w:tcBorders>
            <w:shd w:val="clear" w:color="auto" w:fill="auto"/>
            <w:noWrap/>
            <w:hideMark/>
          </w:tcPr>
          <w:p w14:paraId="46D3641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36B3794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1E4192F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54AF90E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6E55D35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6D99950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37F656D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006EBD0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80.9</w:t>
            </w:r>
          </w:p>
        </w:tc>
        <w:tc>
          <w:tcPr>
            <w:tcW w:w="920" w:type="dxa"/>
            <w:tcBorders>
              <w:top w:val="nil"/>
              <w:left w:val="nil"/>
              <w:bottom w:val="nil"/>
              <w:right w:val="nil"/>
            </w:tcBorders>
            <w:shd w:val="clear" w:color="auto" w:fill="auto"/>
            <w:noWrap/>
            <w:vAlign w:val="bottom"/>
            <w:hideMark/>
          </w:tcPr>
          <w:p w14:paraId="33570C4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105.4</w:t>
            </w:r>
          </w:p>
        </w:tc>
        <w:tc>
          <w:tcPr>
            <w:tcW w:w="741" w:type="dxa"/>
            <w:tcBorders>
              <w:top w:val="nil"/>
              <w:left w:val="nil"/>
              <w:bottom w:val="nil"/>
              <w:right w:val="nil"/>
            </w:tcBorders>
            <w:shd w:val="clear" w:color="auto" w:fill="auto"/>
            <w:noWrap/>
            <w:vAlign w:val="bottom"/>
            <w:hideMark/>
          </w:tcPr>
          <w:p w14:paraId="2D7F3CB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241.4</w:t>
            </w:r>
          </w:p>
        </w:tc>
        <w:tc>
          <w:tcPr>
            <w:tcW w:w="785" w:type="dxa"/>
            <w:tcBorders>
              <w:top w:val="nil"/>
              <w:left w:val="nil"/>
              <w:bottom w:val="nil"/>
              <w:right w:val="nil"/>
            </w:tcBorders>
            <w:shd w:val="clear" w:color="auto" w:fill="auto"/>
            <w:noWrap/>
            <w:vAlign w:val="bottom"/>
            <w:hideMark/>
          </w:tcPr>
          <w:p w14:paraId="05480E0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179.1</w:t>
            </w:r>
          </w:p>
        </w:tc>
        <w:tc>
          <w:tcPr>
            <w:tcW w:w="732" w:type="dxa"/>
            <w:tcBorders>
              <w:top w:val="nil"/>
              <w:left w:val="nil"/>
              <w:bottom w:val="nil"/>
              <w:right w:val="nil"/>
            </w:tcBorders>
            <w:shd w:val="clear" w:color="auto" w:fill="auto"/>
            <w:noWrap/>
            <w:vAlign w:val="bottom"/>
            <w:hideMark/>
          </w:tcPr>
          <w:p w14:paraId="385016A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84.3</w:t>
            </w:r>
          </w:p>
        </w:tc>
        <w:tc>
          <w:tcPr>
            <w:tcW w:w="860" w:type="dxa"/>
            <w:tcBorders>
              <w:top w:val="nil"/>
              <w:left w:val="nil"/>
              <w:bottom w:val="nil"/>
              <w:right w:val="nil"/>
            </w:tcBorders>
            <w:shd w:val="clear" w:color="auto" w:fill="auto"/>
            <w:noWrap/>
            <w:vAlign w:val="bottom"/>
            <w:hideMark/>
          </w:tcPr>
          <w:p w14:paraId="7382B60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182.1</w:t>
            </w:r>
          </w:p>
        </w:tc>
        <w:tc>
          <w:tcPr>
            <w:tcW w:w="960" w:type="dxa"/>
            <w:tcBorders>
              <w:top w:val="nil"/>
              <w:left w:val="nil"/>
              <w:bottom w:val="nil"/>
              <w:right w:val="nil"/>
            </w:tcBorders>
            <w:shd w:val="clear" w:color="auto" w:fill="auto"/>
            <w:noWrap/>
            <w:vAlign w:val="bottom"/>
            <w:hideMark/>
          </w:tcPr>
          <w:p w14:paraId="788E6ED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196.4</w:t>
            </w:r>
          </w:p>
        </w:tc>
        <w:tc>
          <w:tcPr>
            <w:tcW w:w="689" w:type="dxa"/>
            <w:tcBorders>
              <w:top w:val="nil"/>
              <w:left w:val="nil"/>
              <w:bottom w:val="nil"/>
              <w:right w:val="nil"/>
            </w:tcBorders>
            <w:shd w:val="clear" w:color="auto" w:fill="auto"/>
            <w:noWrap/>
            <w:vAlign w:val="bottom"/>
            <w:hideMark/>
          </w:tcPr>
          <w:p w14:paraId="0B3F9D8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52.1</w:t>
            </w:r>
          </w:p>
        </w:tc>
        <w:tc>
          <w:tcPr>
            <w:tcW w:w="1000" w:type="dxa"/>
            <w:tcBorders>
              <w:top w:val="nil"/>
              <w:left w:val="nil"/>
              <w:bottom w:val="nil"/>
              <w:right w:val="nil"/>
            </w:tcBorders>
            <w:shd w:val="clear" w:color="auto" w:fill="auto"/>
            <w:noWrap/>
            <w:vAlign w:val="bottom"/>
            <w:hideMark/>
          </w:tcPr>
          <w:p w14:paraId="228A1E8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114.2</w:t>
            </w:r>
          </w:p>
        </w:tc>
      </w:tr>
      <w:tr w:rsidR="00F26016" w:rsidRPr="00F26016" w14:paraId="1134633A" w14:textId="77777777" w:rsidTr="00F26016">
        <w:trPr>
          <w:trHeight w:val="300"/>
        </w:trPr>
        <w:tc>
          <w:tcPr>
            <w:tcW w:w="1140" w:type="dxa"/>
            <w:tcBorders>
              <w:top w:val="nil"/>
              <w:left w:val="nil"/>
              <w:bottom w:val="nil"/>
              <w:right w:val="nil"/>
            </w:tcBorders>
            <w:shd w:val="clear" w:color="auto" w:fill="auto"/>
            <w:noWrap/>
            <w:hideMark/>
          </w:tcPr>
          <w:p w14:paraId="565B31F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44</w:t>
            </w:r>
          </w:p>
        </w:tc>
        <w:tc>
          <w:tcPr>
            <w:tcW w:w="1200" w:type="dxa"/>
            <w:tcBorders>
              <w:top w:val="nil"/>
              <w:left w:val="nil"/>
              <w:bottom w:val="nil"/>
              <w:right w:val="nil"/>
            </w:tcBorders>
            <w:shd w:val="clear" w:color="auto" w:fill="auto"/>
            <w:noWrap/>
            <w:hideMark/>
          </w:tcPr>
          <w:p w14:paraId="0397ADF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6CFA88A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6259E61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2DDC851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7FEA14B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522AE45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5286A84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12F3BC3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224.3</w:t>
            </w:r>
          </w:p>
        </w:tc>
        <w:tc>
          <w:tcPr>
            <w:tcW w:w="920" w:type="dxa"/>
            <w:tcBorders>
              <w:top w:val="nil"/>
              <w:left w:val="nil"/>
              <w:bottom w:val="nil"/>
              <w:right w:val="nil"/>
            </w:tcBorders>
            <w:shd w:val="clear" w:color="auto" w:fill="auto"/>
            <w:noWrap/>
            <w:vAlign w:val="bottom"/>
            <w:hideMark/>
          </w:tcPr>
          <w:p w14:paraId="2B88317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58.8</w:t>
            </w:r>
          </w:p>
        </w:tc>
        <w:tc>
          <w:tcPr>
            <w:tcW w:w="741" w:type="dxa"/>
            <w:tcBorders>
              <w:top w:val="nil"/>
              <w:left w:val="nil"/>
              <w:bottom w:val="nil"/>
              <w:right w:val="nil"/>
            </w:tcBorders>
            <w:shd w:val="clear" w:color="auto" w:fill="auto"/>
            <w:noWrap/>
            <w:vAlign w:val="bottom"/>
            <w:hideMark/>
          </w:tcPr>
          <w:p w14:paraId="22DE97D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60.8</w:t>
            </w:r>
          </w:p>
        </w:tc>
        <w:tc>
          <w:tcPr>
            <w:tcW w:w="785" w:type="dxa"/>
            <w:tcBorders>
              <w:top w:val="nil"/>
              <w:left w:val="nil"/>
              <w:bottom w:val="nil"/>
              <w:right w:val="nil"/>
            </w:tcBorders>
            <w:shd w:val="clear" w:color="auto" w:fill="auto"/>
            <w:noWrap/>
            <w:vAlign w:val="bottom"/>
            <w:hideMark/>
          </w:tcPr>
          <w:p w14:paraId="5075003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53.2</w:t>
            </w:r>
          </w:p>
        </w:tc>
        <w:tc>
          <w:tcPr>
            <w:tcW w:w="732" w:type="dxa"/>
            <w:tcBorders>
              <w:top w:val="nil"/>
              <w:left w:val="nil"/>
              <w:bottom w:val="nil"/>
              <w:right w:val="nil"/>
            </w:tcBorders>
            <w:shd w:val="clear" w:color="auto" w:fill="auto"/>
            <w:noWrap/>
            <w:vAlign w:val="bottom"/>
            <w:hideMark/>
          </w:tcPr>
          <w:p w14:paraId="3396B67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805.9</w:t>
            </w:r>
          </w:p>
        </w:tc>
        <w:tc>
          <w:tcPr>
            <w:tcW w:w="860" w:type="dxa"/>
            <w:tcBorders>
              <w:top w:val="nil"/>
              <w:left w:val="nil"/>
              <w:bottom w:val="nil"/>
              <w:right w:val="nil"/>
            </w:tcBorders>
            <w:shd w:val="clear" w:color="auto" w:fill="auto"/>
            <w:noWrap/>
            <w:vAlign w:val="bottom"/>
            <w:hideMark/>
          </w:tcPr>
          <w:p w14:paraId="37E1F32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109.7</w:t>
            </w:r>
          </w:p>
        </w:tc>
        <w:tc>
          <w:tcPr>
            <w:tcW w:w="960" w:type="dxa"/>
            <w:tcBorders>
              <w:top w:val="nil"/>
              <w:left w:val="nil"/>
              <w:bottom w:val="nil"/>
              <w:right w:val="nil"/>
            </w:tcBorders>
            <w:shd w:val="clear" w:color="auto" w:fill="auto"/>
            <w:noWrap/>
            <w:vAlign w:val="bottom"/>
            <w:hideMark/>
          </w:tcPr>
          <w:p w14:paraId="723AF54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39.2</w:t>
            </w:r>
          </w:p>
        </w:tc>
        <w:tc>
          <w:tcPr>
            <w:tcW w:w="689" w:type="dxa"/>
            <w:tcBorders>
              <w:top w:val="nil"/>
              <w:left w:val="nil"/>
              <w:bottom w:val="nil"/>
              <w:right w:val="nil"/>
            </w:tcBorders>
            <w:shd w:val="clear" w:color="auto" w:fill="auto"/>
            <w:noWrap/>
            <w:vAlign w:val="bottom"/>
            <w:hideMark/>
          </w:tcPr>
          <w:p w14:paraId="5AE0FFF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33.4</w:t>
            </w:r>
          </w:p>
        </w:tc>
        <w:tc>
          <w:tcPr>
            <w:tcW w:w="1000" w:type="dxa"/>
            <w:tcBorders>
              <w:top w:val="nil"/>
              <w:left w:val="nil"/>
              <w:bottom w:val="nil"/>
              <w:right w:val="nil"/>
            </w:tcBorders>
            <w:shd w:val="clear" w:color="auto" w:fill="auto"/>
            <w:noWrap/>
            <w:vAlign w:val="bottom"/>
            <w:hideMark/>
          </w:tcPr>
          <w:p w14:paraId="04C83F6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173.5</w:t>
            </w:r>
          </w:p>
        </w:tc>
      </w:tr>
      <w:tr w:rsidR="00F26016" w:rsidRPr="00F26016" w14:paraId="4E53AE7F" w14:textId="77777777" w:rsidTr="00F26016">
        <w:trPr>
          <w:trHeight w:val="300"/>
        </w:trPr>
        <w:tc>
          <w:tcPr>
            <w:tcW w:w="1140" w:type="dxa"/>
            <w:tcBorders>
              <w:top w:val="nil"/>
              <w:left w:val="nil"/>
              <w:bottom w:val="nil"/>
              <w:right w:val="nil"/>
            </w:tcBorders>
            <w:shd w:val="clear" w:color="auto" w:fill="auto"/>
            <w:noWrap/>
            <w:hideMark/>
          </w:tcPr>
          <w:p w14:paraId="21CF6CA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44</w:t>
            </w:r>
          </w:p>
        </w:tc>
        <w:tc>
          <w:tcPr>
            <w:tcW w:w="1200" w:type="dxa"/>
            <w:tcBorders>
              <w:top w:val="nil"/>
              <w:left w:val="nil"/>
              <w:bottom w:val="nil"/>
              <w:right w:val="nil"/>
            </w:tcBorders>
            <w:shd w:val="clear" w:color="auto" w:fill="auto"/>
            <w:noWrap/>
            <w:hideMark/>
          </w:tcPr>
          <w:p w14:paraId="2D873E0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386418D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731AD39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6733302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31CA1C5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31AEBC0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176F504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2466719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6.4</w:t>
            </w:r>
          </w:p>
        </w:tc>
        <w:tc>
          <w:tcPr>
            <w:tcW w:w="920" w:type="dxa"/>
            <w:tcBorders>
              <w:top w:val="nil"/>
              <w:left w:val="nil"/>
              <w:bottom w:val="nil"/>
              <w:right w:val="nil"/>
            </w:tcBorders>
            <w:shd w:val="clear" w:color="auto" w:fill="auto"/>
            <w:noWrap/>
            <w:vAlign w:val="bottom"/>
            <w:hideMark/>
          </w:tcPr>
          <w:p w14:paraId="09201BC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56.0</w:t>
            </w:r>
          </w:p>
        </w:tc>
        <w:tc>
          <w:tcPr>
            <w:tcW w:w="741" w:type="dxa"/>
            <w:tcBorders>
              <w:top w:val="nil"/>
              <w:left w:val="nil"/>
              <w:bottom w:val="nil"/>
              <w:right w:val="nil"/>
            </w:tcBorders>
            <w:shd w:val="clear" w:color="auto" w:fill="auto"/>
            <w:noWrap/>
            <w:vAlign w:val="bottom"/>
            <w:hideMark/>
          </w:tcPr>
          <w:p w14:paraId="2FD7439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8.1</w:t>
            </w:r>
          </w:p>
        </w:tc>
        <w:tc>
          <w:tcPr>
            <w:tcW w:w="785" w:type="dxa"/>
            <w:tcBorders>
              <w:top w:val="nil"/>
              <w:left w:val="nil"/>
              <w:bottom w:val="nil"/>
              <w:right w:val="nil"/>
            </w:tcBorders>
            <w:shd w:val="clear" w:color="auto" w:fill="auto"/>
            <w:noWrap/>
            <w:vAlign w:val="bottom"/>
            <w:hideMark/>
          </w:tcPr>
          <w:p w14:paraId="7047DF1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25.5</w:t>
            </w:r>
          </w:p>
        </w:tc>
        <w:tc>
          <w:tcPr>
            <w:tcW w:w="732" w:type="dxa"/>
            <w:tcBorders>
              <w:top w:val="nil"/>
              <w:left w:val="nil"/>
              <w:bottom w:val="nil"/>
              <w:right w:val="nil"/>
            </w:tcBorders>
            <w:shd w:val="clear" w:color="auto" w:fill="auto"/>
            <w:noWrap/>
            <w:vAlign w:val="bottom"/>
            <w:hideMark/>
          </w:tcPr>
          <w:p w14:paraId="1045CE1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119.7</w:t>
            </w:r>
          </w:p>
        </w:tc>
        <w:tc>
          <w:tcPr>
            <w:tcW w:w="860" w:type="dxa"/>
            <w:tcBorders>
              <w:top w:val="nil"/>
              <w:left w:val="nil"/>
              <w:bottom w:val="nil"/>
              <w:right w:val="nil"/>
            </w:tcBorders>
            <w:shd w:val="clear" w:color="auto" w:fill="auto"/>
            <w:noWrap/>
            <w:vAlign w:val="bottom"/>
            <w:hideMark/>
          </w:tcPr>
          <w:p w14:paraId="610041A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76.0</w:t>
            </w:r>
          </w:p>
        </w:tc>
        <w:tc>
          <w:tcPr>
            <w:tcW w:w="960" w:type="dxa"/>
            <w:tcBorders>
              <w:top w:val="nil"/>
              <w:left w:val="nil"/>
              <w:bottom w:val="nil"/>
              <w:right w:val="nil"/>
            </w:tcBorders>
            <w:shd w:val="clear" w:color="auto" w:fill="auto"/>
            <w:noWrap/>
            <w:vAlign w:val="bottom"/>
            <w:hideMark/>
          </w:tcPr>
          <w:p w14:paraId="61E3F38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12.3</w:t>
            </w:r>
          </w:p>
        </w:tc>
        <w:tc>
          <w:tcPr>
            <w:tcW w:w="689" w:type="dxa"/>
            <w:tcBorders>
              <w:top w:val="nil"/>
              <w:left w:val="nil"/>
              <w:bottom w:val="nil"/>
              <w:right w:val="nil"/>
            </w:tcBorders>
            <w:shd w:val="clear" w:color="auto" w:fill="auto"/>
            <w:noWrap/>
            <w:vAlign w:val="bottom"/>
            <w:hideMark/>
          </w:tcPr>
          <w:p w14:paraId="01020A3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12.5</w:t>
            </w:r>
          </w:p>
        </w:tc>
        <w:tc>
          <w:tcPr>
            <w:tcW w:w="1000" w:type="dxa"/>
            <w:tcBorders>
              <w:top w:val="nil"/>
              <w:left w:val="nil"/>
              <w:bottom w:val="nil"/>
              <w:right w:val="nil"/>
            </w:tcBorders>
            <w:shd w:val="clear" w:color="auto" w:fill="auto"/>
            <w:noWrap/>
            <w:vAlign w:val="bottom"/>
            <w:hideMark/>
          </w:tcPr>
          <w:p w14:paraId="464E8BB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129.2</w:t>
            </w:r>
          </w:p>
        </w:tc>
      </w:tr>
      <w:tr w:rsidR="00F26016" w:rsidRPr="00F26016" w14:paraId="175B2275" w14:textId="77777777" w:rsidTr="00F26016">
        <w:trPr>
          <w:trHeight w:val="300"/>
        </w:trPr>
        <w:tc>
          <w:tcPr>
            <w:tcW w:w="1140" w:type="dxa"/>
            <w:tcBorders>
              <w:top w:val="nil"/>
              <w:left w:val="nil"/>
              <w:bottom w:val="nil"/>
              <w:right w:val="nil"/>
            </w:tcBorders>
            <w:shd w:val="clear" w:color="auto" w:fill="auto"/>
            <w:noWrap/>
            <w:hideMark/>
          </w:tcPr>
          <w:p w14:paraId="7B5A257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44</w:t>
            </w:r>
          </w:p>
        </w:tc>
        <w:tc>
          <w:tcPr>
            <w:tcW w:w="1200" w:type="dxa"/>
            <w:tcBorders>
              <w:top w:val="nil"/>
              <w:left w:val="nil"/>
              <w:bottom w:val="nil"/>
              <w:right w:val="nil"/>
            </w:tcBorders>
            <w:shd w:val="clear" w:color="auto" w:fill="auto"/>
            <w:noWrap/>
            <w:hideMark/>
          </w:tcPr>
          <w:p w14:paraId="4C5C0C3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024D66A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6E6727B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066BBA0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6DCB820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3347C27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62FD637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2DDDCA9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52.2</w:t>
            </w:r>
          </w:p>
        </w:tc>
        <w:tc>
          <w:tcPr>
            <w:tcW w:w="920" w:type="dxa"/>
            <w:tcBorders>
              <w:top w:val="nil"/>
              <w:left w:val="nil"/>
              <w:bottom w:val="nil"/>
              <w:right w:val="nil"/>
            </w:tcBorders>
            <w:shd w:val="clear" w:color="auto" w:fill="auto"/>
            <w:noWrap/>
            <w:vAlign w:val="bottom"/>
            <w:hideMark/>
          </w:tcPr>
          <w:p w14:paraId="30B0B33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163.7</w:t>
            </w:r>
          </w:p>
        </w:tc>
        <w:tc>
          <w:tcPr>
            <w:tcW w:w="741" w:type="dxa"/>
            <w:tcBorders>
              <w:top w:val="nil"/>
              <w:left w:val="nil"/>
              <w:bottom w:val="nil"/>
              <w:right w:val="nil"/>
            </w:tcBorders>
            <w:shd w:val="clear" w:color="auto" w:fill="auto"/>
            <w:noWrap/>
            <w:vAlign w:val="bottom"/>
            <w:hideMark/>
          </w:tcPr>
          <w:p w14:paraId="05D8ABC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132.9</w:t>
            </w:r>
          </w:p>
        </w:tc>
        <w:tc>
          <w:tcPr>
            <w:tcW w:w="785" w:type="dxa"/>
            <w:tcBorders>
              <w:top w:val="nil"/>
              <w:left w:val="nil"/>
              <w:bottom w:val="nil"/>
              <w:right w:val="nil"/>
            </w:tcBorders>
            <w:shd w:val="clear" w:color="auto" w:fill="auto"/>
            <w:noWrap/>
            <w:vAlign w:val="bottom"/>
            <w:hideMark/>
          </w:tcPr>
          <w:p w14:paraId="64421CB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101.4</w:t>
            </w:r>
          </w:p>
        </w:tc>
        <w:tc>
          <w:tcPr>
            <w:tcW w:w="732" w:type="dxa"/>
            <w:tcBorders>
              <w:top w:val="nil"/>
              <w:left w:val="nil"/>
              <w:bottom w:val="nil"/>
              <w:right w:val="nil"/>
            </w:tcBorders>
            <w:shd w:val="clear" w:color="auto" w:fill="auto"/>
            <w:noWrap/>
            <w:vAlign w:val="bottom"/>
            <w:hideMark/>
          </w:tcPr>
          <w:p w14:paraId="5753D61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28.6</w:t>
            </w:r>
          </w:p>
        </w:tc>
        <w:tc>
          <w:tcPr>
            <w:tcW w:w="860" w:type="dxa"/>
            <w:tcBorders>
              <w:top w:val="nil"/>
              <w:left w:val="nil"/>
              <w:bottom w:val="nil"/>
              <w:right w:val="nil"/>
            </w:tcBorders>
            <w:shd w:val="clear" w:color="auto" w:fill="auto"/>
            <w:noWrap/>
            <w:vAlign w:val="bottom"/>
            <w:hideMark/>
          </w:tcPr>
          <w:p w14:paraId="4649331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271.4</w:t>
            </w:r>
          </w:p>
        </w:tc>
        <w:tc>
          <w:tcPr>
            <w:tcW w:w="960" w:type="dxa"/>
            <w:tcBorders>
              <w:top w:val="nil"/>
              <w:left w:val="nil"/>
              <w:bottom w:val="nil"/>
              <w:right w:val="nil"/>
            </w:tcBorders>
            <w:shd w:val="clear" w:color="auto" w:fill="auto"/>
            <w:noWrap/>
            <w:vAlign w:val="bottom"/>
            <w:hideMark/>
          </w:tcPr>
          <w:p w14:paraId="013A6B3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86.1</w:t>
            </w:r>
          </w:p>
        </w:tc>
        <w:tc>
          <w:tcPr>
            <w:tcW w:w="689" w:type="dxa"/>
            <w:tcBorders>
              <w:top w:val="nil"/>
              <w:left w:val="nil"/>
              <w:bottom w:val="nil"/>
              <w:right w:val="nil"/>
            </w:tcBorders>
            <w:shd w:val="clear" w:color="auto" w:fill="auto"/>
            <w:noWrap/>
            <w:vAlign w:val="bottom"/>
            <w:hideMark/>
          </w:tcPr>
          <w:p w14:paraId="3930506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59.0</w:t>
            </w:r>
          </w:p>
        </w:tc>
        <w:tc>
          <w:tcPr>
            <w:tcW w:w="1000" w:type="dxa"/>
            <w:tcBorders>
              <w:top w:val="nil"/>
              <w:left w:val="nil"/>
              <w:bottom w:val="nil"/>
              <w:right w:val="nil"/>
            </w:tcBorders>
            <w:shd w:val="clear" w:color="auto" w:fill="auto"/>
            <w:noWrap/>
            <w:vAlign w:val="bottom"/>
            <w:hideMark/>
          </w:tcPr>
          <w:p w14:paraId="0D8A8D4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103.6</w:t>
            </w:r>
          </w:p>
        </w:tc>
      </w:tr>
      <w:tr w:rsidR="00F26016" w:rsidRPr="00F26016" w14:paraId="06CDE865" w14:textId="77777777" w:rsidTr="00F26016">
        <w:trPr>
          <w:trHeight w:val="300"/>
        </w:trPr>
        <w:tc>
          <w:tcPr>
            <w:tcW w:w="1140" w:type="dxa"/>
            <w:tcBorders>
              <w:top w:val="nil"/>
              <w:left w:val="nil"/>
              <w:bottom w:val="nil"/>
              <w:right w:val="nil"/>
            </w:tcBorders>
            <w:shd w:val="clear" w:color="auto" w:fill="auto"/>
            <w:noWrap/>
            <w:hideMark/>
          </w:tcPr>
          <w:p w14:paraId="1E459C6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46</w:t>
            </w:r>
          </w:p>
        </w:tc>
        <w:tc>
          <w:tcPr>
            <w:tcW w:w="1200" w:type="dxa"/>
            <w:tcBorders>
              <w:top w:val="nil"/>
              <w:left w:val="nil"/>
              <w:bottom w:val="nil"/>
              <w:right w:val="nil"/>
            </w:tcBorders>
            <w:shd w:val="clear" w:color="auto" w:fill="auto"/>
            <w:noWrap/>
            <w:hideMark/>
          </w:tcPr>
          <w:p w14:paraId="6F8EC4B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531E308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4839330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5566F73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6A27063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76267B3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3D52DEC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w:t>
            </w:r>
          </w:p>
        </w:tc>
        <w:tc>
          <w:tcPr>
            <w:tcW w:w="660" w:type="dxa"/>
            <w:tcBorders>
              <w:top w:val="nil"/>
              <w:left w:val="nil"/>
              <w:bottom w:val="nil"/>
              <w:right w:val="nil"/>
            </w:tcBorders>
            <w:shd w:val="clear" w:color="auto" w:fill="auto"/>
            <w:noWrap/>
            <w:vAlign w:val="bottom"/>
            <w:hideMark/>
          </w:tcPr>
          <w:p w14:paraId="2F3854E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268.8</w:t>
            </w:r>
          </w:p>
        </w:tc>
        <w:tc>
          <w:tcPr>
            <w:tcW w:w="920" w:type="dxa"/>
            <w:tcBorders>
              <w:top w:val="nil"/>
              <w:left w:val="nil"/>
              <w:bottom w:val="nil"/>
              <w:right w:val="nil"/>
            </w:tcBorders>
            <w:shd w:val="clear" w:color="auto" w:fill="auto"/>
            <w:noWrap/>
            <w:vAlign w:val="bottom"/>
            <w:hideMark/>
          </w:tcPr>
          <w:p w14:paraId="1F1CE92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69.8</w:t>
            </w:r>
          </w:p>
        </w:tc>
        <w:tc>
          <w:tcPr>
            <w:tcW w:w="741" w:type="dxa"/>
            <w:tcBorders>
              <w:top w:val="nil"/>
              <w:left w:val="nil"/>
              <w:bottom w:val="nil"/>
              <w:right w:val="nil"/>
            </w:tcBorders>
            <w:shd w:val="clear" w:color="auto" w:fill="auto"/>
            <w:noWrap/>
            <w:vAlign w:val="bottom"/>
            <w:hideMark/>
          </w:tcPr>
          <w:p w14:paraId="33290D2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60.8</w:t>
            </w:r>
          </w:p>
        </w:tc>
        <w:tc>
          <w:tcPr>
            <w:tcW w:w="785" w:type="dxa"/>
            <w:tcBorders>
              <w:top w:val="nil"/>
              <w:left w:val="nil"/>
              <w:bottom w:val="nil"/>
              <w:right w:val="nil"/>
            </w:tcBorders>
            <w:shd w:val="clear" w:color="auto" w:fill="auto"/>
            <w:noWrap/>
            <w:vAlign w:val="bottom"/>
            <w:hideMark/>
          </w:tcPr>
          <w:p w14:paraId="48E978E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81.3</w:t>
            </w:r>
          </w:p>
        </w:tc>
        <w:tc>
          <w:tcPr>
            <w:tcW w:w="732" w:type="dxa"/>
            <w:tcBorders>
              <w:top w:val="nil"/>
              <w:left w:val="nil"/>
              <w:bottom w:val="nil"/>
              <w:right w:val="nil"/>
            </w:tcBorders>
            <w:shd w:val="clear" w:color="auto" w:fill="auto"/>
            <w:noWrap/>
            <w:vAlign w:val="bottom"/>
            <w:hideMark/>
          </w:tcPr>
          <w:p w14:paraId="3FD07F4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750.6</w:t>
            </w:r>
          </w:p>
        </w:tc>
        <w:tc>
          <w:tcPr>
            <w:tcW w:w="860" w:type="dxa"/>
            <w:tcBorders>
              <w:top w:val="nil"/>
              <w:left w:val="nil"/>
              <w:bottom w:val="nil"/>
              <w:right w:val="nil"/>
            </w:tcBorders>
            <w:shd w:val="clear" w:color="auto" w:fill="auto"/>
            <w:noWrap/>
            <w:vAlign w:val="bottom"/>
            <w:hideMark/>
          </w:tcPr>
          <w:p w14:paraId="3CAE96B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189.9</w:t>
            </w:r>
          </w:p>
        </w:tc>
        <w:tc>
          <w:tcPr>
            <w:tcW w:w="960" w:type="dxa"/>
            <w:tcBorders>
              <w:top w:val="nil"/>
              <w:left w:val="nil"/>
              <w:bottom w:val="nil"/>
              <w:right w:val="nil"/>
            </w:tcBorders>
            <w:shd w:val="clear" w:color="auto" w:fill="auto"/>
            <w:noWrap/>
            <w:vAlign w:val="bottom"/>
            <w:hideMark/>
          </w:tcPr>
          <w:p w14:paraId="10D8A38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32.3</w:t>
            </w:r>
          </w:p>
        </w:tc>
        <w:tc>
          <w:tcPr>
            <w:tcW w:w="689" w:type="dxa"/>
            <w:tcBorders>
              <w:top w:val="nil"/>
              <w:left w:val="nil"/>
              <w:bottom w:val="nil"/>
              <w:right w:val="nil"/>
            </w:tcBorders>
            <w:shd w:val="clear" w:color="auto" w:fill="auto"/>
            <w:noWrap/>
            <w:vAlign w:val="bottom"/>
            <w:hideMark/>
          </w:tcPr>
          <w:p w14:paraId="6205481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31.0</w:t>
            </w:r>
          </w:p>
        </w:tc>
        <w:tc>
          <w:tcPr>
            <w:tcW w:w="1000" w:type="dxa"/>
            <w:tcBorders>
              <w:top w:val="nil"/>
              <w:left w:val="nil"/>
              <w:bottom w:val="nil"/>
              <w:right w:val="nil"/>
            </w:tcBorders>
            <w:shd w:val="clear" w:color="auto" w:fill="auto"/>
            <w:noWrap/>
            <w:vAlign w:val="bottom"/>
            <w:hideMark/>
          </w:tcPr>
          <w:p w14:paraId="7FAC0F2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153.2</w:t>
            </w:r>
          </w:p>
        </w:tc>
      </w:tr>
      <w:tr w:rsidR="00F26016" w:rsidRPr="00F26016" w14:paraId="2F8CA13B" w14:textId="77777777" w:rsidTr="00F26016">
        <w:trPr>
          <w:trHeight w:val="300"/>
        </w:trPr>
        <w:tc>
          <w:tcPr>
            <w:tcW w:w="1140" w:type="dxa"/>
            <w:tcBorders>
              <w:top w:val="nil"/>
              <w:left w:val="nil"/>
              <w:bottom w:val="nil"/>
              <w:right w:val="nil"/>
            </w:tcBorders>
            <w:shd w:val="clear" w:color="auto" w:fill="auto"/>
            <w:noWrap/>
            <w:hideMark/>
          </w:tcPr>
          <w:p w14:paraId="2459182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46</w:t>
            </w:r>
          </w:p>
        </w:tc>
        <w:tc>
          <w:tcPr>
            <w:tcW w:w="1200" w:type="dxa"/>
            <w:tcBorders>
              <w:top w:val="nil"/>
              <w:left w:val="nil"/>
              <w:bottom w:val="nil"/>
              <w:right w:val="nil"/>
            </w:tcBorders>
            <w:shd w:val="clear" w:color="auto" w:fill="auto"/>
            <w:noWrap/>
            <w:hideMark/>
          </w:tcPr>
          <w:p w14:paraId="090133A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0E26E46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05145A3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78D5EF4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42498E4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1AE4DE3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592EA1D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w:t>
            </w:r>
          </w:p>
        </w:tc>
        <w:tc>
          <w:tcPr>
            <w:tcW w:w="660" w:type="dxa"/>
            <w:tcBorders>
              <w:top w:val="nil"/>
              <w:left w:val="nil"/>
              <w:bottom w:val="nil"/>
              <w:right w:val="nil"/>
            </w:tcBorders>
            <w:shd w:val="clear" w:color="auto" w:fill="auto"/>
            <w:noWrap/>
            <w:vAlign w:val="bottom"/>
            <w:hideMark/>
          </w:tcPr>
          <w:p w14:paraId="6D03096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w:t>
            </w:r>
          </w:p>
        </w:tc>
        <w:tc>
          <w:tcPr>
            <w:tcW w:w="920" w:type="dxa"/>
            <w:tcBorders>
              <w:top w:val="nil"/>
              <w:left w:val="nil"/>
              <w:bottom w:val="nil"/>
              <w:right w:val="nil"/>
            </w:tcBorders>
            <w:shd w:val="clear" w:color="auto" w:fill="auto"/>
            <w:noWrap/>
            <w:vAlign w:val="bottom"/>
            <w:hideMark/>
          </w:tcPr>
          <w:p w14:paraId="288D520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69.1</w:t>
            </w:r>
          </w:p>
        </w:tc>
        <w:tc>
          <w:tcPr>
            <w:tcW w:w="741" w:type="dxa"/>
            <w:tcBorders>
              <w:top w:val="nil"/>
              <w:left w:val="nil"/>
              <w:bottom w:val="nil"/>
              <w:right w:val="nil"/>
            </w:tcBorders>
            <w:shd w:val="clear" w:color="auto" w:fill="auto"/>
            <w:noWrap/>
            <w:vAlign w:val="bottom"/>
            <w:hideMark/>
          </w:tcPr>
          <w:p w14:paraId="509159B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13.2</w:t>
            </w:r>
          </w:p>
        </w:tc>
        <w:tc>
          <w:tcPr>
            <w:tcW w:w="785" w:type="dxa"/>
            <w:tcBorders>
              <w:top w:val="nil"/>
              <w:left w:val="nil"/>
              <w:bottom w:val="nil"/>
              <w:right w:val="nil"/>
            </w:tcBorders>
            <w:shd w:val="clear" w:color="auto" w:fill="auto"/>
            <w:noWrap/>
            <w:vAlign w:val="bottom"/>
            <w:hideMark/>
          </w:tcPr>
          <w:p w14:paraId="732BCCF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37.3</w:t>
            </w:r>
          </w:p>
        </w:tc>
        <w:tc>
          <w:tcPr>
            <w:tcW w:w="732" w:type="dxa"/>
            <w:tcBorders>
              <w:top w:val="nil"/>
              <w:left w:val="nil"/>
              <w:bottom w:val="nil"/>
              <w:right w:val="nil"/>
            </w:tcBorders>
            <w:shd w:val="clear" w:color="auto" w:fill="auto"/>
            <w:noWrap/>
            <w:vAlign w:val="bottom"/>
            <w:hideMark/>
          </w:tcPr>
          <w:p w14:paraId="726434B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177.9</w:t>
            </w:r>
          </w:p>
        </w:tc>
        <w:tc>
          <w:tcPr>
            <w:tcW w:w="860" w:type="dxa"/>
            <w:tcBorders>
              <w:top w:val="nil"/>
              <w:left w:val="nil"/>
              <w:bottom w:val="nil"/>
              <w:right w:val="nil"/>
            </w:tcBorders>
            <w:shd w:val="clear" w:color="auto" w:fill="auto"/>
            <w:noWrap/>
            <w:vAlign w:val="bottom"/>
            <w:hideMark/>
          </w:tcPr>
          <w:p w14:paraId="094747D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91.5</w:t>
            </w:r>
          </w:p>
        </w:tc>
        <w:tc>
          <w:tcPr>
            <w:tcW w:w="960" w:type="dxa"/>
            <w:tcBorders>
              <w:top w:val="nil"/>
              <w:left w:val="nil"/>
              <w:bottom w:val="nil"/>
              <w:right w:val="nil"/>
            </w:tcBorders>
            <w:shd w:val="clear" w:color="auto" w:fill="auto"/>
            <w:noWrap/>
            <w:vAlign w:val="bottom"/>
            <w:hideMark/>
          </w:tcPr>
          <w:p w14:paraId="0E9BEA9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14.2</w:t>
            </w:r>
          </w:p>
        </w:tc>
        <w:tc>
          <w:tcPr>
            <w:tcW w:w="689" w:type="dxa"/>
            <w:tcBorders>
              <w:top w:val="nil"/>
              <w:left w:val="nil"/>
              <w:bottom w:val="nil"/>
              <w:right w:val="nil"/>
            </w:tcBorders>
            <w:shd w:val="clear" w:color="auto" w:fill="auto"/>
            <w:noWrap/>
            <w:vAlign w:val="bottom"/>
            <w:hideMark/>
          </w:tcPr>
          <w:p w14:paraId="0E832A0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28.1</w:t>
            </w:r>
          </w:p>
        </w:tc>
        <w:tc>
          <w:tcPr>
            <w:tcW w:w="1000" w:type="dxa"/>
            <w:tcBorders>
              <w:top w:val="nil"/>
              <w:left w:val="nil"/>
              <w:bottom w:val="nil"/>
              <w:right w:val="nil"/>
            </w:tcBorders>
            <w:shd w:val="clear" w:color="auto" w:fill="auto"/>
            <w:noWrap/>
            <w:vAlign w:val="bottom"/>
            <w:hideMark/>
          </w:tcPr>
          <w:p w14:paraId="58F0F8F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130.9</w:t>
            </w:r>
          </w:p>
        </w:tc>
      </w:tr>
      <w:tr w:rsidR="00F26016" w:rsidRPr="00F26016" w14:paraId="144E1A3E" w14:textId="77777777" w:rsidTr="00F26016">
        <w:trPr>
          <w:trHeight w:val="300"/>
        </w:trPr>
        <w:tc>
          <w:tcPr>
            <w:tcW w:w="1140" w:type="dxa"/>
            <w:tcBorders>
              <w:top w:val="nil"/>
              <w:left w:val="nil"/>
              <w:bottom w:val="nil"/>
              <w:right w:val="nil"/>
            </w:tcBorders>
            <w:shd w:val="clear" w:color="auto" w:fill="auto"/>
            <w:noWrap/>
            <w:hideMark/>
          </w:tcPr>
          <w:p w14:paraId="41122B6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46</w:t>
            </w:r>
          </w:p>
        </w:tc>
        <w:tc>
          <w:tcPr>
            <w:tcW w:w="1200" w:type="dxa"/>
            <w:tcBorders>
              <w:top w:val="nil"/>
              <w:left w:val="nil"/>
              <w:bottom w:val="nil"/>
              <w:right w:val="nil"/>
            </w:tcBorders>
            <w:shd w:val="clear" w:color="auto" w:fill="auto"/>
            <w:noWrap/>
            <w:hideMark/>
          </w:tcPr>
          <w:p w14:paraId="7118CA0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5F0AD7F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3E0CEB5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10AD27B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5DD8AF4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5CC8376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0802BF7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w:t>
            </w:r>
          </w:p>
        </w:tc>
        <w:tc>
          <w:tcPr>
            <w:tcW w:w="660" w:type="dxa"/>
            <w:tcBorders>
              <w:top w:val="nil"/>
              <w:left w:val="nil"/>
              <w:bottom w:val="nil"/>
              <w:right w:val="nil"/>
            </w:tcBorders>
            <w:shd w:val="clear" w:color="auto" w:fill="auto"/>
            <w:noWrap/>
            <w:vAlign w:val="bottom"/>
            <w:hideMark/>
          </w:tcPr>
          <w:p w14:paraId="6C77150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73.0</w:t>
            </w:r>
          </w:p>
        </w:tc>
        <w:tc>
          <w:tcPr>
            <w:tcW w:w="920" w:type="dxa"/>
            <w:tcBorders>
              <w:top w:val="nil"/>
              <w:left w:val="nil"/>
              <w:bottom w:val="nil"/>
              <w:right w:val="nil"/>
            </w:tcBorders>
            <w:shd w:val="clear" w:color="auto" w:fill="auto"/>
            <w:noWrap/>
            <w:vAlign w:val="bottom"/>
            <w:hideMark/>
          </w:tcPr>
          <w:p w14:paraId="2F6EE2F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184.6</w:t>
            </w:r>
          </w:p>
        </w:tc>
        <w:tc>
          <w:tcPr>
            <w:tcW w:w="741" w:type="dxa"/>
            <w:tcBorders>
              <w:top w:val="nil"/>
              <w:left w:val="nil"/>
              <w:bottom w:val="nil"/>
              <w:right w:val="nil"/>
            </w:tcBorders>
            <w:shd w:val="clear" w:color="auto" w:fill="auto"/>
            <w:noWrap/>
            <w:vAlign w:val="bottom"/>
            <w:hideMark/>
          </w:tcPr>
          <w:p w14:paraId="4C052E5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172.1</w:t>
            </w:r>
          </w:p>
        </w:tc>
        <w:tc>
          <w:tcPr>
            <w:tcW w:w="785" w:type="dxa"/>
            <w:tcBorders>
              <w:top w:val="nil"/>
              <w:left w:val="nil"/>
              <w:bottom w:val="nil"/>
              <w:right w:val="nil"/>
            </w:tcBorders>
            <w:shd w:val="clear" w:color="auto" w:fill="auto"/>
            <w:noWrap/>
            <w:vAlign w:val="bottom"/>
            <w:hideMark/>
          </w:tcPr>
          <w:p w14:paraId="7DCE891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127.1</w:t>
            </w:r>
          </w:p>
        </w:tc>
        <w:tc>
          <w:tcPr>
            <w:tcW w:w="732" w:type="dxa"/>
            <w:tcBorders>
              <w:top w:val="nil"/>
              <w:left w:val="nil"/>
              <w:bottom w:val="nil"/>
              <w:right w:val="nil"/>
            </w:tcBorders>
            <w:shd w:val="clear" w:color="auto" w:fill="auto"/>
            <w:noWrap/>
            <w:vAlign w:val="bottom"/>
            <w:hideMark/>
          </w:tcPr>
          <w:p w14:paraId="776DB22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130.1</w:t>
            </w:r>
          </w:p>
        </w:tc>
        <w:tc>
          <w:tcPr>
            <w:tcW w:w="860" w:type="dxa"/>
            <w:tcBorders>
              <w:top w:val="nil"/>
              <w:left w:val="nil"/>
              <w:bottom w:val="nil"/>
              <w:right w:val="nil"/>
            </w:tcBorders>
            <w:shd w:val="clear" w:color="auto" w:fill="auto"/>
            <w:noWrap/>
            <w:vAlign w:val="bottom"/>
            <w:hideMark/>
          </w:tcPr>
          <w:p w14:paraId="4659A0E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389.5</w:t>
            </w:r>
          </w:p>
        </w:tc>
        <w:tc>
          <w:tcPr>
            <w:tcW w:w="960" w:type="dxa"/>
            <w:tcBorders>
              <w:top w:val="nil"/>
              <w:left w:val="nil"/>
              <w:bottom w:val="nil"/>
              <w:right w:val="nil"/>
            </w:tcBorders>
            <w:shd w:val="clear" w:color="auto" w:fill="auto"/>
            <w:noWrap/>
            <w:vAlign w:val="bottom"/>
            <w:hideMark/>
          </w:tcPr>
          <w:p w14:paraId="777E59B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68.6</w:t>
            </w:r>
          </w:p>
        </w:tc>
        <w:tc>
          <w:tcPr>
            <w:tcW w:w="689" w:type="dxa"/>
            <w:tcBorders>
              <w:top w:val="nil"/>
              <w:left w:val="nil"/>
              <w:bottom w:val="nil"/>
              <w:right w:val="nil"/>
            </w:tcBorders>
            <w:shd w:val="clear" w:color="auto" w:fill="auto"/>
            <w:noWrap/>
            <w:vAlign w:val="bottom"/>
            <w:hideMark/>
          </w:tcPr>
          <w:p w14:paraId="4544AA3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12.1</w:t>
            </w:r>
          </w:p>
        </w:tc>
        <w:tc>
          <w:tcPr>
            <w:tcW w:w="1000" w:type="dxa"/>
            <w:tcBorders>
              <w:top w:val="nil"/>
              <w:left w:val="nil"/>
              <w:bottom w:val="nil"/>
              <w:right w:val="nil"/>
            </w:tcBorders>
            <w:shd w:val="clear" w:color="auto" w:fill="auto"/>
            <w:noWrap/>
            <w:vAlign w:val="bottom"/>
            <w:hideMark/>
          </w:tcPr>
          <w:p w14:paraId="764370D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97.6</w:t>
            </w:r>
          </w:p>
        </w:tc>
      </w:tr>
      <w:tr w:rsidR="00F26016" w:rsidRPr="00F26016" w14:paraId="145A4B06" w14:textId="77777777" w:rsidTr="00F26016">
        <w:trPr>
          <w:trHeight w:val="300"/>
        </w:trPr>
        <w:tc>
          <w:tcPr>
            <w:tcW w:w="1140" w:type="dxa"/>
            <w:tcBorders>
              <w:top w:val="nil"/>
              <w:left w:val="nil"/>
              <w:bottom w:val="nil"/>
              <w:right w:val="nil"/>
            </w:tcBorders>
            <w:shd w:val="clear" w:color="auto" w:fill="auto"/>
            <w:noWrap/>
            <w:hideMark/>
          </w:tcPr>
          <w:p w14:paraId="1351807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1200" w:type="dxa"/>
            <w:tcBorders>
              <w:top w:val="nil"/>
              <w:left w:val="nil"/>
              <w:bottom w:val="nil"/>
              <w:right w:val="nil"/>
            </w:tcBorders>
            <w:shd w:val="clear" w:color="auto" w:fill="auto"/>
            <w:noWrap/>
            <w:hideMark/>
          </w:tcPr>
          <w:p w14:paraId="38BAE53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74F87CD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7BD9583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5C19D3E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65E2247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2F9EFA1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00ED626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2DE4002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230.9</w:t>
            </w:r>
          </w:p>
        </w:tc>
        <w:tc>
          <w:tcPr>
            <w:tcW w:w="920" w:type="dxa"/>
            <w:tcBorders>
              <w:top w:val="nil"/>
              <w:left w:val="nil"/>
              <w:bottom w:val="nil"/>
              <w:right w:val="nil"/>
            </w:tcBorders>
            <w:shd w:val="clear" w:color="auto" w:fill="auto"/>
            <w:noWrap/>
            <w:vAlign w:val="bottom"/>
            <w:hideMark/>
          </w:tcPr>
          <w:p w14:paraId="1EE694A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52.4</w:t>
            </w:r>
          </w:p>
        </w:tc>
        <w:tc>
          <w:tcPr>
            <w:tcW w:w="741" w:type="dxa"/>
            <w:tcBorders>
              <w:top w:val="nil"/>
              <w:left w:val="nil"/>
              <w:bottom w:val="nil"/>
              <w:right w:val="nil"/>
            </w:tcBorders>
            <w:shd w:val="clear" w:color="auto" w:fill="auto"/>
            <w:noWrap/>
            <w:vAlign w:val="bottom"/>
            <w:hideMark/>
          </w:tcPr>
          <w:p w14:paraId="0EE1069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58.0</w:t>
            </w:r>
          </w:p>
        </w:tc>
        <w:tc>
          <w:tcPr>
            <w:tcW w:w="785" w:type="dxa"/>
            <w:tcBorders>
              <w:top w:val="nil"/>
              <w:left w:val="nil"/>
              <w:bottom w:val="nil"/>
              <w:right w:val="nil"/>
            </w:tcBorders>
            <w:shd w:val="clear" w:color="auto" w:fill="auto"/>
            <w:noWrap/>
            <w:vAlign w:val="bottom"/>
            <w:hideMark/>
          </w:tcPr>
          <w:p w14:paraId="69C6E17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51.3</w:t>
            </w:r>
          </w:p>
        </w:tc>
        <w:tc>
          <w:tcPr>
            <w:tcW w:w="732" w:type="dxa"/>
            <w:tcBorders>
              <w:top w:val="nil"/>
              <w:left w:val="nil"/>
              <w:bottom w:val="nil"/>
              <w:right w:val="nil"/>
            </w:tcBorders>
            <w:shd w:val="clear" w:color="auto" w:fill="auto"/>
            <w:noWrap/>
            <w:vAlign w:val="bottom"/>
            <w:hideMark/>
          </w:tcPr>
          <w:p w14:paraId="0DC3F46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848.1</w:t>
            </w:r>
          </w:p>
        </w:tc>
        <w:tc>
          <w:tcPr>
            <w:tcW w:w="860" w:type="dxa"/>
            <w:tcBorders>
              <w:top w:val="nil"/>
              <w:left w:val="nil"/>
              <w:bottom w:val="nil"/>
              <w:right w:val="nil"/>
            </w:tcBorders>
            <w:shd w:val="clear" w:color="auto" w:fill="auto"/>
            <w:noWrap/>
            <w:vAlign w:val="bottom"/>
            <w:hideMark/>
          </w:tcPr>
          <w:p w14:paraId="3182BEC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76.5</w:t>
            </w:r>
          </w:p>
        </w:tc>
        <w:tc>
          <w:tcPr>
            <w:tcW w:w="960" w:type="dxa"/>
            <w:tcBorders>
              <w:top w:val="nil"/>
              <w:left w:val="nil"/>
              <w:bottom w:val="nil"/>
              <w:right w:val="nil"/>
            </w:tcBorders>
            <w:shd w:val="clear" w:color="auto" w:fill="auto"/>
            <w:noWrap/>
            <w:vAlign w:val="bottom"/>
            <w:hideMark/>
          </w:tcPr>
          <w:p w14:paraId="7FDD78B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39.1</w:t>
            </w:r>
          </w:p>
        </w:tc>
        <w:tc>
          <w:tcPr>
            <w:tcW w:w="689" w:type="dxa"/>
            <w:tcBorders>
              <w:top w:val="nil"/>
              <w:left w:val="nil"/>
              <w:bottom w:val="nil"/>
              <w:right w:val="nil"/>
            </w:tcBorders>
            <w:shd w:val="clear" w:color="auto" w:fill="auto"/>
            <w:noWrap/>
            <w:vAlign w:val="bottom"/>
            <w:hideMark/>
          </w:tcPr>
          <w:p w14:paraId="6E6DB71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24.4</w:t>
            </w:r>
          </w:p>
        </w:tc>
        <w:tc>
          <w:tcPr>
            <w:tcW w:w="1000" w:type="dxa"/>
            <w:tcBorders>
              <w:top w:val="nil"/>
              <w:left w:val="nil"/>
              <w:bottom w:val="nil"/>
              <w:right w:val="nil"/>
            </w:tcBorders>
            <w:shd w:val="clear" w:color="auto" w:fill="auto"/>
            <w:noWrap/>
            <w:vAlign w:val="bottom"/>
            <w:hideMark/>
          </w:tcPr>
          <w:p w14:paraId="0215AB5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160.5</w:t>
            </w:r>
          </w:p>
        </w:tc>
      </w:tr>
      <w:tr w:rsidR="00F26016" w:rsidRPr="00F26016" w14:paraId="13C71F7E" w14:textId="77777777" w:rsidTr="00F26016">
        <w:trPr>
          <w:trHeight w:val="300"/>
        </w:trPr>
        <w:tc>
          <w:tcPr>
            <w:tcW w:w="1140" w:type="dxa"/>
            <w:tcBorders>
              <w:top w:val="nil"/>
              <w:left w:val="nil"/>
              <w:bottom w:val="nil"/>
              <w:right w:val="nil"/>
            </w:tcBorders>
            <w:shd w:val="clear" w:color="auto" w:fill="auto"/>
            <w:noWrap/>
            <w:hideMark/>
          </w:tcPr>
          <w:p w14:paraId="66FCDDA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1200" w:type="dxa"/>
            <w:tcBorders>
              <w:top w:val="nil"/>
              <w:left w:val="nil"/>
              <w:bottom w:val="nil"/>
              <w:right w:val="nil"/>
            </w:tcBorders>
            <w:shd w:val="clear" w:color="auto" w:fill="auto"/>
            <w:noWrap/>
            <w:hideMark/>
          </w:tcPr>
          <w:p w14:paraId="0DD1250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2B86DFC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7042B0E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498953D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3461B1A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22E8172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3CCCE65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1BAD9A2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6.5</w:t>
            </w:r>
          </w:p>
        </w:tc>
        <w:tc>
          <w:tcPr>
            <w:tcW w:w="920" w:type="dxa"/>
            <w:tcBorders>
              <w:top w:val="nil"/>
              <w:left w:val="nil"/>
              <w:bottom w:val="nil"/>
              <w:right w:val="nil"/>
            </w:tcBorders>
            <w:shd w:val="clear" w:color="auto" w:fill="auto"/>
            <w:noWrap/>
            <w:vAlign w:val="bottom"/>
            <w:hideMark/>
          </w:tcPr>
          <w:p w14:paraId="6DFECDD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47.0</w:t>
            </w:r>
          </w:p>
        </w:tc>
        <w:tc>
          <w:tcPr>
            <w:tcW w:w="741" w:type="dxa"/>
            <w:tcBorders>
              <w:top w:val="nil"/>
              <w:left w:val="nil"/>
              <w:bottom w:val="nil"/>
              <w:right w:val="nil"/>
            </w:tcBorders>
            <w:shd w:val="clear" w:color="auto" w:fill="auto"/>
            <w:noWrap/>
            <w:vAlign w:val="bottom"/>
            <w:hideMark/>
          </w:tcPr>
          <w:p w14:paraId="632C640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9.4</w:t>
            </w:r>
          </w:p>
        </w:tc>
        <w:tc>
          <w:tcPr>
            <w:tcW w:w="785" w:type="dxa"/>
            <w:tcBorders>
              <w:top w:val="nil"/>
              <w:left w:val="nil"/>
              <w:bottom w:val="nil"/>
              <w:right w:val="nil"/>
            </w:tcBorders>
            <w:shd w:val="clear" w:color="auto" w:fill="auto"/>
            <w:noWrap/>
            <w:vAlign w:val="bottom"/>
            <w:hideMark/>
          </w:tcPr>
          <w:p w14:paraId="3905A0E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25.4</w:t>
            </w:r>
          </w:p>
        </w:tc>
        <w:tc>
          <w:tcPr>
            <w:tcW w:w="732" w:type="dxa"/>
            <w:tcBorders>
              <w:top w:val="nil"/>
              <w:left w:val="nil"/>
              <w:bottom w:val="nil"/>
              <w:right w:val="nil"/>
            </w:tcBorders>
            <w:shd w:val="clear" w:color="auto" w:fill="auto"/>
            <w:noWrap/>
            <w:vAlign w:val="bottom"/>
            <w:hideMark/>
          </w:tcPr>
          <w:p w14:paraId="27FB9C2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133.0</w:t>
            </w:r>
          </w:p>
        </w:tc>
        <w:tc>
          <w:tcPr>
            <w:tcW w:w="860" w:type="dxa"/>
            <w:tcBorders>
              <w:top w:val="nil"/>
              <w:left w:val="nil"/>
              <w:bottom w:val="nil"/>
              <w:right w:val="nil"/>
            </w:tcBorders>
            <w:shd w:val="clear" w:color="auto" w:fill="auto"/>
            <w:noWrap/>
            <w:vAlign w:val="bottom"/>
            <w:hideMark/>
          </w:tcPr>
          <w:p w14:paraId="7AA19DB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69.3</w:t>
            </w:r>
          </w:p>
        </w:tc>
        <w:tc>
          <w:tcPr>
            <w:tcW w:w="960" w:type="dxa"/>
            <w:tcBorders>
              <w:top w:val="nil"/>
              <w:left w:val="nil"/>
              <w:bottom w:val="nil"/>
              <w:right w:val="nil"/>
            </w:tcBorders>
            <w:shd w:val="clear" w:color="auto" w:fill="auto"/>
            <w:noWrap/>
            <w:vAlign w:val="bottom"/>
            <w:hideMark/>
          </w:tcPr>
          <w:p w14:paraId="252D504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14.6</w:t>
            </w:r>
          </w:p>
        </w:tc>
        <w:tc>
          <w:tcPr>
            <w:tcW w:w="689" w:type="dxa"/>
            <w:tcBorders>
              <w:top w:val="nil"/>
              <w:left w:val="nil"/>
              <w:bottom w:val="nil"/>
              <w:right w:val="nil"/>
            </w:tcBorders>
            <w:shd w:val="clear" w:color="auto" w:fill="auto"/>
            <w:noWrap/>
            <w:vAlign w:val="bottom"/>
            <w:hideMark/>
          </w:tcPr>
          <w:p w14:paraId="566C730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95.3</w:t>
            </w:r>
          </w:p>
        </w:tc>
        <w:tc>
          <w:tcPr>
            <w:tcW w:w="1000" w:type="dxa"/>
            <w:tcBorders>
              <w:top w:val="nil"/>
              <w:left w:val="nil"/>
              <w:bottom w:val="nil"/>
              <w:right w:val="nil"/>
            </w:tcBorders>
            <w:shd w:val="clear" w:color="auto" w:fill="auto"/>
            <w:noWrap/>
            <w:vAlign w:val="bottom"/>
            <w:hideMark/>
          </w:tcPr>
          <w:p w14:paraId="1984B95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145.4</w:t>
            </w:r>
          </w:p>
        </w:tc>
      </w:tr>
      <w:tr w:rsidR="00F26016" w:rsidRPr="00F26016" w14:paraId="7ED80637" w14:textId="77777777" w:rsidTr="00F26016">
        <w:trPr>
          <w:trHeight w:val="300"/>
        </w:trPr>
        <w:tc>
          <w:tcPr>
            <w:tcW w:w="1140" w:type="dxa"/>
            <w:tcBorders>
              <w:top w:val="nil"/>
              <w:left w:val="nil"/>
              <w:bottom w:val="nil"/>
              <w:right w:val="nil"/>
            </w:tcBorders>
            <w:shd w:val="clear" w:color="auto" w:fill="auto"/>
            <w:noWrap/>
            <w:hideMark/>
          </w:tcPr>
          <w:p w14:paraId="590FD2E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1200" w:type="dxa"/>
            <w:tcBorders>
              <w:top w:val="nil"/>
              <w:left w:val="nil"/>
              <w:bottom w:val="nil"/>
              <w:right w:val="nil"/>
            </w:tcBorders>
            <w:shd w:val="clear" w:color="auto" w:fill="auto"/>
            <w:noWrap/>
            <w:hideMark/>
          </w:tcPr>
          <w:p w14:paraId="4F1BCA1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782538E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4704367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07A9DFD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1AFC79C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62D8456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1DEC055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0294E06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60.1</w:t>
            </w:r>
          </w:p>
        </w:tc>
        <w:tc>
          <w:tcPr>
            <w:tcW w:w="920" w:type="dxa"/>
            <w:tcBorders>
              <w:top w:val="nil"/>
              <w:left w:val="nil"/>
              <w:bottom w:val="nil"/>
              <w:right w:val="nil"/>
            </w:tcBorders>
            <w:shd w:val="clear" w:color="auto" w:fill="auto"/>
            <w:noWrap/>
            <w:vAlign w:val="bottom"/>
            <w:hideMark/>
          </w:tcPr>
          <w:p w14:paraId="2471791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185.8</w:t>
            </w:r>
          </w:p>
        </w:tc>
        <w:tc>
          <w:tcPr>
            <w:tcW w:w="741" w:type="dxa"/>
            <w:tcBorders>
              <w:top w:val="nil"/>
              <w:left w:val="nil"/>
              <w:bottom w:val="nil"/>
              <w:right w:val="nil"/>
            </w:tcBorders>
            <w:shd w:val="clear" w:color="auto" w:fill="auto"/>
            <w:noWrap/>
            <w:vAlign w:val="bottom"/>
            <w:hideMark/>
          </w:tcPr>
          <w:p w14:paraId="303ECDC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213.6</w:t>
            </w:r>
          </w:p>
        </w:tc>
        <w:tc>
          <w:tcPr>
            <w:tcW w:w="785" w:type="dxa"/>
            <w:tcBorders>
              <w:top w:val="nil"/>
              <w:left w:val="nil"/>
              <w:bottom w:val="nil"/>
              <w:right w:val="nil"/>
            </w:tcBorders>
            <w:shd w:val="clear" w:color="auto" w:fill="auto"/>
            <w:noWrap/>
            <w:vAlign w:val="bottom"/>
            <w:hideMark/>
          </w:tcPr>
          <w:p w14:paraId="746A4AF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142.3</w:t>
            </w:r>
          </w:p>
        </w:tc>
        <w:tc>
          <w:tcPr>
            <w:tcW w:w="732" w:type="dxa"/>
            <w:tcBorders>
              <w:top w:val="nil"/>
              <w:left w:val="nil"/>
              <w:bottom w:val="nil"/>
              <w:right w:val="nil"/>
            </w:tcBorders>
            <w:shd w:val="clear" w:color="auto" w:fill="auto"/>
            <w:noWrap/>
            <w:vAlign w:val="bottom"/>
            <w:hideMark/>
          </w:tcPr>
          <w:p w14:paraId="2CCC1FC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155.9</w:t>
            </w:r>
          </w:p>
        </w:tc>
        <w:tc>
          <w:tcPr>
            <w:tcW w:w="860" w:type="dxa"/>
            <w:tcBorders>
              <w:top w:val="nil"/>
              <w:left w:val="nil"/>
              <w:bottom w:val="nil"/>
              <w:right w:val="nil"/>
            </w:tcBorders>
            <w:shd w:val="clear" w:color="auto" w:fill="auto"/>
            <w:noWrap/>
            <w:vAlign w:val="bottom"/>
            <w:hideMark/>
          </w:tcPr>
          <w:p w14:paraId="2DED15C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340.4</w:t>
            </w:r>
          </w:p>
        </w:tc>
        <w:tc>
          <w:tcPr>
            <w:tcW w:w="960" w:type="dxa"/>
            <w:tcBorders>
              <w:top w:val="nil"/>
              <w:left w:val="nil"/>
              <w:bottom w:val="nil"/>
              <w:right w:val="nil"/>
            </w:tcBorders>
            <w:shd w:val="clear" w:color="auto" w:fill="auto"/>
            <w:noWrap/>
            <w:vAlign w:val="bottom"/>
            <w:hideMark/>
          </w:tcPr>
          <w:p w14:paraId="7B68408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99.3</w:t>
            </w:r>
          </w:p>
        </w:tc>
        <w:tc>
          <w:tcPr>
            <w:tcW w:w="689" w:type="dxa"/>
            <w:tcBorders>
              <w:top w:val="nil"/>
              <w:left w:val="nil"/>
              <w:bottom w:val="nil"/>
              <w:right w:val="nil"/>
            </w:tcBorders>
            <w:shd w:val="clear" w:color="auto" w:fill="auto"/>
            <w:noWrap/>
            <w:vAlign w:val="bottom"/>
            <w:hideMark/>
          </w:tcPr>
          <w:p w14:paraId="697FD2A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234.2</w:t>
            </w:r>
          </w:p>
        </w:tc>
        <w:tc>
          <w:tcPr>
            <w:tcW w:w="1000" w:type="dxa"/>
            <w:tcBorders>
              <w:top w:val="nil"/>
              <w:left w:val="nil"/>
              <w:bottom w:val="nil"/>
              <w:right w:val="nil"/>
            </w:tcBorders>
            <w:shd w:val="clear" w:color="auto" w:fill="auto"/>
            <w:noWrap/>
            <w:vAlign w:val="bottom"/>
            <w:hideMark/>
          </w:tcPr>
          <w:p w14:paraId="67C1549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109.8</w:t>
            </w:r>
          </w:p>
        </w:tc>
      </w:tr>
      <w:tr w:rsidR="00F26016" w:rsidRPr="00F26016" w14:paraId="2E730D2D" w14:textId="77777777" w:rsidTr="00F26016">
        <w:trPr>
          <w:trHeight w:val="300"/>
        </w:trPr>
        <w:tc>
          <w:tcPr>
            <w:tcW w:w="1140" w:type="dxa"/>
            <w:tcBorders>
              <w:top w:val="nil"/>
              <w:left w:val="nil"/>
              <w:bottom w:val="nil"/>
              <w:right w:val="nil"/>
            </w:tcBorders>
            <w:shd w:val="clear" w:color="auto" w:fill="auto"/>
            <w:noWrap/>
            <w:hideMark/>
          </w:tcPr>
          <w:p w14:paraId="40735D7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w:t>
            </w:r>
          </w:p>
        </w:tc>
        <w:tc>
          <w:tcPr>
            <w:tcW w:w="1200" w:type="dxa"/>
            <w:tcBorders>
              <w:top w:val="nil"/>
              <w:left w:val="nil"/>
              <w:bottom w:val="nil"/>
              <w:right w:val="nil"/>
            </w:tcBorders>
            <w:shd w:val="clear" w:color="auto" w:fill="auto"/>
            <w:noWrap/>
            <w:hideMark/>
          </w:tcPr>
          <w:p w14:paraId="24D6B22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5B7DFE1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0B8912A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249DF5F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5AF13E3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73ECED7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635EE97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4B30329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168.1</w:t>
            </w:r>
          </w:p>
        </w:tc>
        <w:tc>
          <w:tcPr>
            <w:tcW w:w="920" w:type="dxa"/>
            <w:tcBorders>
              <w:top w:val="nil"/>
              <w:left w:val="nil"/>
              <w:bottom w:val="nil"/>
              <w:right w:val="nil"/>
            </w:tcBorders>
            <w:shd w:val="clear" w:color="auto" w:fill="auto"/>
            <w:noWrap/>
            <w:vAlign w:val="bottom"/>
            <w:hideMark/>
          </w:tcPr>
          <w:p w14:paraId="1312481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44.6</w:t>
            </w:r>
          </w:p>
        </w:tc>
        <w:tc>
          <w:tcPr>
            <w:tcW w:w="741" w:type="dxa"/>
            <w:tcBorders>
              <w:top w:val="nil"/>
              <w:left w:val="nil"/>
              <w:bottom w:val="nil"/>
              <w:right w:val="nil"/>
            </w:tcBorders>
            <w:shd w:val="clear" w:color="auto" w:fill="auto"/>
            <w:noWrap/>
            <w:vAlign w:val="bottom"/>
            <w:hideMark/>
          </w:tcPr>
          <w:p w14:paraId="3F65584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36.6</w:t>
            </w:r>
          </w:p>
        </w:tc>
        <w:tc>
          <w:tcPr>
            <w:tcW w:w="785" w:type="dxa"/>
            <w:tcBorders>
              <w:top w:val="nil"/>
              <w:left w:val="nil"/>
              <w:bottom w:val="nil"/>
              <w:right w:val="nil"/>
            </w:tcBorders>
            <w:shd w:val="clear" w:color="auto" w:fill="auto"/>
            <w:noWrap/>
            <w:vAlign w:val="bottom"/>
            <w:hideMark/>
          </w:tcPr>
          <w:p w14:paraId="2DF86A2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61.1</w:t>
            </w:r>
          </w:p>
        </w:tc>
        <w:tc>
          <w:tcPr>
            <w:tcW w:w="732" w:type="dxa"/>
            <w:tcBorders>
              <w:top w:val="nil"/>
              <w:left w:val="nil"/>
              <w:bottom w:val="nil"/>
              <w:right w:val="nil"/>
            </w:tcBorders>
            <w:shd w:val="clear" w:color="auto" w:fill="auto"/>
            <w:noWrap/>
            <w:vAlign w:val="bottom"/>
            <w:hideMark/>
          </w:tcPr>
          <w:p w14:paraId="2E0DCD5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267.2</w:t>
            </w:r>
          </w:p>
        </w:tc>
        <w:tc>
          <w:tcPr>
            <w:tcW w:w="860" w:type="dxa"/>
            <w:tcBorders>
              <w:top w:val="nil"/>
              <w:left w:val="nil"/>
              <w:bottom w:val="nil"/>
              <w:right w:val="nil"/>
            </w:tcBorders>
            <w:shd w:val="clear" w:color="auto" w:fill="auto"/>
            <w:noWrap/>
            <w:vAlign w:val="bottom"/>
            <w:hideMark/>
          </w:tcPr>
          <w:p w14:paraId="628A39C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161.9</w:t>
            </w:r>
          </w:p>
        </w:tc>
        <w:tc>
          <w:tcPr>
            <w:tcW w:w="960" w:type="dxa"/>
            <w:tcBorders>
              <w:top w:val="nil"/>
              <w:left w:val="nil"/>
              <w:bottom w:val="nil"/>
              <w:right w:val="nil"/>
            </w:tcBorders>
            <w:shd w:val="clear" w:color="auto" w:fill="auto"/>
            <w:noWrap/>
            <w:vAlign w:val="bottom"/>
            <w:hideMark/>
          </w:tcPr>
          <w:p w14:paraId="6BD828B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37.5</w:t>
            </w:r>
          </w:p>
        </w:tc>
        <w:tc>
          <w:tcPr>
            <w:tcW w:w="689" w:type="dxa"/>
            <w:tcBorders>
              <w:top w:val="nil"/>
              <w:left w:val="nil"/>
              <w:bottom w:val="nil"/>
              <w:right w:val="nil"/>
            </w:tcBorders>
            <w:shd w:val="clear" w:color="auto" w:fill="auto"/>
            <w:noWrap/>
            <w:vAlign w:val="bottom"/>
            <w:hideMark/>
          </w:tcPr>
          <w:p w14:paraId="5E9FCE7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10.4</w:t>
            </w:r>
          </w:p>
        </w:tc>
        <w:tc>
          <w:tcPr>
            <w:tcW w:w="1000" w:type="dxa"/>
            <w:tcBorders>
              <w:top w:val="nil"/>
              <w:left w:val="nil"/>
              <w:bottom w:val="nil"/>
              <w:right w:val="nil"/>
            </w:tcBorders>
            <w:shd w:val="clear" w:color="auto" w:fill="auto"/>
            <w:noWrap/>
            <w:vAlign w:val="bottom"/>
            <w:hideMark/>
          </w:tcPr>
          <w:p w14:paraId="33C1D77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173.6</w:t>
            </w:r>
          </w:p>
        </w:tc>
      </w:tr>
      <w:tr w:rsidR="00F26016" w:rsidRPr="00F26016" w14:paraId="6B60D632" w14:textId="77777777" w:rsidTr="00F26016">
        <w:trPr>
          <w:trHeight w:val="300"/>
        </w:trPr>
        <w:tc>
          <w:tcPr>
            <w:tcW w:w="1140" w:type="dxa"/>
            <w:tcBorders>
              <w:top w:val="nil"/>
              <w:left w:val="nil"/>
              <w:bottom w:val="nil"/>
              <w:right w:val="nil"/>
            </w:tcBorders>
            <w:shd w:val="clear" w:color="auto" w:fill="auto"/>
            <w:noWrap/>
            <w:hideMark/>
          </w:tcPr>
          <w:p w14:paraId="0ECD4C3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w:t>
            </w:r>
          </w:p>
        </w:tc>
        <w:tc>
          <w:tcPr>
            <w:tcW w:w="1200" w:type="dxa"/>
            <w:tcBorders>
              <w:top w:val="nil"/>
              <w:left w:val="nil"/>
              <w:bottom w:val="nil"/>
              <w:right w:val="nil"/>
            </w:tcBorders>
            <w:shd w:val="clear" w:color="auto" w:fill="auto"/>
            <w:noWrap/>
            <w:hideMark/>
          </w:tcPr>
          <w:p w14:paraId="74F2B8A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1EA26EC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5880A43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5A29406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7B98888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25B9BBF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616BE8C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03CE57D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7.7</w:t>
            </w:r>
          </w:p>
        </w:tc>
        <w:tc>
          <w:tcPr>
            <w:tcW w:w="920" w:type="dxa"/>
            <w:tcBorders>
              <w:top w:val="nil"/>
              <w:left w:val="nil"/>
              <w:bottom w:val="nil"/>
              <w:right w:val="nil"/>
            </w:tcBorders>
            <w:shd w:val="clear" w:color="auto" w:fill="auto"/>
            <w:noWrap/>
            <w:vAlign w:val="bottom"/>
            <w:hideMark/>
          </w:tcPr>
          <w:p w14:paraId="1E0D81E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62.4</w:t>
            </w:r>
          </w:p>
        </w:tc>
        <w:tc>
          <w:tcPr>
            <w:tcW w:w="741" w:type="dxa"/>
            <w:tcBorders>
              <w:top w:val="nil"/>
              <w:left w:val="nil"/>
              <w:bottom w:val="nil"/>
              <w:right w:val="nil"/>
            </w:tcBorders>
            <w:shd w:val="clear" w:color="auto" w:fill="auto"/>
            <w:noWrap/>
            <w:vAlign w:val="bottom"/>
            <w:hideMark/>
          </w:tcPr>
          <w:p w14:paraId="073CE20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11.5</w:t>
            </w:r>
          </w:p>
        </w:tc>
        <w:tc>
          <w:tcPr>
            <w:tcW w:w="785" w:type="dxa"/>
            <w:tcBorders>
              <w:top w:val="nil"/>
              <w:left w:val="nil"/>
              <w:bottom w:val="nil"/>
              <w:right w:val="nil"/>
            </w:tcBorders>
            <w:shd w:val="clear" w:color="auto" w:fill="auto"/>
            <w:noWrap/>
            <w:vAlign w:val="bottom"/>
            <w:hideMark/>
          </w:tcPr>
          <w:p w14:paraId="45B88E2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35.3</w:t>
            </w:r>
          </w:p>
        </w:tc>
        <w:tc>
          <w:tcPr>
            <w:tcW w:w="732" w:type="dxa"/>
            <w:tcBorders>
              <w:top w:val="nil"/>
              <w:left w:val="nil"/>
              <w:bottom w:val="nil"/>
              <w:right w:val="nil"/>
            </w:tcBorders>
            <w:shd w:val="clear" w:color="auto" w:fill="auto"/>
            <w:noWrap/>
            <w:vAlign w:val="bottom"/>
            <w:hideMark/>
          </w:tcPr>
          <w:p w14:paraId="54320C9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105.9</w:t>
            </w:r>
          </w:p>
        </w:tc>
        <w:tc>
          <w:tcPr>
            <w:tcW w:w="860" w:type="dxa"/>
            <w:tcBorders>
              <w:top w:val="nil"/>
              <w:left w:val="nil"/>
              <w:bottom w:val="nil"/>
              <w:right w:val="nil"/>
            </w:tcBorders>
            <w:shd w:val="clear" w:color="auto" w:fill="auto"/>
            <w:noWrap/>
            <w:vAlign w:val="bottom"/>
            <w:hideMark/>
          </w:tcPr>
          <w:p w14:paraId="1F19CCF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85.2</w:t>
            </w:r>
          </w:p>
        </w:tc>
        <w:tc>
          <w:tcPr>
            <w:tcW w:w="960" w:type="dxa"/>
            <w:tcBorders>
              <w:top w:val="nil"/>
              <w:left w:val="nil"/>
              <w:bottom w:val="nil"/>
              <w:right w:val="nil"/>
            </w:tcBorders>
            <w:shd w:val="clear" w:color="auto" w:fill="auto"/>
            <w:noWrap/>
            <w:vAlign w:val="bottom"/>
            <w:hideMark/>
          </w:tcPr>
          <w:p w14:paraId="3BD88D2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17.3</w:t>
            </w:r>
          </w:p>
        </w:tc>
        <w:tc>
          <w:tcPr>
            <w:tcW w:w="689" w:type="dxa"/>
            <w:tcBorders>
              <w:top w:val="nil"/>
              <w:left w:val="nil"/>
              <w:bottom w:val="nil"/>
              <w:right w:val="nil"/>
            </w:tcBorders>
            <w:shd w:val="clear" w:color="auto" w:fill="auto"/>
            <w:noWrap/>
            <w:vAlign w:val="bottom"/>
            <w:hideMark/>
          </w:tcPr>
          <w:p w14:paraId="7DABC2D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18.5</w:t>
            </w:r>
          </w:p>
        </w:tc>
        <w:tc>
          <w:tcPr>
            <w:tcW w:w="1000" w:type="dxa"/>
            <w:tcBorders>
              <w:top w:val="nil"/>
              <w:left w:val="nil"/>
              <w:bottom w:val="nil"/>
              <w:right w:val="nil"/>
            </w:tcBorders>
            <w:shd w:val="clear" w:color="auto" w:fill="auto"/>
            <w:noWrap/>
            <w:vAlign w:val="bottom"/>
            <w:hideMark/>
          </w:tcPr>
          <w:p w14:paraId="415EC2B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138.4</w:t>
            </w:r>
          </w:p>
        </w:tc>
      </w:tr>
      <w:tr w:rsidR="00F26016" w:rsidRPr="00F26016" w14:paraId="4ADA145D" w14:textId="77777777" w:rsidTr="00F26016">
        <w:trPr>
          <w:trHeight w:val="300"/>
        </w:trPr>
        <w:tc>
          <w:tcPr>
            <w:tcW w:w="1140" w:type="dxa"/>
            <w:tcBorders>
              <w:top w:val="nil"/>
              <w:left w:val="nil"/>
              <w:bottom w:val="nil"/>
              <w:right w:val="nil"/>
            </w:tcBorders>
            <w:shd w:val="clear" w:color="auto" w:fill="auto"/>
            <w:noWrap/>
            <w:hideMark/>
          </w:tcPr>
          <w:p w14:paraId="7D0635B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w:t>
            </w:r>
          </w:p>
        </w:tc>
        <w:tc>
          <w:tcPr>
            <w:tcW w:w="1200" w:type="dxa"/>
            <w:tcBorders>
              <w:top w:val="nil"/>
              <w:left w:val="nil"/>
              <w:bottom w:val="nil"/>
              <w:right w:val="nil"/>
            </w:tcBorders>
            <w:shd w:val="clear" w:color="auto" w:fill="auto"/>
            <w:noWrap/>
            <w:hideMark/>
          </w:tcPr>
          <w:p w14:paraId="7246DF7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23F8483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06F7AB1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666C73C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69A2062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07D42D1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71D19F8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11E2847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56.7</w:t>
            </w:r>
          </w:p>
        </w:tc>
        <w:tc>
          <w:tcPr>
            <w:tcW w:w="920" w:type="dxa"/>
            <w:tcBorders>
              <w:top w:val="nil"/>
              <w:left w:val="nil"/>
              <w:bottom w:val="nil"/>
              <w:right w:val="nil"/>
            </w:tcBorders>
            <w:shd w:val="clear" w:color="auto" w:fill="auto"/>
            <w:noWrap/>
            <w:vAlign w:val="bottom"/>
            <w:hideMark/>
          </w:tcPr>
          <w:p w14:paraId="39FFC11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166.0</w:t>
            </w:r>
          </w:p>
        </w:tc>
        <w:tc>
          <w:tcPr>
            <w:tcW w:w="741" w:type="dxa"/>
            <w:tcBorders>
              <w:top w:val="nil"/>
              <w:left w:val="nil"/>
              <w:bottom w:val="nil"/>
              <w:right w:val="nil"/>
            </w:tcBorders>
            <w:shd w:val="clear" w:color="auto" w:fill="auto"/>
            <w:noWrap/>
            <w:vAlign w:val="bottom"/>
            <w:hideMark/>
          </w:tcPr>
          <w:p w14:paraId="239F414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164.5</w:t>
            </w:r>
          </w:p>
        </w:tc>
        <w:tc>
          <w:tcPr>
            <w:tcW w:w="785" w:type="dxa"/>
            <w:tcBorders>
              <w:top w:val="nil"/>
              <w:left w:val="nil"/>
              <w:bottom w:val="nil"/>
              <w:right w:val="nil"/>
            </w:tcBorders>
            <w:shd w:val="clear" w:color="auto" w:fill="auto"/>
            <w:noWrap/>
            <w:vAlign w:val="bottom"/>
            <w:hideMark/>
          </w:tcPr>
          <w:p w14:paraId="2F9759C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103.5</w:t>
            </w:r>
          </w:p>
        </w:tc>
        <w:tc>
          <w:tcPr>
            <w:tcW w:w="732" w:type="dxa"/>
            <w:tcBorders>
              <w:top w:val="nil"/>
              <w:left w:val="nil"/>
              <w:bottom w:val="nil"/>
              <w:right w:val="nil"/>
            </w:tcBorders>
            <w:shd w:val="clear" w:color="auto" w:fill="auto"/>
            <w:noWrap/>
            <w:vAlign w:val="bottom"/>
            <w:hideMark/>
          </w:tcPr>
          <w:p w14:paraId="5C5B976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33.4</w:t>
            </w:r>
          </w:p>
        </w:tc>
        <w:tc>
          <w:tcPr>
            <w:tcW w:w="860" w:type="dxa"/>
            <w:tcBorders>
              <w:top w:val="nil"/>
              <w:left w:val="nil"/>
              <w:bottom w:val="nil"/>
              <w:right w:val="nil"/>
            </w:tcBorders>
            <w:shd w:val="clear" w:color="auto" w:fill="auto"/>
            <w:noWrap/>
            <w:vAlign w:val="bottom"/>
            <w:hideMark/>
          </w:tcPr>
          <w:p w14:paraId="40CC5D8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303.4</w:t>
            </w:r>
          </w:p>
        </w:tc>
        <w:tc>
          <w:tcPr>
            <w:tcW w:w="960" w:type="dxa"/>
            <w:tcBorders>
              <w:top w:val="nil"/>
              <w:left w:val="nil"/>
              <w:bottom w:val="nil"/>
              <w:right w:val="nil"/>
            </w:tcBorders>
            <w:shd w:val="clear" w:color="auto" w:fill="auto"/>
            <w:noWrap/>
            <w:vAlign w:val="bottom"/>
            <w:hideMark/>
          </w:tcPr>
          <w:p w14:paraId="7B2BE6D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87.0</w:t>
            </w:r>
          </w:p>
        </w:tc>
        <w:tc>
          <w:tcPr>
            <w:tcW w:w="689" w:type="dxa"/>
            <w:tcBorders>
              <w:top w:val="nil"/>
              <w:left w:val="nil"/>
              <w:bottom w:val="nil"/>
              <w:right w:val="nil"/>
            </w:tcBorders>
            <w:shd w:val="clear" w:color="auto" w:fill="auto"/>
            <w:noWrap/>
            <w:vAlign w:val="bottom"/>
            <w:hideMark/>
          </w:tcPr>
          <w:p w14:paraId="5E43C32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35.9</w:t>
            </w:r>
          </w:p>
        </w:tc>
        <w:tc>
          <w:tcPr>
            <w:tcW w:w="1000" w:type="dxa"/>
            <w:tcBorders>
              <w:top w:val="nil"/>
              <w:left w:val="nil"/>
              <w:bottom w:val="nil"/>
              <w:right w:val="nil"/>
            </w:tcBorders>
            <w:shd w:val="clear" w:color="auto" w:fill="auto"/>
            <w:noWrap/>
            <w:vAlign w:val="bottom"/>
            <w:hideMark/>
          </w:tcPr>
          <w:p w14:paraId="68A2DBE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110.4</w:t>
            </w:r>
          </w:p>
        </w:tc>
      </w:tr>
      <w:tr w:rsidR="00F26016" w:rsidRPr="00F26016" w14:paraId="49CA2A84" w14:textId="77777777" w:rsidTr="00F26016">
        <w:trPr>
          <w:trHeight w:val="300"/>
        </w:trPr>
        <w:tc>
          <w:tcPr>
            <w:tcW w:w="1140" w:type="dxa"/>
            <w:tcBorders>
              <w:top w:val="nil"/>
              <w:left w:val="nil"/>
              <w:bottom w:val="nil"/>
              <w:right w:val="nil"/>
            </w:tcBorders>
            <w:shd w:val="clear" w:color="auto" w:fill="auto"/>
            <w:noWrap/>
            <w:hideMark/>
          </w:tcPr>
          <w:p w14:paraId="2B4C148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57</w:t>
            </w:r>
          </w:p>
        </w:tc>
        <w:tc>
          <w:tcPr>
            <w:tcW w:w="1200" w:type="dxa"/>
            <w:tcBorders>
              <w:top w:val="nil"/>
              <w:left w:val="nil"/>
              <w:bottom w:val="nil"/>
              <w:right w:val="nil"/>
            </w:tcBorders>
            <w:shd w:val="clear" w:color="auto" w:fill="auto"/>
            <w:noWrap/>
            <w:hideMark/>
          </w:tcPr>
          <w:p w14:paraId="20BBF8E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66486D7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039B526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78B4344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34461D8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00E76B3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4909903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0EEDBF3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136.7</w:t>
            </w:r>
          </w:p>
        </w:tc>
        <w:tc>
          <w:tcPr>
            <w:tcW w:w="920" w:type="dxa"/>
            <w:tcBorders>
              <w:top w:val="nil"/>
              <w:left w:val="nil"/>
              <w:bottom w:val="nil"/>
              <w:right w:val="nil"/>
            </w:tcBorders>
            <w:shd w:val="clear" w:color="auto" w:fill="auto"/>
            <w:noWrap/>
            <w:vAlign w:val="bottom"/>
            <w:hideMark/>
          </w:tcPr>
          <w:p w14:paraId="51CE236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52.1</w:t>
            </w:r>
          </w:p>
        </w:tc>
        <w:tc>
          <w:tcPr>
            <w:tcW w:w="741" w:type="dxa"/>
            <w:tcBorders>
              <w:top w:val="nil"/>
              <w:left w:val="nil"/>
              <w:bottom w:val="nil"/>
              <w:right w:val="nil"/>
            </w:tcBorders>
            <w:shd w:val="clear" w:color="auto" w:fill="auto"/>
            <w:noWrap/>
            <w:vAlign w:val="bottom"/>
            <w:hideMark/>
          </w:tcPr>
          <w:p w14:paraId="6C3138F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28.5</w:t>
            </w:r>
          </w:p>
        </w:tc>
        <w:tc>
          <w:tcPr>
            <w:tcW w:w="785" w:type="dxa"/>
            <w:tcBorders>
              <w:top w:val="nil"/>
              <w:left w:val="nil"/>
              <w:bottom w:val="nil"/>
              <w:right w:val="nil"/>
            </w:tcBorders>
            <w:shd w:val="clear" w:color="auto" w:fill="auto"/>
            <w:noWrap/>
            <w:vAlign w:val="bottom"/>
            <w:hideMark/>
          </w:tcPr>
          <w:p w14:paraId="3763B3C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57.0</w:t>
            </w:r>
          </w:p>
        </w:tc>
        <w:tc>
          <w:tcPr>
            <w:tcW w:w="732" w:type="dxa"/>
            <w:tcBorders>
              <w:top w:val="nil"/>
              <w:left w:val="nil"/>
              <w:bottom w:val="nil"/>
              <w:right w:val="nil"/>
            </w:tcBorders>
            <w:shd w:val="clear" w:color="auto" w:fill="auto"/>
            <w:noWrap/>
            <w:vAlign w:val="bottom"/>
            <w:hideMark/>
          </w:tcPr>
          <w:p w14:paraId="06F39A0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253.7</w:t>
            </w:r>
          </w:p>
        </w:tc>
        <w:tc>
          <w:tcPr>
            <w:tcW w:w="860" w:type="dxa"/>
            <w:tcBorders>
              <w:top w:val="nil"/>
              <w:left w:val="nil"/>
              <w:bottom w:val="nil"/>
              <w:right w:val="nil"/>
            </w:tcBorders>
            <w:shd w:val="clear" w:color="auto" w:fill="auto"/>
            <w:noWrap/>
            <w:vAlign w:val="bottom"/>
            <w:hideMark/>
          </w:tcPr>
          <w:p w14:paraId="4A67D64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156.9</w:t>
            </w:r>
          </w:p>
        </w:tc>
        <w:tc>
          <w:tcPr>
            <w:tcW w:w="960" w:type="dxa"/>
            <w:tcBorders>
              <w:top w:val="nil"/>
              <w:left w:val="nil"/>
              <w:bottom w:val="nil"/>
              <w:right w:val="nil"/>
            </w:tcBorders>
            <w:shd w:val="clear" w:color="auto" w:fill="auto"/>
            <w:noWrap/>
            <w:vAlign w:val="bottom"/>
            <w:hideMark/>
          </w:tcPr>
          <w:p w14:paraId="0C9356C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40.2</w:t>
            </w:r>
          </w:p>
        </w:tc>
        <w:tc>
          <w:tcPr>
            <w:tcW w:w="689" w:type="dxa"/>
            <w:tcBorders>
              <w:top w:val="nil"/>
              <w:left w:val="nil"/>
              <w:bottom w:val="nil"/>
              <w:right w:val="nil"/>
            </w:tcBorders>
            <w:shd w:val="clear" w:color="auto" w:fill="auto"/>
            <w:noWrap/>
            <w:vAlign w:val="bottom"/>
            <w:hideMark/>
          </w:tcPr>
          <w:p w14:paraId="0B75D27D" w14:textId="77777777" w:rsidR="00F26016" w:rsidRPr="00F26016" w:rsidRDefault="00F26016" w:rsidP="00F26016">
            <w:pPr>
              <w:rPr>
                <w:rFonts w:ascii="Calibri" w:eastAsia="Times New Roman" w:hAnsi="Calibri" w:cs="Times New Roman"/>
                <w:color w:val="000000"/>
                <w:sz w:val="16"/>
                <w:szCs w:val="16"/>
              </w:rPr>
            </w:pPr>
          </w:p>
        </w:tc>
        <w:tc>
          <w:tcPr>
            <w:tcW w:w="1000" w:type="dxa"/>
            <w:tcBorders>
              <w:top w:val="nil"/>
              <w:left w:val="nil"/>
              <w:bottom w:val="nil"/>
              <w:right w:val="nil"/>
            </w:tcBorders>
            <w:shd w:val="clear" w:color="auto" w:fill="auto"/>
            <w:noWrap/>
            <w:vAlign w:val="bottom"/>
            <w:hideMark/>
          </w:tcPr>
          <w:p w14:paraId="4218BAF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171.6</w:t>
            </w:r>
          </w:p>
        </w:tc>
      </w:tr>
      <w:tr w:rsidR="00F26016" w:rsidRPr="00F26016" w14:paraId="70B89091" w14:textId="77777777" w:rsidTr="00F26016">
        <w:trPr>
          <w:trHeight w:val="300"/>
        </w:trPr>
        <w:tc>
          <w:tcPr>
            <w:tcW w:w="1140" w:type="dxa"/>
            <w:tcBorders>
              <w:top w:val="nil"/>
              <w:left w:val="nil"/>
              <w:bottom w:val="nil"/>
              <w:right w:val="nil"/>
            </w:tcBorders>
            <w:shd w:val="clear" w:color="auto" w:fill="auto"/>
            <w:noWrap/>
            <w:hideMark/>
          </w:tcPr>
          <w:p w14:paraId="6BCDE30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57</w:t>
            </w:r>
          </w:p>
        </w:tc>
        <w:tc>
          <w:tcPr>
            <w:tcW w:w="1200" w:type="dxa"/>
            <w:tcBorders>
              <w:top w:val="nil"/>
              <w:left w:val="nil"/>
              <w:bottom w:val="nil"/>
              <w:right w:val="nil"/>
            </w:tcBorders>
            <w:shd w:val="clear" w:color="auto" w:fill="auto"/>
            <w:noWrap/>
            <w:hideMark/>
          </w:tcPr>
          <w:p w14:paraId="548BF5B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185E235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6E7F248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1EA98AB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693C4EF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49AD956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23492AB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48F8A55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w:t>
            </w:r>
          </w:p>
        </w:tc>
        <w:tc>
          <w:tcPr>
            <w:tcW w:w="920" w:type="dxa"/>
            <w:tcBorders>
              <w:top w:val="nil"/>
              <w:left w:val="nil"/>
              <w:bottom w:val="nil"/>
              <w:right w:val="nil"/>
            </w:tcBorders>
            <w:shd w:val="clear" w:color="auto" w:fill="auto"/>
            <w:noWrap/>
            <w:vAlign w:val="bottom"/>
            <w:hideMark/>
          </w:tcPr>
          <w:p w14:paraId="05EAF16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44.0</w:t>
            </w:r>
          </w:p>
        </w:tc>
        <w:tc>
          <w:tcPr>
            <w:tcW w:w="741" w:type="dxa"/>
            <w:tcBorders>
              <w:top w:val="nil"/>
              <w:left w:val="nil"/>
              <w:bottom w:val="nil"/>
              <w:right w:val="nil"/>
            </w:tcBorders>
            <w:shd w:val="clear" w:color="auto" w:fill="auto"/>
            <w:noWrap/>
            <w:vAlign w:val="bottom"/>
            <w:hideMark/>
          </w:tcPr>
          <w:p w14:paraId="213C32F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11.8</w:t>
            </w:r>
          </w:p>
        </w:tc>
        <w:tc>
          <w:tcPr>
            <w:tcW w:w="785" w:type="dxa"/>
            <w:tcBorders>
              <w:top w:val="nil"/>
              <w:left w:val="nil"/>
              <w:bottom w:val="nil"/>
              <w:right w:val="nil"/>
            </w:tcBorders>
            <w:shd w:val="clear" w:color="auto" w:fill="auto"/>
            <w:noWrap/>
            <w:vAlign w:val="bottom"/>
            <w:hideMark/>
          </w:tcPr>
          <w:p w14:paraId="1D7B33A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35.5</w:t>
            </w:r>
          </w:p>
        </w:tc>
        <w:tc>
          <w:tcPr>
            <w:tcW w:w="732" w:type="dxa"/>
            <w:tcBorders>
              <w:top w:val="nil"/>
              <w:left w:val="nil"/>
              <w:bottom w:val="nil"/>
              <w:right w:val="nil"/>
            </w:tcBorders>
            <w:shd w:val="clear" w:color="auto" w:fill="auto"/>
            <w:noWrap/>
            <w:vAlign w:val="bottom"/>
            <w:hideMark/>
          </w:tcPr>
          <w:p w14:paraId="1A7A2B7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88.6</w:t>
            </w:r>
          </w:p>
        </w:tc>
        <w:tc>
          <w:tcPr>
            <w:tcW w:w="860" w:type="dxa"/>
            <w:tcBorders>
              <w:top w:val="nil"/>
              <w:left w:val="nil"/>
              <w:bottom w:val="nil"/>
              <w:right w:val="nil"/>
            </w:tcBorders>
            <w:shd w:val="clear" w:color="auto" w:fill="auto"/>
            <w:noWrap/>
            <w:vAlign w:val="bottom"/>
            <w:hideMark/>
          </w:tcPr>
          <w:p w14:paraId="5BE185B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85.3</w:t>
            </w:r>
          </w:p>
        </w:tc>
        <w:tc>
          <w:tcPr>
            <w:tcW w:w="960" w:type="dxa"/>
            <w:tcBorders>
              <w:top w:val="nil"/>
              <w:left w:val="nil"/>
              <w:bottom w:val="nil"/>
              <w:right w:val="nil"/>
            </w:tcBorders>
            <w:shd w:val="clear" w:color="auto" w:fill="auto"/>
            <w:noWrap/>
            <w:vAlign w:val="bottom"/>
            <w:hideMark/>
          </w:tcPr>
          <w:p w14:paraId="75D3740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18.3</w:t>
            </w:r>
          </w:p>
        </w:tc>
        <w:tc>
          <w:tcPr>
            <w:tcW w:w="689" w:type="dxa"/>
            <w:tcBorders>
              <w:top w:val="nil"/>
              <w:left w:val="nil"/>
              <w:bottom w:val="nil"/>
              <w:right w:val="nil"/>
            </w:tcBorders>
            <w:shd w:val="clear" w:color="auto" w:fill="auto"/>
            <w:noWrap/>
            <w:vAlign w:val="bottom"/>
            <w:hideMark/>
          </w:tcPr>
          <w:p w14:paraId="4C17135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81.6</w:t>
            </w:r>
          </w:p>
        </w:tc>
        <w:tc>
          <w:tcPr>
            <w:tcW w:w="1000" w:type="dxa"/>
            <w:tcBorders>
              <w:top w:val="nil"/>
              <w:left w:val="nil"/>
              <w:bottom w:val="nil"/>
              <w:right w:val="nil"/>
            </w:tcBorders>
            <w:shd w:val="clear" w:color="auto" w:fill="auto"/>
            <w:noWrap/>
            <w:vAlign w:val="bottom"/>
            <w:hideMark/>
          </w:tcPr>
          <w:p w14:paraId="2C4F13D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149.5</w:t>
            </w:r>
          </w:p>
        </w:tc>
      </w:tr>
      <w:tr w:rsidR="00F26016" w:rsidRPr="00F26016" w14:paraId="208AE439" w14:textId="77777777" w:rsidTr="00F26016">
        <w:trPr>
          <w:trHeight w:val="300"/>
        </w:trPr>
        <w:tc>
          <w:tcPr>
            <w:tcW w:w="1140" w:type="dxa"/>
            <w:tcBorders>
              <w:top w:val="nil"/>
              <w:left w:val="nil"/>
              <w:bottom w:val="nil"/>
              <w:right w:val="nil"/>
            </w:tcBorders>
            <w:shd w:val="clear" w:color="auto" w:fill="auto"/>
            <w:noWrap/>
            <w:hideMark/>
          </w:tcPr>
          <w:p w14:paraId="738F01B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57</w:t>
            </w:r>
          </w:p>
        </w:tc>
        <w:tc>
          <w:tcPr>
            <w:tcW w:w="1200" w:type="dxa"/>
            <w:tcBorders>
              <w:top w:val="nil"/>
              <w:left w:val="nil"/>
              <w:bottom w:val="nil"/>
              <w:right w:val="nil"/>
            </w:tcBorders>
            <w:shd w:val="clear" w:color="auto" w:fill="auto"/>
            <w:noWrap/>
            <w:hideMark/>
          </w:tcPr>
          <w:p w14:paraId="50427B4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217F9DD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37D64B0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3308CE7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73E5884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47AA6FA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708A1B6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7D493D8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54.5</w:t>
            </w:r>
          </w:p>
        </w:tc>
        <w:tc>
          <w:tcPr>
            <w:tcW w:w="920" w:type="dxa"/>
            <w:tcBorders>
              <w:top w:val="nil"/>
              <w:left w:val="nil"/>
              <w:bottom w:val="nil"/>
              <w:right w:val="nil"/>
            </w:tcBorders>
            <w:shd w:val="clear" w:color="auto" w:fill="auto"/>
            <w:noWrap/>
            <w:vAlign w:val="bottom"/>
            <w:hideMark/>
          </w:tcPr>
          <w:p w14:paraId="7DCAC72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156.3</w:t>
            </w:r>
          </w:p>
        </w:tc>
        <w:tc>
          <w:tcPr>
            <w:tcW w:w="741" w:type="dxa"/>
            <w:tcBorders>
              <w:top w:val="nil"/>
              <w:left w:val="nil"/>
              <w:bottom w:val="nil"/>
              <w:right w:val="nil"/>
            </w:tcBorders>
            <w:shd w:val="clear" w:color="auto" w:fill="auto"/>
            <w:noWrap/>
            <w:vAlign w:val="bottom"/>
            <w:hideMark/>
          </w:tcPr>
          <w:p w14:paraId="6746EBE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190.8</w:t>
            </w:r>
          </w:p>
        </w:tc>
        <w:tc>
          <w:tcPr>
            <w:tcW w:w="785" w:type="dxa"/>
            <w:tcBorders>
              <w:top w:val="nil"/>
              <w:left w:val="nil"/>
              <w:bottom w:val="nil"/>
              <w:right w:val="nil"/>
            </w:tcBorders>
            <w:shd w:val="clear" w:color="auto" w:fill="auto"/>
            <w:noWrap/>
            <w:vAlign w:val="bottom"/>
            <w:hideMark/>
          </w:tcPr>
          <w:p w14:paraId="26D5A4F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113.5</w:t>
            </w:r>
          </w:p>
        </w:tc>
        <w:tc>
          <w:tcPr>
            <w:tcW w:w="732" w:type="dxa"/>
            <w:tcBorders>
              <w:top w:val="nil"/>
              <w:left w:val="nil"/>
              <w:bottom w:val="nil"/>
              <w:right w:val="nil"/>
            </w:tcBorders>
            <w:shd w:val="clear" w:color="auto" w:fill="auto"/>
            <w:noWrap/>
            <w:vAlign w:val="bottom"/>
            <w:hideMark/>
          </w:tcPr>
          <w:p w14:paraId="6D263E3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198.9</w:t>
            </w:r>
          </w:p>
        </w:tc>
        <w:tc>
          <w:tcPr>
            <w:tcW w:w="860" w:type="dxa"/>
            <w:tcBorders>
              <w:top w:val="nil"/>
              <w:left w:val="nil"/>
              <w:bottom w:val="nil"/>
              <w:right w:val="nil"/>
            </w:tcBorders>
            <w:shd w:val="clear" w:color="auto" w:fill="auto"/>
            <w:noWrap/>
            <w:vAlign w:val="bottom"/>
            <w:hideMark/>
          </w:tcPr>
          <w:p w14:paraId="6F2EB84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269.5</w:t>
            </w:r>
          </w:p>
        </w:tc>
        <w:tc>
          <w:tcPr>
            <w:tcW w:w="960" w:type="dxa"/>
            <w:tcBorders>
              <w:top w:val="nil"/>
              <w:left w:val="nil"/>
              <w:bottom w:val="nil"/>
              <w:right w:val="nil"/>
            </w:tcBorders>
            <w:shd w:val="clear" w:color="auto" w:fill="auto"/>
            <w:noWrap/>
            <w:vAlign w:val="bottom"/>
            <w:hideMark/>
          </w:tcPr>
          <w:p w14:paraId="6E612B7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93.0</w:t>
            </w:r>
          </w:p>
        </w:tc>
        <w:tc>
          <w:tcPr>
            <w:tcW w:w="689" w:type="dxa"/>
            <w:tcBorders>
              <w:top w:val="nil"/>
              <w:left w:val="nil"/>
              <w:bottom w:val="nil"/>
              <w:right w:val="nil"/>
            </w:tcBorders>
            <w:shd w:val="clear" w:color="auto" w:fill="auto"/>
            <w:noWrap/>
            <w:vAlign w:val="bottom"/>
            <w:hideMark/>
          </w:tcPr>
          <w:p w14:paraId="20CDC88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18.6</w:t>
            </w:r>
          </w:p>
        </w:tc>
        <w:tc>
          <w:tcPr>
            <w:tcW w:w="1000" w:type="dxa"/>
            <w:tcBorders>
              <w:top w:val="nil"/>
              <w:left w:val="nil"/>
              <w:bottom w:val="nil"/>
              <w:right w:val="nil"/>
            </w:tcBorders>
            <w:shd w:val="clear" w:color="auto" w:fill="auto"/>
            <w:noWrap/>
            <w:vAlign w:val="bottom"/>
            <w:hideMark/>
          </w:tcPr>
          <w:p w14:paraId="1191C6F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113.4</w:t>
            </w:r>
          </w:p>
        </w:tc>
      </w:tr>
      <w:tr w:rsidR="00F26016" w:rsidRPr="00F26016" w14:paraId="7B037FB5" w14:textId="77777777" w:rsidTr="00F26016">
        <w:trPr>
          <w:trHeight w:val="300"/>
        </w:trPr>
        <w:tc>
          <w:tcPr>
            <w:tcW w:w="1140" w:type="dxa"/>
            <w:tcBorders>
              <w:top w:val="nil"/>
              <w:left w:val="nil"/>
              <w:bottom w:val="nil"/>
              <w:right w:val="nil"/>
            </w:tcBorders>
            <w:shd w:val="clear" w:color="auto" w:fill="auto"/>
            <w:noWrap/>
            <w:hideMark/>
          </w:tcPr>
          <w:p w14:paraId="0B62272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1200" w:type="dxa"/>
            <w:tcBorders>
              <w:top w:val="nil"/>
              <w:left w:val="nil"/>
              <w:bottom w:val="nil"/>
              <w:right w:val="nil"/>
            </w:tcBorders>
            <w:shd w:val="clear" w:color="auto" w:fill="auto"/>
            <w:noWrap/>
            <w:hideMark/>
          </w:tcPr>
          <w:p w14:paraId="4F85428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4656582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7981074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66019F6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674C7C6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7C4D09F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3283B89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024E83A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291.1</w:t>
            </w:r>
          </w:p>
        </w:tc>
        <w:tc>
          <w:tcPr>
            <w:tcW w:w="920" w:type="dxa"/>
            <w:tcBorders>
              <w:top w:val="nil"/>
              <w:left w:val="nil"/>
              <w:bottom w:val="nil"/>
              <w:right w:val="nil"/>
            </w:tcBorders>
            <w:shd w:val="clear" w:color="auto" w:fill="auto"/>
            <w:noWrap/>
            <w:vAlign w:val="bottom"/>
            <w:hideMark/>
          </w:tcPr>
          <w:p w14:paraId="191D79F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67.7</w:t>
            </w:r>
          </w:p>
        </w:tc>
        <w:tc>
          <w:tcPr>
            <w:tcW w:w="741" w:type="dxa"/>
            <w:tcBorders>
              <w:top w:val="nil"/>
              <w:left w:val="nil"/>
              <w:bottom w:val="nil"/>
              <w:right w:val="nil"/>
            </w:tcBorders>
            <w:shd w:val="clear" w:color="auto" w:fill="auto"/>
            <w:noWrap/>
            <w:vAlign w:val="bottom"/>
            <w:hideMark/>
          </w:tcPr>
          <w:p w14:paraId="1ADD63A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98.0</w:t>
            </w:r>
          </w:p>
        </w:tc>
        <w:tc>
          <w:tcPr>
            <w:tcW w:w="785" w:type="dxa"/>
            <w:tcBorders>
              <w:top w:val="nil"/>
              <w:left w:val="nil"/>
              <w:bottom w:val="nil"/>
              <w:right w:val="nil"/>
            </w:tcBorders>
            <w:shd w:val="clear" w:color="auto" w:fill="auto"/>
            <w:noWrap/>
            <w:vAlign w:val="bottom"/>
            <w:hideMark/>
          </w:tcPr>
          <w:p w14:paraId="3A44195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83.8</w:t>
            </w:r>
          </w:p>
        </w:tc>
        <w:tc>
          <w:tcPr>
            <w:tcW w:w="732" w:type="dxa"/>
            <w:tcBorders>
              <w:top w:val="nil"/>
              <w:left w:val="nil"/>
              <w:bottom w:val="nil"/>
              <w:right w:val="nil"/>
            </w:tcBorders>
            <w:shd w:val="clear" w:color="auto" w:fill="auto"/>
            <w:noWrap/>
            <w:vAlign w:val="bottom"/>
            <w:hideMark/>
          </w:tcPr>
          <w:p w14:paraId="618CF02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977.2</w:t>
            </w:r>
          </w:p>
        </w:tc>
        <w:tc>
          <w:tcPr>
            <w:tcW w:w="860" w:type="dxa"/>
            <w:tcBorders>
              <w:top w:val="nil"/>
              <w:left w:val="nil"/>
              <w:bottom w:val="nil"/>
              <w:right w:val="nil"/>
            </w:tcBorders>
            <w:shd w:val="clear" w:color="auto" w:fill="auto"/>
            <w:noWrap/>
            <w:vAlign w:val="bottom"/>
            <w:hideMark/>
          </w:tcPr>
          <w:p w14:paraId="76E4ED7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126.9</w:t>
            </w:r>
          </w:p>
        </w:tc>
        <w:tc>
          <w:tcPr>
            <w:tcW w:w="960" w:type="dxa"/>
            <w:tcBorders>
              <w:top w:val="nil"/>
              <w:left w:val="nil"/>
              <w:bottom w:val="nil"/>
              <w:right w:val="nil"/>
            </w:tcBorders>
            <w:shd w:val="clear" w:color="auto" w:fill="auto"/>
            <w:noWrap/>
            <w:vAlign w:val="bottom"/>
            <w:hideMark/>
          </w:tcPr>
          <w:p w14:paraId="4775DE8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35.9</w:t>
            </w:r>
          </w:p>
        </w:tc>
        <w:tc>
          <w:tcPr>
            <w:tcW w:w="689" w:type="dxa"/>
            <w:tcBorders>
              <w:top w:val="nil"/>
              <w:left w:val="nil"/>
              <w:bottom w:val="nil"/>
              <w:right w:val="nil"/>
            </w:tcBorders>
            <w:shd w:val="clear" w:color="auto" w:fill="auto"/>
            <w:noWrap/>
            <w:vAlign w:val="bottom"/>
            <w:hideMark/>
          </w:tcPr>
          <w:p w14:paraId="0FE65F7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27.1</w:t>
            </w:r>
          </w:p>
        </w:tc>
        <w:tc>
          <w:tcPr>
            <w:tcW w:w="1000" w:type="dxa"/>
            <w:tcBorders>
              <w:top w:val="nil"/>
              <w:left w:val="nil"/>
              <w:bottom w:val="nil"/>
              <w:right w:val="nil"/>
            </w:tcBorders>
            <w:shd w:val="clear" w:color="auto" w:fill="auto"/>
            <w:noWrap/>
            <w:vAlign w:val="bottom"/>
            <w:hideMark/>
          </w:tcPr>
          <w:p w14:paraId="13E95F8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171.3</w:t>
            </w:r>
          </w:p>
        </w:tc>
      </w:tr>
      <w:tr w:rsidR="00F26016" w:rsidRPr="00F26016" w14:paraId="681EDE18" w14:textId="77777777" w:rsidTr="00F26016">
        <w:trPr>
          <w:trHeight w:val="300"/>
        </w:trPr>
        <w:tc>
          <w:tcPr>
            <w:tcW w:w="1140" w:type="dxa"/>
            <w:tcBorders>
              <w:top w:val="nil"/>
              <w:left w:val="nil"/>
              <w:bottom w:val="nil"/>
              <w:right w:val="nil"/>
            </w:tcBorders>
            <w:shd w:val="clear" w:color="auto" w:fill="auto"/>
            <w:noWrap/>
            <w:hideMark/>
          </w:tcPr>
          <w:p w14:paraId="50473AA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1200" w:type="dxa"/>
            <w:tcBorders>
              <w:top w:val="nil"/>
              <w:left w:val="nil"/>
              <w:bottom w:val="nil"/>
              <w:right w:val="nil"/>
            </w:tcBorders>
            <w:shd w:val="clear" w:color="auto" w:fill="auto"/>
            <w:noWrap/>
            <w:hideMark/>
          </w:tcPr>
          <w:p w14:paraId="57A1710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677A165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51B92BE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47D529C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57AFDB3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1079510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19264C0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6D3FF4F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16.6</w:t>
            </w:r>
          </w:p>
        </w:tc>
        <w:tc>
          <w:tcPr>
            <w:tcW w:w="920" w:type="dxa"/>
            <w:tcBorders>
              <w:top w:val="nil"/>
              <w:left w:val="nil"/>
              <w:bottom w:val="nil"/>
              <w:right w:val="nil"/>
            </w:tcBorders>
            <w:shd w:val="clear" w:color="auto" w:fill="auto"/>
            <w:noWrap/>
            <w:vAlign w:val="bottom"/>
            <w:hideMark/>
          </w:tcPr>
          <w:p w14:paraId="49A4D58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49.5</w:t>
            </w:r>
          </w:p>
        </w:tc>
        <w:tc>
          <w:tcPr>
            <w:tcW w:w="741" w:type="dxa"/>
            <w:tcBorders>
              <w:top w:val="nil"/>
              <w:left w:val="nil"/>
              <w:bottom w:val="nil"/>
              <w:right w:val="nil"/>
            </w:tcBorders>
            <w:shd w:val="clear" w:color="auto" w:fill="auto"/>
            <w:noWrap/>
            <w:vAlign w:val="bottom"/>
            <w:hideMark/>
          </w:tcPr>
          <w:p w14:paraId="53A0B8B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19.1</w:t>
            </w:r>
          </w:p>
        </w:tc>
        <w:tc>
          <w:tcPr>
            <w:tcW w:w="785" w:type="dxa"/>
            <w:tcBorders>
              <w:top w:val="nil"/>
              <w:left w:val="nil"/>
              <w:bottom w:val="nil"/>
              <w:right w:val="nil"/>
            </w:tcBorders>
            <w:shd w:val="clear" w:color="auto" w:fill="auto"/>
            <w:noWrap/>
            <w:vAlign w:val="bottom"/>
            <w:hideMark/>
          </w:tcPr>
          <w:p w14:paraId="57DB3D6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51.1</w:t>
            </w:r>
          </w:p>
        </w:tc>
        <w:tc>
          <w:tcPr>
            <w:tcW w:w="732" w:type="dxa"/>
            <w:tcBorders>
              <w:top w:val="nil"/>
              <w:left w:val="nil"/>
              <w:bottom w:val="nil"/>
              <w:right w:val="nil"/>
            </w:tcBorders>
            <w:shd w:val="clear" w:color="auto" w:fill="auto"/>
            <w:noWrap/>
            <w:vAlign w:val="bottom"/>
            <w:hideMark/>
          </w:tcPr>
          <w:p w14:paraId="10CFEBC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117.2</w:t>
            </w:r>
          </w:p>
        </w:tc>
        <w:tc>
          <w:tcPr>
            <w:tcW w:w="860" w:type="dxa"/>
            <w:tcBorders>
              <w:top w:val="nil"/>
              <w:left w:val="nil"/>
              <w:bottom w:val="nil"/>
              <w:right w:val="nil"/>
            </w:tcBorders>
            <w:shd w:val="clear" w:color="auto" w:fill="auto"/>
            <w:noWrap/>
            <w:vAlign w:val="bottom"/>
            <w:hideMark/>
          </w:tcPr>
          <w:p w14:paraId="13958DE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73.1</w:t>
            </w:r>
          </w:p>
        </w:tc>
        <w:tc>
          <w:tcPr>
            <w:tcW w:w="960" w:type="dxa"/>
            <w:tcBorders>
              <w:top w:val="nil"/>
              <w:left w:val="nil"/>
              <w:bottom w:val="nil"/>
              <w:right w:val="nil"/>
            </w:tcBorders>
            <w:shd w:val="clear" w:color="auto" w:fill="auto"/>
            <w:noWrap/>
            <w:vAlign w:val="bottom"/>
            <w:hideMark/>
          </w:tcPr>
          <w:p w14:paraId="6B70E75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16.3</w:t>
            </w:r>
          </w:p>
        </w:tc>
        <w:tc>
          <w:tcPr>
            <w:tcW w:w="689" w:type="dxa"/>
            <w:tcBorders>
              <w:top w:val="nil"/>
              <w:left w:val="nil"/>
              <w:bottom w:val="nil"/>
              <w:right w:val="nil"/>
            </w:tcBorders>
            <w:shd w:val="clear" w:color="auto" w:fill="auto"/>
            <w:noWrap/>
            <w:vAlign w:val="bottom"/>
            <w:hideMark/>
          </w:tcPr>
          <w:p w14:paraId="65682FC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39.8</w:t>
            </w:r>
          </w:p>
        </w:tc>
        <w:tc>
          <w:tcPr>
            <w:tcW w:w="1000" w:type="dxa"/>
            <w:tcBorders>
              <w:top w:val="nil"/>
              <w:left w:val="nil"/>
              <w:bottom w:val="nil"/>
              <w:right w:val="nil"/>
            </w:tcBorders>
            <w:shd w:val="clear" w:color="auto" w:fill="auto"/>
            <w:noWrap/>
            <w:vAlign w:val="bottom"/>
            <w:hideMark/>
          </w:tcPr>
          <w:p w14:paraId="68FDB53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139.3</w:t>
            </w:r>
          </w:p>
        </w:tc>
      </w:tr>
      <w:tr w:rsidR="00F26016" w:rsidRPr="00F26016" w14:paraId="26411656" w14:textId="77777777" w:rsidTr="00F26016">
        <w:trPr>
          <w:trHeight w:val="300"/>
        </w:trPr>
        <w:tc>
          <w:tcPr>
            <w:tcW w:w="1140" w:type="dxa"/>
            <w:tcBorders>
              <w:top w:val="nil"/>
              <w:left w:val="nil"/>
              <w:bottom w:val="nil"/>
              <w:right w:val="nil"/>
            </w:tcBorders>
            <w:shd w:val="clear" w:color="auto" w:fill="auto"/>
            <w:noWrap/>
            <w:hideMark/>
          </w:tcPr>
          <w:p w14:paraId="033B1F0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1200" w:type="dxa"/>
            <w:tcBorders>
              <w:top w:val="nil"/>
              <w:left w:val="nil"/>
              <w:bottom w:val="nil"/>
              <w:right w:val="nil"/>
            </w:tcBorders>
            <w:shd w:val="clear" w:color="auto" w:fill="auto"/>
            <w:noWrap/>
            <w:hideMark/>
          </w:tcPr>
          <w:p w14:paraId="0E212C8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29B4FAC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1F0476D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094FB67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52182BC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045459B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3303AFC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2F7C4D4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82.3</w:t>
            </w:r>
          </w:p>
        </w:tc>
        <w:tc>
          <w:tcPr>
            <w:tcW w:w="920" w:type="dxa"/>
            <w:tcBorders>
              <w:top w:val="nil"/>
              <w:left w:val="nil"/>
              <w:bottom w:val="nil"/>
              <w:right w:val="nil"/>
            </w:tcBorders>
            <w:shd w:val="clear" w:color="auto" w:fill="auto"/>
            <w:noWrap/>
            <w:vAlign w:val="bottom"/>
            <w:hideMark/>
          </w:tcPr>
          <w:p w14:paraId="4EAC5AC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166.4</w:t>
            </w:r>
          </w:p>
        </w:tc>
        <w:tc>
          <w:tcPr>
            <w:tcW w:w="741" w:type="dxa"/>
            <w:tcBorders>
              <w:top w:val="nil"/>
              <w:left w:val="nil"/>
              <w:bottom w:val="nil"/>
              <w:right w:val="nil"/>
            </w:tcBorders>
            <w:shd w:val="clear" w:color="auto" w:fill="auto"/>
            <w:noWrap/>
            <w:vAlign w:val="bottom"/>
            <w:hideMark/>
          </w:tcPr>
          <w:p w14:paraId="4524606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251.0</w:t>
            </w:r>
          </w:p>
        </w:tc>
        <w:tc>
          <w:tcPr>
            <w:tcW w:w="785" w:type="dxa"/>
            <w:tcBorders>
              <w:top w:val="nil"/>
              <w:left w:val="nil"/>
              <w:bottom w:val="nil"/>
              <w:right w:val="nil"/>
            </w:tcBorders>
            <w:shd w:val="clear" w:color="auto" w:fill="auto"/>
            <w:noWrap/>
            <w:vAlign w:val="bottom"/>
            <w:hideMark/>
          </w:tcPr>
          <w:p w14:paraId="1F93723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182.5</w:t>
            </w:r>
          </w:p>
        </w:tc>
        <w:tc>
          <w:tcPr>
            <w:tcW w:w="732" w:type="dxa"/>
            <w:tcBorders>
              <w:top w:val="nil"/>
              <w:left w:val="nil"/>
              <w:bottom w:val="nil"/>
              <w:right w:val="nil"/>
            </w:tcBorders>
            <w:shd w:val="clear" w:color="auto" w:fill="auto"/>
            <w:noWrap/>
            <w:vAlign w:val="bottom"/>
            <w:hideMark/>
          </w:tcPr>
          <w:p w14:paraId="76925CA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285.5</w:t>
            </w:r>
          </w:p>
        </w:tc>
        <w:tc>
          <w:tcPr>
            <w:tcW w:w="860" w:type="dxa"/>
            <w:tcBorders>
              <w:top w:val="nil"/>
              <w:left w:val="nil"/>
              <w:bottom w:val="nil"/>
              <w:right w:val="nil"/>
            </w:tcBorders>
            <w:shd w:val="clear" w:color="auto" w:fill="auto"/>
            <w:noWrap/>
            <w:vAlign w:val="bottom"/>
            <w:hideMark/>
          </w:tcPr>
          <w:p w14:paraId="67FA8D3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301.6</w:t>
            </w:r>
          </w:p>
        </w:tc>
        <w:tc>
          <w:tcPr>
            <w:tcW w:w="960" w:type="dxa"/>
            <w:tcBorders>
              <w:top w:val="nil"/>
              <w:left w:val="nil"/>
              <w:bottom w:val="nil"/>
              <w:right w:val="nil"/>
            </w:tcBorders>
            <w:shd w:val="clear" w:color="auto" w:fill="auto"/>
            <w:noWrap/>
            <w:vAlign w:val="bottom"/>
            <w:hideMark/>
          </w:tcPr>
          <w:p w14:paraId="1207BF7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100.1</w:t>
            </w:r>
          </w:p>
        </w:tc>
        <w:tc>
          <w:tcPr>
            <w:tcW w:w="689" w:type="dxa"/>
            <w:tcBorders>
              <w:top w:val="nil"/>
              <w:left w:val="nil"/>
              <w:bottom w:val="nil"/>
              <w:right w:val="nil"/>
            </w:tcBorders>
            <w:shd w:val="clear" w:color="auto" w:fill="auto"/>
            <w:noWrap/>
            <w:vAlign w:val="bottom"/>
            <w:hideMark/>
          </w:tcPr>
          <w:p w14:paraId="4E48D4D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84.3</w:t>
            </w:r>
          </w:p>
        </w:tc>
        <w:tc>
          <w:tcPr>
            <w:tcW w:w="1000" w:type="dxa"/>
            <w:tcBorders>
              <w:top w:val="nil"/>
              <w:left w:val="nil"/>
              <w:bottom w:val="nil"/>
              <w:right w:val="nil"/>
            </w:tcBorders>
            <w:shd w:val="clear" w:color="auto" w:fill="auto"/>
            <w:noWrap/>
            <w:vAlign w:val="bottom"/>
            <w:hideMark/>
          </w:tcPr>
          <w:p w14:paraId="5B1A97D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110.4</w:t>
            </w:r>
          </w:p>
        </w:tc>
      </w:tr>
      <w:tr w:rsidR="00F26016" w:rsidRPr="00F26016" w14:paraId="229F28E8" w14:textId="77777777" w:rsidTr="00F26016">
        <w:trPr>
          <w:trHeight w:val="300"/>
        </w:trPr>
        <w:tc>
          <w:tcPr>
            <w:tcW w:w="1140" w:type="dxa"/>
            <w:tcBorders>
              <w:top w:val="nil"/>
              <w:left w:val="nil"/>
              <w:bottom w:val="nil"/>
              <w:right w:val="nil"/>
            </w:tcBorders>
            <w:shd w:val="clear" w:color="auto" w:fill="auto"/>
            <w:noWrap/>
            <w:hideMark/>
          </w:tcPr>
          <w:p w14:paraId="2A02B04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1200" w:type="dxa"/>
            <w:tcBorders>
              <w:top w:val="nil"/>
              <w:left w:val="nil"/>
              <w:bottom w:val="nil"/>
              <w:right w:val="nil"/>
            </w:tcBorders>
            <w:shd w:val="clear" w:color="auto" w:fill="auto"/>
            <w:noWrap/>
            <w:hideMark/>
          </w:tcPr>
          <w:p w14:paraId="4431F8E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4C27611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1DC52DD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307B58B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0706F0E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3055470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5293BC3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w:t>
            </w:r>
          </w:p>
        </w:tc>
        <w:tc>
          <w:tcPr>
            <w:tcW w:w="660" w:type="dxa"/>
            <w:tcBorders>
              <w:top w:val="nil"/>
              <w:left w:val="nil"/>
              <w:bottom w:val="nil"/>
              <w:right w:val="nil"/>
            </w:tcBorders>
            <w:shd w:val="clear" w:color="auto" w:fill="auto"/>
            <w:noWrap/>
            <w:vAlign w:val="bottom"/>
            <w:hideMark/>
          </w:tcPr>
          <w:p w14:paraId="08A7E1B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169.1</w:t>
            </w:r>
          </w:p>
        </w:tc>
        <w:tc>
          <w:tcPr>
            <w:tcW w:w="920" w:type="dxa"/>
            <w:tcBorders>
              <w:top w:val="nil"/>
              <w:left w:val="nil"/>
              <w:bottom w:val="nil"/>
              <w:right w:val="nil"/>
            </w:tcBorders>
            <w:shd w:val="clear" w:color="auto" w:fill="auto"/>
            <w:noWrap/>
            <w:vAlign w:val="bottom"/>
            <w:hideMark/>
          </w:tcPr>
          <w:p w14:paraId="2B8C217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33.4</w:t>
            </w:r>
          </w:p>
        </w:tc>
        <w:tc>
          <w:tcPr>
            <w:tcW w:w="741" w:type="dxa"/>
            <w:tcBorders>
              <w:top w:val="nil"/>
              <w:left w:val="nil"/>
              <w:bottom w:val="nil"/>
              <w:right w:val="nil"/>
            </w:tcBorders>
            <w:shd w:val="clear" w:color="auto" w:fill="auto"/>
            <w:noWrap/>
            <w:vAlign w:val="bottom"/>
            <w:hideMark/>
          </w:tcPr>
          <w:p w14:paraId="39ECE49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46.3</w:t>
            </w:r>
          </w:p>
        </w:tc>
        <w:tc>
          <w:tcPr>
            <w:tcW w:w="785" w:type="dxa"/>
            <w:tcBorders>
              <w:top w:val="nil"/>
              <w:left w:val="nil"/>
              <w:bottom w:val="nil"/>
              <w:right w:val="nil"/>
            </w:tcBorders>
            <w:shd w:val="clear" w:color="auto" w:fill="auto"/>
            <w:noWrap/>
            <w:vAlign w:val="bottom"/>
            <w:hideMark/>
          </w:tcPr>
          <w:p w14:paraId="50095EB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71.6</w:t>
            </w:r>
          </w:p>
        </w:tc>
        <w:tc>
          <w:tcPr>
            <w:tcW w:w="732" w:type="dxa"/>
            <w:tcBorders>
              <w:top w:val="nil"/>
              <w:left w:val="nil"/>
              <w:bottom w:val="nil"/>
              <w:right w:val="nil"/>
            </w:tcBorders>
            <w:shd w:val="clear" w:color="auto" w:fill="auto"/>
            <w:noWrap/>
            <w:vAlign w:val="bottom"/>
            <w:hideMark/>
          </w:tcPr>
          <w:p w14:paraId="1282D29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256.3</w:t>
            </w:r>
          </w:p>
        </w:tc>
        <w:tc>
          <w:tcPr>
            <w:tcW w:w="860" w:type="dxa"/>
            <w:tcBorders>
              <w:top w:val="nil"/>
              <w:left w:val="nil"/>
              <w:bottom w:val="nil"/>
              <w:right w:val="nil"/>
            </w:tcBorders>
            <w:shd w:val="clear" w:color="auto" w:fill="auto"/>
            <w:noWrap/>
            <w:vAlign w:val="bottom"/>
            <w:hideMark/>
          </w:tcPr>
          <w:p w14:paraId="3FD4E0D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185.1</w:t>
            </w:r>
          </w:p>
        </w:tc>
        <w:tc>
          <w:tcPr>
            <w:tcW w:w="960" w:type="dxa"/>
            <w:tcBorders>
              <w:top w:val="nil"/>
              <w:left w:val="nil"/>
              <w:bottom w:val="nil"/>
              <w:right w:val="nil"/>
            </w:tcBorders>
            <w:shd w:val="clear" w:color="auto" w:fill="auto"/>
            <w:noWrap/>
            <w:vAlign w:val="bottom"/>
            <w:hideMark/>
          </w:tcPr>
          <w:p w14:paraId="64C25B9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38.6</w:t>
            </w:r>
          </w:p>
        </w:tc>
        <w:tc>
          <w:tcPr>
            <w:tcW w:w="689" w:type="dxa"/>
            <w:tcBorders>
              <w:top w:val="nil"/>
              <w:left w:val="nil"/>
              <w:bottom w:val="nil"/>
              <w:right w:val="nil"/>
            </w:tcBorders>
            <w:shd w:val="clear" w:color="auto" w:fill="auto"/>
            <w:noWrap/>
            <w:vAlign w:val="bottom"/>
            <w:hideMark/>
          </w:tcPr>
          <w:p w14:paraId="0F41892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w:t>
            </w:r>
          </w:p>
        </w:tc>
        <w:tc>
          <w:tcPr>
            <w:tcW w:w="1000" w:type="dxa"/>
            <w:tcBorders>
              <w:top w:val="nil"/>
              <w:left w:val="nil"/>
              <w:bottom w:val="nil"/>
              <w:right w:val="nil"/>
            </w:tcBorders>
            <w:shd w:val="clear" w:color="auto" w:fill="auto"/>
            <w:noWrap/>
            <w:vAlign w:val="bottom"/>
            <w:hideMark/>
          </w:tcPr>
          <w:p w14:paraId="60366A7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179.5</w:t>
            </w:r>
          </w:p>
        </w:tc>
      </w:tr>
      <w:tr w:rsidR="00F26016" w:rsidRPr="00F26016" w14:paraId="33D5CADF" w14:textId="77777777" w:rsidTr="00F26016">
        <w:trPr>
          <w:trHeight w:val="300"/>
        </w:trPr>
        <w:tc>
          <w:tcPr>
            <w:tcW w:w="1140" w:type="dxa"/>
            <w:tcBorders>
              <w:top w:val="nil"/>
              <w:left w:val="nil"/>
              <w:bottom w:val="nil"/>
              <w:right w:val="nil"/>
            </w:tcBorders>
            <w:shd w:val="clear" w:color="auto" w:fill="auto"/>
            <w:noWrap/>
            <w:hideMark/>
          </w:tcPr>
          <w:p w14:paraId="4EF0FF4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1200" w:type="dxa"/>
            <w:tcBorders>
              <w:top w:val="nil"/>
              <w:left w:val="nil"/>
              <w:bottom w:val="nil"/>
              <w:right w:val="nil"/>
            </w:tcBorders>
            <w:shd w:val="clear" w:color="auto" w:fill="auto"/>
            <w:noWrap/>
            <w:hideMark/>
          </w:tcPr>
          <w:p w14:paraId="0E7F47E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43F71AD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79CDE92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6B771DD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53C1A23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467A013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518D428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w:t>
            </w:r>
          </w:p>
        </w:tc>
        <w:tc>
          <w:tcPr>
            <w:tcW w:w="660" w:type="dxa"/>
            <w:tcBorders>
              <w:top w:val="nil"/>
              <w:left w:val="nil"/>
              <w:bottom w:val="nil"/>
              <w:right w:val="nil"/>
            </w:tcBorders>
            <w:shd w:val="clear" w:color="auto" w:fill="auto"/>
            <w:noWrap/>
            <w:vAlign w:val="bottom"/>
            <w:hideMark/>
          </w:tcPr>
          <w:p w14:paraId="333EA4B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5.7</w:t>
            </w:r>
          </w:p>
        </w:tc>
        <w:tc>
          <w:tcPr>
            <w:tcW w:w="920" w:type="dxa"/>
            <w:tcBorders>
              <w:top w:val="nil"/>
              <w:left w:val="nil"/>
              <w:bottom w:val="nil"/>
              <w:right w:val="nil"/>
            </w:tcBorders>
            <w:shd w:val="clear" w:color="auto" w:fill="auto"/>
            <w:noWrap/>
            <w:vAlign w:val="bottom"/>
            <w:hideMark/>
          </w:tcPr>
          <w:p w14:paraId="0542C32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49.3</w:t>
            </w:r>
          </w:p>
        </w:tc>
        <w:tc>
          <w:tcPr>
            <w:tcW w:w="741" w:type="dxa"/>
            <w:tcBorders>
              <w:top w:val="nil"/>
              <w:left w:val="nil"/>
              <w:bottom w:val="nil"/>
              <w:right w:val="nil"/>
            </w:tcBorders>
            <w:shd w:val="clear" w:color="auto" w:fill="auto"/>
            <w:noWrap/>
            <w:vAlign w:val="bottom"/>
            <w:hideMark/>
          </w:tcPr>
          <w:p w14:paraId="6D445BA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11.2</w:t>
            </w:r>
          </w:p>
        </w:tc>
        <w:tc>
          <w:tcPr>
            <w:tcW w:w="785" w:type="dxa"/>
            <w:tcBorders>
              <w:top w:val="nil"/>
              <w:left w:val="nil"/>
              <w:bottom w:val="nil"/>
              <w:right w:val="nil"/>
            </w:tcBorders>
            <w:shd w:val="clear" w:color="auto" w:fill="auto"/>
            <w:noWrap/>
            <w:vAlign w:val="bottom"/>
            <w:hideMark/>
          </w:tcPr>
          <w:p w14:paraId="727CAB8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28.0</w:t>
            </w:r>
          </w:p>
        </w:tc>
        <w:tc>
          <w:tcPr>
            <w:tcW w:w="732" w:type="dxa"/>
            <w:tcBorders>
              <w:top w:val="nil"/>
              <w:left w:val="nil"/>
              <w:bottom w:val="nil"/>
              <w:right w:val="nil"/>
            </w:tcBorders>
            <w:shd w:val="clear" w:color="auto" w:fill="auto"/>
            <w:noWrap/>
            <w:vAlign w:val="bottom"/>
            <w:hideMark/>
          </w:tcPr>
          <w:p w14:paraId="33CDF53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119.4</w:t>
            </w:r>
          </w:p>
        </w:tc>
        <w:tc>
          <w:tcPr>
            <w:tcW w:w="860" w:type="dxa"/>
            <w:tcBorders>
              <w:top w:val="nil"/>
              <w:left w:val="nil"/>
              <w:bottom w:val="nil"/>
              <w:right w:val="nil"/>
            </w:tcBorders>
            <w:shd w:val="clear" w:color="auto" w:fill="auto"/>
            <w:noWrap/>
            <w:vAlign w:val="bottom"/>
            <w:hideMark/>
          </w:tcPr>
          <w:p w14:paraId="7F44692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71.7</w:t>
            </w:r>
          </w:p>
        </w:tc>
        <w:tc>
          <w:tcPr>
            <w:tcW w:w="960" w:type="dxa"/>
            <w:tcBorders>
              <w:top w:val="nil"/>
              <w:left w:val="nil"/>
              <w:bottom w:val="nil"/>
              <w:right w:val="nil"/>
            </w:tcBorders>
            <w:shd w:val="clear" w:color="auto" w:fill="auto"/>
            <w:noWrap/>
            <w:vAlign w:val="bottom"/>
            <w:hideMark/>
          </w:tcPr>
          <w:p w14:paraId="7E84311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18.8</w:t>
            </w:r>
          </w:p>
        </w:tc>
        <w:tc>
          <w:tcPr>
            <w:tcW w:w="689" w:type="dxa"/>
            <w:tcBorders>
              <w:top w:val="nil"/>
              <w:left w:val="nil"/>
              <w:bottom w:val="nil"/>
              <w:right w:val="nil"/>
            </w:tcBorders>
            <w:shd w:val="clear" w:color="auto" w:fill="auto"/>
            <w:noWrap/>
            <w:vAlign w:val="bottom"/>
            <w:hideMark/>
          </w:tcPr>
          <w:p w14:paraId="305C843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207.2</w:t>
            </w:r>
          </w:p>
        </w:tc>
        <w:tc>
          <w:tcPr>
            <w:tcW w:w="1000" w:type="dxa"/>
            <w:tcBorders>
              <w:top w:val="nil"/>
              <w:left w:val="nil"/>
              <w:bottom w:val="nil"/>
              <w:right w:val="nil"/>
            </w:tcBorders>
            <w:shd w:val="clear" w:color="auto" w:fill="auto"/>
            <w:noWrap/>
            <w:vAlign w:val="bottom"/>
            <w:hideMark/>
          </w:tcPr>
          <w:p w14:paraId="68482C3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139.4</w:t>
            </w:r>
          </w:p>
        </w:tc>
      </w:tr>
      <w:tr w:rsidR="00F26016" w:rsidRPr="00F26016" w14:paraId="42CA32DC" w14:textId="77777777" w:rsidTr="00F26016">
        <w:trPr>
          <w:trHeight w:val="300"/>
        </w:trPr>
        <w:tc>
          <w:tcPr>
            <w:tcW w:w="1140" w:type="dxa"/>
            <w:tcBorders>
              <w:top w:val="nil"/>
              <w:left w:val="nil"/>
              <w:bottom w:val="nil"/>
              <w:right w:val="nil"/>
            </w:tcBorders>
            <w:shd w:val="clear" w:color="auto" w:fill="auto"/>
            <w:noWrap/>
            <w:hideMark/>
          </w:tcPr>
          <w:p w14:paraId="2BD4950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1200" w:type="dxa"/>
            <w:tcBorders>
              <w:top w:val="nil"/>
              <w:left w:val="nil"/>
              <w:bottom w:val="nil"/>
              <w:right w:val="nil"/>
            </w:tcBorders>
            <w:shd w:val="clear" w:color="auto" w:fill="auto"/>
            <w:noWrap/>
            <w:hideMark/>
          </w:tcPr>
          <w:p w14:paraId="1565A9A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782A0E0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006A3D9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06CA030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0EE210D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11ACAE0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289E3C2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w:t>
            </w:r>
          </w:p>
        </w:tc>
        <w:tc>
          <w:tcPr>
            <w:tcW w:w="660" w:type="dxa"/>
            <w:tcBorders>
              <w:top w:val="nil"/>
              <w:left w:val="nil"/>
              <w:bottom w:val="nil"/>
              <w:right w:val="nil"/>
            </w:tcBorders>
            <w:shd w:val="clear" w:color="auto" w:fill="auto"/>
            <w:noWrap/>
            <w:vAlign w:val="bottom"/>
            <w:hideMark/>
          </w:tcPr>
          <w:p w14:paraId="59762C9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53.8</w:t>
            </w:r>
          </w:p>
        </w:tc>
        <w:tc>
          <w:tcPr>
            <w:tcW w:w="920" w:type="dxa"/>
            <w:tcBorders>
              <w:top w:val="nil"/>
              <w:left w:val="nil"/>
              <w:bottom w:val="nil"/>
              <w:right w:val="nil"/>
            </w:tcBorders>
            <w:shd w:val="clear" w:color="auto" w:fill="auto"/>
            <w:noWrap/>
            <w:vAlign w:val="bottom"/>
            <w:hideMark/>
          </w:tcPr>
          <w:p w14:paraId="2599C0E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137.7</w:t>
            </w:r>
          </w:p>
        </w:tc>
        <w:tc>
          <w:tcPr>
            <w:tcW w:w="741" w:type="dxa"/>
            <w:tcBorders>
              <w:top w:val="nil"/>
              <w:left w:val="nil"/>
              <w:bottom w:val="nil"/>
              <w:right w:val="nil"/>
            </w:tcBorders>
            <w:shd w:val="clear" w:color="auto" w:fill="auto"/>
            <w:noWrap/>
            <w:vAlign w:val="bottom"/>
            <w:hideMark/>
          </w:tcPr>
          <w:p w14:paraId="168A8C3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162.4</w:t>
            </w:r>
          </w:p>
        </w:tc>
        <w:tc>
          <w:tcPr>
            <w:tcW w:w="785" w:type="dxa"/>
            <w:tcBorders>
              <w:top w:val="nil"/>
              <w:left w:val="nil"/>
              <w:bottom w:val="nil"/>
              <w:right w:val="nil"/>
            </w:tcBorders>
            <w:shd w:val="clear" w:color="auto" w:fill="auto"/>
            <w:noWrap/>
            <w:vAlign w:val="bottom"/>
            <w:hideMark/>
          </w:tcPr>
          <w:p w14:paraId="5C316D6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104.6</w:t>
            </w:r>
          </w:p>
        </w:tc>
        <w:tc>
          <w:tcPr>
            <w:tcW w:w="732" w:type="dxa"/>
            <w:tcBorders>
              <w:top w:val="nil"/>
              <w:left w:val="nil"/>
              <w:bottom w:val="nil"/>
              <w:right w:val="nil"/>
            </w:tcBorders>
            <w:shd w:val="clear" w:color="auto" w:fill="auto"/>
            <w:noWrap/>
            <w:vAlign w:val="bottom"/>
            <w:hideMark/>
          </w:tcPr>
          <w:p w14:paraId="6F3EB8F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113.5</w:t>
            </w:r>
          </w:p>
        </w:tc>
        <w:tc>
          <w:tcPr>
            <w:tcW w:w="860" w:type="dxa"/>
            <w:tcBorders>
              <w:top w:val="nil"/>
              <w:left w:val="nil"/>
              <w:bottom w:val="nil"/>
              <w:right w:val="nil"/>
            </w:tcBorders>
            <w:shd w:val="clear" w:color="auto" w:fill="auto"/>
            <w:noWrap/>
            <w:vAlign w:val="bottom"/>
            <w:hideMark/>
          </w:tcPr>
          <w:p w14:paraId="544AF6E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255.8</w:t>
            </w:r>
          </w:p>
        </w:tc>
        <w:tc>
          <w:tcPr>
            <w:tcW w:w="960" w:type="dxa"/>
            <w:tcBorders>
              <w:top w:val="nil"/>
              <w:left w:val="nil"/>
              <w:bottom w:val="nil"/>
              <w:right w:val="nil"/>
            </w:tcBorders>
            <w:shd w:val="clear" w:color="auto" w:fill="auto"/>
            <w:noWrap/>
            <w:vAlign w:val="bottom"/>
            <w:hideMark/>
          </w:tcPr>
          <w:p w14:paraId="5AEF030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90.8</w:t>
            </w:r>
          </w:p>
        </w:tc>
        <w:tc>
          <w:tcPr>
            <w:tcW w:w="689" w:type="dxa"/>
            <w:tcBorders>
              <w:top w:val="nil"/>
              <w:left w:val="nil"/>
              <w:bottom w:val="nil"/>
              <w:right w:val="nil"/>
            </w:tcBorders>
            <w:shd w:val="clear" w:color="auto" w:fill="auto"/>
            <w:noWrap/>
            <w:vAlign w:val="bottom"/>
            <w:hideMark/>
          </w:tcPr>
          <w:p w14:paraId="1E53770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27.2</w:t>
            </w:r>
          </w:p>
        </w:tc>
        <w:tc>
          <w:tcPr>
            <w:tcW w:w="1000" w:type="dxa"/>
            <w:tcBorders>
              <w:top w:val="nil"/>
              <w:left w:val="nil"/>
              <w:bottom w:val="nil"/>
              <w:right w:val="nil"/>
            </w:tcBorders>
            <w:shd w:val="clear" w:color="auto" w:fill="auto"/>
            <w:noWrap/>
            <w:vAlign w:val="bottom"/>
            <w:hideMark/>
          </w:tcPr>
          <w:p w14:paraId="030A722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111.4</w:t>
            </w:r>
          </w:p>
        </w:tc>
      </w:tr>
      <w:tr w:rsidR="00F26016" w:rsidRPr="00F26016" w14:paraId="6DBF89DC" w14:textId="77777777" w:rsidTr="00F26016">
        <w:trPr>
          <w:trHeight w:val="300"/>
        </w:trPr>
        <w:tc>
          <w:tcPr>
            <w:tcW w:w="1140" w:type="dxa"/>
            <w:tcBorders>
              <w:top w:val="nil"/>
              <w:left w:val="nil"/>
              <w:bottom w:val="nil"/>
              <w:right w:val="nil"/>
            </w:tcBorders>
            <w:shd w:val="clear" w:color="auto" w:fill="auto"/>
            <w:noWrap/>
            <w:hideMark/>
          </w:tcPr>
          <w:p w14:paraId="620E02F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1200" w:type="dxa"/>
            <w:tcBorders>
              <w:top w:val="nil"/>
              <w:left w:val="nil"/>
              <w:bottom w:val="nil"/>
              <w:right w:val="nil"/>
            </w:tcBorders>
            <w:shd w:val="clear" w:color="auto" w:fill="auto"/>
            <w:noWrap/>
            <w:hideMark/>
          </w:tcPr>
          <w:p w14:paraId="4E94441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29055DC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4DEB8E4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60BF3F9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23F699D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4678596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120A497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2FB02E0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149.1</w:t>
            </w:r>
          </w:p>
        </w:tc>
        <w:tc>
          <w:tcPr>
            <w:tcW w:w="920" w:type="dxa"/>
            <w:tcBorders>
              <w:top w:val="nil"/>
              <w:left w:val="nil"/>
              <w:bottom w:val="nil"/>
              <w:right w:val="nil"/>
            </w:tcBorders>
            <w:shd w:val="clear" w:color="auto" w:fill="auto"/>
            <w:noWrap/>
            <w:vAlign w:val="bottom"/>
            <w:hideMark/>
          </w:tcPr>
          <w:p w14:paraId="14E34C7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36.5</w:t>
            </w:r>
          </w:p>
        </w:tc>
        <w:tc>
          <w:tcPr>
            <w:tcW w:w="741" w:type="dxa"/>
            <w:tcBorders>
              <w:top w:val="nil"/>
              <w:left w:val="nil"/>
              <w:bottom w:val="nil"/>
              <w:right w:val="nil"/>
            </w:tcBorders>
            <w:shd w:val="clear" w:color="auto" w:fill="auto"/>
            <w:noWrap/>
            <w:vAlign w:val="bottom"/>
            <w:hideMark/>
          </w:tcPr>
          <w:p w14:paraId="6EF93D5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37.9</w:t>
            </w:r>
          </w:p>
        </w:tc>
        <w:tc>
          <w:tcPr>
            <w:tcW w:w="785" w:type="dxa"/>
            <w:tcBorders>
              <w:top w:val="nil"/>
              <w:left w:val="nil"/>
              <w:bottom w:val="nil"/>
              <w:right w:val="nil"/>
            </w:tcBorders>
            <w:shd w:val="clear" w:color="auto" w:fill="auto"/>
            <w:noWrap/>
            <w:vAlign w:val="bottom"/>
            <w:hideMark/>
          </w:tcPr>
          <w:p w14:paraId="6AB3BAE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53.0</w:t>
            </w:r>
          </w:p>
        </w:tc>
        <w:tc>
          <w:tcPr>
            <w:tcW w:w="732" w:type="dxa"/>
            <w:tcBorders>
              <w:top w:val="nil"/>
              <w:left w:val="nil"/>
              <w:bottom w:val="nil"/>
              <w:right w:val="nil"/>
            </w:tcBorders>
            <w:shd w:val="clear" w:color="auto" w:fill="auto"/>
            <w:noWrap/>
            <w:vAlign w:val="bottom"/>
            <w:hideMark/>
          </w:tcPr>
          <w:p w14:paraId="0C15161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243.6</w:t>
            </w:r>
          </w:p>
        </w:tc>
        <w:tc>
          <w:tcPr>
            <w:tcW w:w="860" w:type="dxa"/>
            <w:tcBorders>
              <w:top w:val="nil"/>
              <w:left w:val="nil"/>
              <w:bottom w:val="nil"/>
              <w:right w:val="nil"/>
            </w:tcBorders>
            <w:shd w:val="clear" w:color="auto" w:fill="auto"/>
            <w:noWrap/>
            <w:vAlign w:val="bottom"/>
            <w:hideMark/>
          </w:tcPr>
          <w:p w14:paraId="1FFD4DB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118.4</w:t>
            </w:r>
          </w:p>
        </w:tc>
        <w:tc>
          <w:tcPr>
            <w:tcW w:w="960" w:type="dxa"/>
            <w:tcBorders>
              <w:top w:val="nil"/>
              <w:left w:val="nil"/>
              <w:bottom w:val="nil"/>
              <w:right w:val="nil"/>
            </w:tcBorders>
            <w:shd w:val="clear" w:color="auto" w:fill="auto"/>
            <w:noWrap/>
            <w:vAlign w:val="bottom"/>
            <w:hideMark/>
          </w:tcPr>
          <w:p w14:paraId="539B4BC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38.8</w:t>
            </w:r>
          </w:p>
        </w:tc>
        <w:tc>
          <w:tcPr>
            <w:tcW w:w="689" w:type="dxa"/>
            <w:tcBorders>
              <w:top w:val="nil"/>
              <w:left w:val="nil"/>
              <w:bottom w:val="nil"/>
              <w:right w:val="nil"/>
            </w:tcBorders>
            <w:shd w:val="clear" w:color="auto" w:fill="auto"/>
            <w:noWrap/>
            <w:vAlign w:val="bottom"/>
            <w:hideMark/>
          </w:tcPr>
          <w:p w14:paraId="07B628F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6.5</w:t>
            </w:r>
          </w:p>
        </w:tc>
        <w:tc>
          <w:tcPr>
            <w:tcW w:w="1000" w:type="dxa"/>
            <w:tcBorders>
              <w:top w:val="nil"/>
              <w:left w:val="nil"/>
              <w:bottom w:val="nil"/>
              <w:right w:val="nil"/>
            </w:tcBorders>
            <w:shd w:val="clear" w:color="auto" w:fill="auto"/>
            <w:noWrap/>
            <w:vAlign w:val="bottom"/>
            <w:hideMark/>
          </w:tcPr>
          <w:p w14:paraId="724F781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187.1</w:t>
            </w:r>
          </w:p>
        </w:tc>
      </w:tr>
      <w:tr w:rsidR="00F26016" w:rsidRPr="00F26016" w14:paraId="23C03EEC" w14:textId="77777777" w:rsidTr="00F26016">
        <w:trPr>
          <w:trHeight w:val="300"/>
        </w:trPr>
        <w:tc>
          <w:tcPr>
            <w:tcW w:w="1140" w:type="dxa"/>
            <w:tcBorders>
              <w:top w:val="nil"/>
              <w:left w:val="nil"/>
              <w:bottom w:val="nil"/>
              <w:right w:val="nil"/>
            </w:tcBorders>
            <w:shd w:val="clear" w:color="auto" w:fill="auto"/>
            <w:noWrap/>
            <w:hideMark/>
          </w:tcPr>
          <w:p w14:paraId="6818A60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1200" w:type="dxa"/>
            <w:tcBorders>
              <w:top w:val="nil"/>
              <w:left w:val="nil"/>
              <w:bottom w:val="nil"/>
              <w:right w:val="nil"/>
            </w:tcBorders>
            <w:shd w:val="clear" w:color="auto" w:fill="auto"/>
            <w:noWrap/>
            <w:hideMark/>
          </w:tcPr>
          <w:p w14:paraId="14A6EE3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630D248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0A3FD8A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4E67C86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7E7EE3D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64F693B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628D450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609DA87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10.4</w:t>
            </w:r>
          </w:p>
        </w:tc>
        <w:tc>
          <w:tcPr>
            <w:tcW w:w="920" w:type="dxa"/>
            <w:tcBorders>
              <w:top w:val="nil"/>
              <w:left w:val="nil"/>
              <w:bottom w:val="nil"/>
              <w:right w:val="nil"/>
            </w:tcBorders>
            <w:shd w:val="clear" w:color="auto" w:fill="auto"/>
            <w:noWrap/>
            <w:vAlign w:val="bottom"/>
            <w:hideMark/>
          </w:tcPr>
          <w:p w14:paraId="1B55647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45.7</w:t>
            </w:r>
          </w:p>
        </w:tc>
        <w:tc>
          <w:tcPr>
            <w:tcW w:w="741" w:type="dxa"/>
            <w:tcBorders>
              <w:top w:val="nil"/>
              <w:left w:val="nil"/>
              <w:bottom w:val="nil"/>
              <w:right w:val="nil"/>
            </w:tcBorders>
            <w:shd w:val="clear" w:color="auto" w:fill="auto"/>
            <w:noWrap/>
            <w:vAlign w:val="bottom"/>
            <w:hideMark/>
          </w:tcPr>
          <w:p w14:paraId="35FB93F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5.7</w:t>
            </w:r>
          </w:p>
        </w:tc>
        <w:tc>
          <w:tcPr>
            <w:tcW w:w="785" w:type="dxa"/>
            <w:tcBorders>
              <w:top w:val="nil"/>
              <w:left w:val="nil"/>
              <w:bottom w:val="nil"/>
              <w:right w:val="nil"/>
            </w:tcBorders>
            <w:shd w:val="clear" w:color="auto" w:fill="auto"/>
            <w:noWrap/>
            <w:vAlign w:val="bottom"/>
            <w:hideMark/>
          </w:tcPr>
          <w:p w14:paraId="0F67BB0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14.0</w:t>
            </w:r>
          </w:p>
        </w:tc>
        <w:tc>
          <w:tcPr>
            <w:tcW w:w="732" w:type="dxa"/>
            <w:tcBorders>
              <w:top w:val="nil"/>
              <w:left w:val="nil"/>
              <w:bottom w:val="nil"/>
              <w:right w:val="nil"/>
            </w:tcBorders>
            <w:shd w:val="clear" w:color="auto" w:fill="auto"/>
            <w:noWrap/>
            <w:vAlign w:val="bottom"/>
            <w:hideMark/>
          </w:tcPr>
          <w:p w14:paraId="197DD42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111.3</w:t>
            </w:r>
          </w:p>
        </w:tc>
        <w:tc>
          <w:tcPr>
            <w:tcW w:w="860" w:type="dxa"/>
            <w:tcBorders>
              <w:top w:val="nil"/>
              <w:left w:val="nil"/>
              <w:bottom w:val="nil"/>
              <w:right w:val="nil"/>
            </w:tcBorders>
            <w:shd w:val="clear" w:color="auto" w:fill="auto"/>
            <w:noWrap/>
            <w:vAlign w:val="bottom"/>
            <w:hideMark/>
          </w:tcPr>
          <w:p w14:paraId="0B40BE4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86.9</w:t>
            </w:r>
          </w:p>
        </w:tc>
        <w:tc>
          <w:tcPr>
            <w:tcW w:w="960" w:type="dxa"/>
            <w:tcBorders>
              <w:top w:val="nil"/>
              <w:left w:val="nil"/>
              <w:bottom w:val="nil"/>
              <w:right w:val="nil"/>
            </w:tcBorders>
            <w:shd w:val="clear" w:color="auto" w:fill="auto"/>
            <w:noWrap/>
            <w:vAlign w:val="bottom"/>
            <w:hideMark/>
          </w:tcPr>
          <w:p w14:paraId="4DCF6E2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17.3</w:t>
            </w:r>
          </w:p>
        </w:tc>
        <w:tc>
          <w:tcPr>
            <w:tcW w:w="689" w:type="dxa"/>
            <w:tcBorders>
              <w:top w:val="nil"/>
              <w:left w:val="nil"/>
              <w:bottom w:val="nil"/>
              <w:right w:val="nil"/>
            </w:tcBorders>
            <w:shd w:val="clear" w:color="auto" w:fill="auto"/>
            <w:noWrap/>
            <w:vAlign w:val="bottom"/>
            <w:hideMark/>
          </w:tcPr>
          <w:p w14:paraId="29C26E6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30.9</w:t>
            </w:r>
          </w:p>
        </w:tc>
        <w:tc>
          <w:tcPr>
            <w:tcW w:w="1000" w:type="dxa"/>
            <w:tcBorders>
              <w:top w:val="nil"/>
              <w:left w:val="nil"/>
              <w:bottom w:val="nil"/>
              <w:right w:val="nil"/>
            </w:tcBorders>
            <w:shd w:val="clear" w:color="auto" w:fill="auto"/>
            <w:noWrap/>
            <w:vAlign w:val="bottom"/>
            <w:hideMark/>
          </w:tcPr>
          <w:p w14:paraId="2312CFF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142.5</w:t>
            </w:r>
          </w:p>
        </w:tc>
      </w:tr>
      <w:tr w:rsidR="00F26016" w:rsidRPr="00F26016" w14:paraId="301D1A0D" w14:textId="77777777" w:rsidTr="00F26016">
        <w:trPr>
          <w:trHeight w:val="300"/>
        </w:trPr>
        <w:tc>
          <w:tcPr>
            <w:tcW w:w="1140" w:type="dxa"/>
            <w:tcBorders>
              <w:top w:val="nil"/>
              <w:left w:val="nil"/>
              <w:bottom w:val="nil"/>
              <w:right w:val="nil"/>
            </w:tcBorders>
            <w:shd w:val="clear" w:color="auto" w:fill="auto"/>
            <w:noWrap/>
            <w:hideMark/>
          </w:tcPr>
          <w:p w14:paraId="213AAC9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1200" w:type="dxa"/>
            <w:tcBorders>
              <w:top w:val="nil"/>
              <w:left w:val="nil"/>
              <w:bottom w:val="nil"/>
              <w:right w:val="nil"/>
            </w:tcBorders>
            <w:shd w:val="clear" w:color="auto" w:fill="auto"/>
            <w:noWrap/>
            <w:hideMark/>
          </w:tcPr>
          <w:p w14:paraId="62FAFF6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5226071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17EBA97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46D03FF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3E32165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228F988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79DBC1E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7EAB41C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48.8</w:t>
            </w:r>
          </w:p>
        </w:tc>
        <w:tc>
          <w:tcPr>
            <w:tcW w:w="920" w:type="dxa"/>
            <w:tcBorders>
              <w:top w:val="nil"/>
              <w:left w:val="nil"/>
              <w:bottom w:val="nil"/>
              <w:right w:val="nil"/>
            </w:tcBorders>
            <w:shd w:val="clear" w:color="auto" w:fill="auto"/>
            <w:noWrap/>
            <w:vAlign w:val="bottom"/>
            <w:hideMark/>
          </w:tcPr>
          <w:p w14:paraId="0B06DD8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180.2</w:t>
            </w:r>
          </w:p>
        </w:tc>
        <w:tc>
          <w:tcPr>
            <w:tcW w:w="741" w:type="dxa"/>
            <w:tcBorders>
              <w:top w:val="nil"/>
              <w:left w:val="nil"/>
              <w:bottom w:val="nil"/>
              <w:right w:val="nil"/>
            </w:tcBorders>
            <w:shd w:val="clear" w:color="auto" w:fill="auto"/>
            <w:noWrap/>
            <w:vAlign w:val="bottom"/>
            <w:hideMark/>
          </w:tcPr>
          <w:p w14:paraId="216DA8D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149.0</w:t>
            </w:r>
          </w:p>
        </w:tc>
        <w:tc>
          <w:tcPr>
            <w:tcW w:w="785" w:type="dxa"/>
            <w:tcBorders>
              <w:top w:val="nil"/>
              <w:left w:val="nil"/>
              <w:bottom w:val="nil"/>
              <w:right w:val="nil"/>
            </w:tcBorders>
            <w:shd w:val="clear" w:color="auto" w:fill="auto"/>
            <w:noWrap/>
            <w:vAlign w:val="bottom"/>
            <w:hideMark/>
          </w:tcPr>
          <w:p w14:paraId="06F1F77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112.1</w:t>
            </w:r>
          </w:p>
        </w:tc>
        <w:tc>
          <w:tcPr>
            <w:tcW w:w="732" w:type="dxa"/>
            <w:tcBorders>
              <w:top w:val="nil"/>
              <w:left w:val="nil"/>
              <w:bottom w:val="nil"/>
              <w:right w:val="nil"/>
            </w:tcBorders>
            <w:shd w:val="clear" w:color="auto" w:fill="auto"/>
            <w:noWrap/>
            <w:vAlign w:val="bottom"/>
            <w:hideMark/>
          </w:tcPr>
          <w:p w14:paraId="0BAEBFF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105.8</w:t>
            </w:r>
          </w:p>
        </w:tc>
        <w:tc>
          <w:tcPr>
            <w:tcW w:w="860" w:type="dxa"/>
            <w:tcBorders>
              <w:top w:val="nil"/>
              <w:left w:val="nil"/>
              <w:bottom w:val="nil"/>
              <w:right w:val="nil"/>
            </w:tcBorders>
            <w:shd w:val="clear" w:color="auto" w:fill="auto"/>
            <w:noWrap/>
            <w:vAlign w:val="bottom"/>
            <w:hideMark/>
          </w:tcPr>
          <w:p w14:paraId="4A07EBC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346.0</w:t>
            </w:r>
          </w:p>
        </w:tc>
        <w:tc>
          <w:tcPr>
            <w:tcW w:w="960" w:type="dxa"/>
            <w:tcBorders>
              <w:top w:val="nil"/>
              <w:left w:val="nil"/>
              <w:bottom w:val="nil"/>
              <w:right w:val="nil"/>
            </w:tcBorders>
            <w:shd w:val="clear" w:color="auto" w:fill="auto"/>
            <w:noWrap/>
            <w:vAlign w:val="bottom"/>
            <w:hideMark/>
          </w:tcPr>
          <w:p w14:paraId="2CED2B3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79.5</w:t>
            </w:r>
          </w:p>
        </w:tc>
        <w:tc>
          <w:tcPr>
            <w:tcW w:w="689" w:type="dxa"/>
            <w:tcBorders>
              <w:top w:val="nil"/>
              <w:left w:val="nil"/>
              <w:bottom w:val="nil"/>
              <w:right w:val="nil"/>
            </w:tcBorders>
            <w:shd w:val="clear" w:color="auto" w:fill="auto"/>
            <w:noWrap/>
            <w:vAlign w:val="bottom"/>
            <w:hideMark/>
          </w:tcPr>
          <w:p w14:paraId="219F31A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27.1</w:t>
            </w:r>
          </w:p>
        </w:tc>
        <w:tc>
          <w:tcPr>
            <w:tcW w:w="1000" w:type="dxa"/>
            <w:tcBorders>
              <w:top w:val="nil"/>
              <w:left w:val="nil"/>
              <w:bottom w:val="nil"/>
              <w:right w:val="nil"/>
            </w:tcBorders>
            <w:shd w:val="clear" w:color="auto" w:fill="auto"/>
            <w:noWrap/>
            <w:vAlign w:val="bottom"/>
            <w:hideMark/>
          </w:tcPr>
          <w:p w14:paraId="73416DC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112.4</w:t>
            </w:r>
          </w:p>
        </w:tc>
      </w:tr>
      <w:tr w:rsidR="00F26016" w:rsidRPr="00F26016" w14:paraId="3C645F75" w14:textId="77777777" w:rsidTr="00F26016">
        <w:trPr>
          <w:trHeight w:val="300"/>
        </w:trPr>
        <w:tc>
          <w:tcPr>
            <w:tcW w:w="1140" w:type="dxa"/>
            <w:tcBorders>
              <w:top w:val="nil"/>
              <w:left w:val="nil"/>
              <w:bottom w:val="nil"/>
              <w:right w:val="nil"/>
            </w:tcBorders>
            <w:shd w:val="clear" w:color="auto" w:fill="auto"/>
            <w:noWrap/>
            <w:hideMark/>
          </w:tcPr>
          <w:p w14:paraId="677D256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62</w:t>
            </w:r>
          </w:p>
        </w:tc>
        <w:tc>
          <w:tcPr>
            <w:tcW w:w="1200" w:type="dxa"/>
            <w:tcBorders>
              <w:top w:val="nil"/>
              <w:left w:val="nil"/>
              <w:bottom w:val="nil"/>
              <w:right w:val="nil"/>
            </w:tcBorders>
            <w:shd w:val="clear" w:color="auto" w:fill="auto"/>
            <w:noWrap/>
            <w:hideMark/>
          </w:tcPr>
          <w:p w14:paraId="4710177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4F6000A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3106B04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68A5A64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35E8CFC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3F76F06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50F1C90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66BB00E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254.6</w:t>
            </w:r>
          </w:p>
        </w:tc>
        <w:tc>
          <w:tcPr>
            <w:tcW w:w="920" w:type="dxa"/>
            <w:tcBorders>
              <w:top w:val="nil"/>
              <w:left w:val="nil"/>
              <w:bottom w:val="nil"/>
              <w:right w:val="nil"/>
            </w:tcBorders>
            <w:shd w:val="clear" w:color="auto" w:fill="auto"/>
            <w:noWrap/>
            <w:vAlign w:val="bottom"/>
            <w:hideMark/>
          </w:tcPr>
          <w:p w14:paraId="2F1F014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57.4</w:t>
            </w:r>
          </w:p>
        </w:tc>
        <w:tc>
          <w:tcPr>
            <w:tcW w:w="741" w:type="dxa"/>
            <w:tcBorders>
              <w:top w:val="nil"/>
              <w:left w:val="nil"/>
              <w:bottom w:val="nil"/>
              <w:right w:val="nil"/>
            </w:tcBorders>
            <w:shd w:val="clear" w:color="auto" w:fill="auto"/>
            <w:noWrap/>
            <w:vAlign w:val="bottom"/>
            <w:hideMark/>
          </w:tcPr>
          <w:p w14:paraId="537FD1D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70.1</w:t>
            </w:r>
          </w:p>
        </w:tc>
        <w:tc>
          <w:tcPr>
            <w:tcW w:w="785" w:type="dxa"/>
            <w:tcBorders>
              <w:top w:val="nil"/>
              <w:left w:val="nil"/>
              <w:bottom w:val="nil"/>
              <w:right w:val="nil"/>
            </w:tcBorders>
            <w:shd w:val="clear" w:color="auto" w:fill="auto"/>
            <w:noWrap/>
            <w:vAlign w:val="bottom"/>
            <w:hideMark/>
          </w:tcPr>
          <w:p w14:paraId="69A1D38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62.1</w:t>
            </w:r>
          </w:p>
        </w:tc>
        <w:tc>
          <w:tcPr>
            <w:tcW w:w="732" w:type="dxa"/>
            <w:tcBorders>
              <w:top w:val="nil"/>
              <w:left w:val="nil"/>
              <w:bottom w:val="nil"/>
              <w:right w:val="nil"/>
            </w:tcBorders>
            <w:shd w:val="clear" w:color="auto" w:fill="auto"/>
            <w:noWrap/>
            <w:vAlign w:val="bottom"/>
            <w:hideMark/>
          </w:tcPr>
          <w:p w14:paraId="003E067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850.0</w:t>
            </w:r>
          </w:p>
        </w:tc>
        <w:tc>
          <w:tcPr>
            <w:tcW w:w="860" w:type="dxa"/>
            <w:tcBorders>
              <w:top w:val="nil"/>
              <w:left w:val="nil"/>
              <w:bottom w:val="nil"/>
              <w:right w:val="nil"/>
            </w:tcBorders>
            <w:shd w:val="clear" w:color="auto" w:fill="auto"/>
            <w:noWrap/>
            <w:vAlign w:val="bottom"/>
            <w:hideMark/>
          </w:tcPr>
          <w:p w14:paraId="668AE43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103.9</w:t>
            </w:r>
          </w:p>
        </w:tc>
        <w:tc>
          <w:tcPr>
            <w:tcW w:w="960" w:type="dxa"/>
            <w:tcBorders>
              <w:top w:val="nil"/>
              <w:left w:val="nil"/>
              <w:bottom w:val="nil"/>
              <w:right w:val="nil"/>
            </w:tcBorders>
            <w:shd w:val="clear" w:color="auto" w:fill="auto"/>
            <w:noWrap/>
            <w:vAlign w:val="bottom"/>
            <w:hideMark/>
          </w:tcPr>
          <w:p w14:paraId="7960E0E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689" w:type="dxa"/>
            <w:tcBorders>
              <w:top w:val="nil"/>
              <w:left w:val="nil"/>
              <w:bottom w:val="nil"/>
              <w:right w:val="nil"/>
            </w:tcBorders>
            <w:shd w:val="clear" w:color="auto" w:fill="auto"/>
            <w:noWrap/>
            <w:vAlign w:val="bottom"/>
            <w:hideMark/>
          </w:tcPr>
          <w:p w14:paraId="14A1C40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9.7</w:t>
            </w:r>
          </w:p>
        </w:tc>
        <w:tc>
          <w:tcPr>
            <w:tcW w:w="1000" w:type="dxa"/>
            <w:tcBorders>
              <w:top w:val="nil"/>
              <w:left w:val="nil"/>
              <w:bottom w:val="nil"/>
              <w:right w:val="nil"/>
            </w:tcBorders>
            <w:shd w:val="clear" w:color="auto" w:fill="auto"/>
            <w:noWrap/>
            <w:vAlign w:val="bottom"/>
            <w:hideMark/>
          </w:tcPr>
          <w:p w14:paraId="1CE9476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164.3</w:t>
            </w:r>
          </w:p>
        </w:tc>
      </w:tr>
      <w:tr w:rsidR="00F26016" w:rsidRPr="00F26016" w14:paraId="55B7BD4C" w14:textId="77777777" w:rsidTr="00F26016">
        <w:trPr>
          <w:trHeight w:val="300"/>
        </w:trPr>
        <w:tc>
          <w:tcPr>
            <w:tcW w:w="1140" w:type="dxa"/>
            <w:tcBorders>
              <w:top w:val="nil"/>
              <w:left w:val="nil"/>
              <w:bottom w:val="nil"/>
              <w:right w:val="nil"/>
            </w:tcBorders>
            <w:shd w:val="clear" w:color="auto" w:fill="auto"/>
            <w:noWrap/>
            <w:hideMark/>
          </w:tcPr>
          <w:p w14:paraId="71AED1B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62</w:t>
            </w:r>
          </w:p>
        </w:tc>
        <w:tc>
          <w:tcPr>
            <w:tcW w:w="1200" w:type="dxa"/>
            <w:tcBorders>
              <w:top w:val="nil"/>
              <w:left w:val="nil"/>
              <w:bottom w:val="nil"/>
              <w:right w:val="nil"/>
            </w:tcBorders>
            <w:shd w:val="clear" w:color="auto" w:fill="auto"/>
            <w:noWrap/>
            <w:hideMark/>
          </w:tcPr>
          <w:p w14:paraId="5AB0148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3010379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7932613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1CC788D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2DDA6E1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2FBD253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064A95A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765C61F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4.4</w:t>
            </w:r>
          </w:p>
        </w:tc>
        <w:tc>
          <w:tcPr>
            <w:tcW w:w="920" w:type="dxa"/>
            <w:tcBorders>
              <w:top w:val="nil"/>
              <w:left w:val="nil"/>
              <w:bottom w:val="nil"/>
              <w:right w:val="nil"/>
            </w:tcBorders>
            <w:shd w:val="clear" w:color="auto" w:fill="auto"/>
            <w:noWrap/>
            <w:vAlign w:val="bottom"/>
            <w:hideMark/>
          </w:tcPr>
          <w:p w14:paraId="5126237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56.3</w:t>
            </w:r>
          </w:p>
        </w:tc>
        <w:tc>
          <w:tcPr>
            <w:tcW w:w="741" w:type="dxa"/>
            <w:tcBorders>
              <w:top w:val="nil"/>
              <w:left w:val="nil"/>
              <w:bottom w:val="nil"/>
              <w:right w:val="nil"/>
            </w:tcBorders>
            <w:shd w:val="clear" w:color="auto" w:fill="auto"/>
            <w:noWrap/>
            <w:vAlign w:val="bottom"/>
            <w:hideMark/>
          </w:tcPr>
          <w:p w14:paraId="3F2B0F4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18.6</w:t>
            </w:r>
          </w:p>
        </w:tc>
        <w:tc>
          <w:tcPr>
            <w:tcW w:w="785" w:type="dxa"/>
            <w:tcBorders>
              <w:top w:val="nil"/>
              <w:left w:val="nil"/>
              <w:bottom w:val="nil"/>
              <w:right w:val="nil"/>
            </w:tcBorders>
            <w:shd w:val="clear" w:color="auto" w:fill="auto"/>
            <w:noWrap/>
            <w:vAlign w:val="bottom"/>
            <w:hideMark/>
          </w:tcPr>
          <w:p w14:paraId="71F6E7F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50.1</w:t>
            </w:r>
          </w:p>
        </w:tc>
        <w:tc>
          <w:tcPr>
            <w:tcW w:w="732" w:type="dxa"/>
            <w:tcBorders>
              <w:top w:val="nil"/>
              <w:left w:val="nil"/>
              <w:bottom w:val="nil"/>
              <w:right w:val="nil"/>
            </w:tcBorders>
            <w:shd w:val="clear" w:color="auto" w:fill="auto"/>
            <w:noWrap/>
            <w:vAlign w:val="bottom"/>
            <w:hideMark/>
          </w:tcPr>
          <w:p w14:paraId="282DFD9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118.3</w:t>
            </w:r>
          </w:p>
        </w:tc>
        <w:tc>
          <w:tcPr>
            <w:tcW w:w="860" w:type="dxa"/>
            <w:tcBorders>
              <w:top w:val="nil"/>
              <w:left w:val="nil"/>
              <w:bottom w:val="nil"/>
              <w:right w:val="nil"/>
            </w:tcBorders>
            <w:shd w:val="clear" w:color="auto" w:fill="auto"/>
            <w:noWrap/>
            <w:vAlign w:val="bottom"/>
            <w:hideMark/>
          </w:tcPr>
          <w:p w14:paraId="07677F3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76.5</w:t>
            </w:r>
          </w:p>
        </w:tc>
        <w:tc>
          <w:tcPr>
            <w:tcW w:w="960" w:type="dxa"/>
            <w:tcBorders>
              <w:top w:val="nil"/>
              <w:left w:val="nil"/>
              <w:bottom w:val="nil"/>
              <w:right w:val="nil"/>
            </w:tcBorders>
            <w:shd w:val="clear" w:color="auto" w:fill="auto"/>
            <w:noWrap/>
            <w:vAlign w:val="bottom"/>
            <w:hideMark/>
          </w:tcPr>
          <w:p w14:paraId="28888BF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17.1</w:t>
            </w:r>
          </w:p>
        </w:tc>
        <w:tc>
          <w:tcPr>
            <w:tcW w:w="689" w:type="dxa"/>
            <w:tcBorders>
              <w:top w:val="nil"/>
              <w:left w:val="nil"/>
              <w:bottom w:val="nil"/>
              <w:right w:val="nil"/>
            </w:tcBorders>
            <w:shd w:val="clear" w:color="auto" w:fill="auto"/>
            <w:noWrap/>
            <w:vAlign w:val="bottom"/>
            <w:hideMark/>
          </w:tcPr>
          <w:p w14:paraId="196E6FE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21.4</w:t>
            </w:r>
          </w:p>
        </w:tc>
        <w:tc>
          <w:tcPr>
            <w:tcW w:w="1000" w:type="dxa"/>
            <w:tcBorders>
              <w:top w:val="nil"/>
              <w:left w:val="nil"/>
              <w:bottom w:val="nil"/>
              <w:right w:val="nil"/>
            </w:tcBorders>
            <w:shd w:val="clear" w:color="auto" w:fill="auto"/>
            <w:noWrap/>
            <w:vAlign w:val="bottom"/>
            <w:hideMark/>
          </w:tcPr>
          <w:p w14:paraId="3CC7BD5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135.4</w:t>
            </w:r>
          </w:p>
        </w:tc>
      </w:tr>
      <w:tr w:rsidR="00F26016" w:rsidRPr="00F26016" w14:paraId="018712BC" w14:textId="77777777" w:rsidTr="00F26016">
        <w:trPr>
          <w:trHeight w:val="300"/>
        </w:trPr>
        <w:tc>
          <w:tcPr>
            <w:tcW w:w="1140" w:type="dxa"/>
            <w:tcBorders>
              <w:top w:val="nil"/>
              <w:left w:val="nil"/>
              <w:bottom w:val="nil"/>
              <w:right w:val="nil"/>
            </w:tcBorders>
            <w:shd w:val="clear" w:color="auto" w:fill="auto"/>
            <w:noWrap/>
            <w:hideMark/>
          </w:tcPr>
          <w:p w14:paraId="04E5EEC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62</w:t>
            </w:r>
          </w:p>
        </w:tc>
        <w:tc>
          <w:tcPr>
            <w:tcW w:w="1200" w:type="dxa"/>
            <w:tcBorders>
              <w:top w:val="nil"/>
              <w:left w:val="nil"/>
              <w:bottom w:val="nil"/>
              <w:right w:val="nil"/>
            </w:tcBorders>
            <w:shd w:val="clear" w:color="auto" w:fill="auto"/>
            <w:noWrap/>
            <w:hideMark/>
          </w:tcPr>
          <w:p w14:paraId="0405AD1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68CE4E0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4D945A5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4F5B198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74EFC41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2D424A9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63358C4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18545E4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80.7</w:t>
            </w:r>
          </w:p>
        </w:tc>
        <w:tc>
          <w:tcPr>
            <w:tcW w:w="920" w:type="dxa"/>
            <w:tcBorders>
              <w:top w:val="nil"/>
              <w:left w:val="nil"/>
              <w:bottom w:val="nil"/>
              <w:right w:val="nil"/>
            </w:tcBorders>
            <w:shd w:val="clear" w:color="auto" w:fill="auto"/>
            <w:noWrap/>
            <w:vAlign w:val="bottom"/>
            <w:hideMark/>
          </w:tcPr>
          <w:p w14:paraId="77B2CB9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159.0</w:t>
            </w:r>
          </w:p>
        </w:tc>
        <w:tc>
          <w:tcPr>
            <w:tcW w:w="741" w:type="dxa"/>
            <w:tcBorders>
              <w:top w:val="nil"/>
              <w:left w:val="nil"/>
              <w:bottom w:val="nil"/>
              <w:right w:val="nil"/>
            </w:tcBorders>
            <w:shd w:val="clear" w:color="auto" w:fill="auto"/>
            <w:noWrap/>
            <w:vAlign w:val="bottom"/>
            <w:hideMark/>
          </w:tcPr>
          <w:p w14:paraId="213990B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213.4</w:t>
            </w:r>
          </w:p>
        </w:tc>
        <w:tc>
          <w:tcPr>
            <w:tcW w:w="785" w:type="dxa"/>
            <w:tcBorders>
              <w:top w:val="nil"/>
              <w:left w:val="nil"/>
              <w:bottom w:val="nil"/>
              <w:right w:val="nil"/>
            </w:tcBorders>
            <w:shd w:val="clear" w:color="auto" w:fill="auto"/>
            <w:noWrap/>
            <w:vAlign w:val="bottom"/>
            <w:hideMark/>
          </w:tcPr>
          <w:p w14:paraId="38707D3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147.2</w:t>
            </w:r>
          </w:p>
        </w:tc>
        <w:tc>
          <w:tcPr>
            <w:tcW w:w="732" w:type="dxa"/>
            <w:tcBorders>
              <w:top w:val="nil"/>
              <w:left w:val="nil"/>
              <w:bottom w:val="nil"/>
              <w:right w:val="nil"/>
            </w:tcBorders>
            <w:shd w:val="clear" w:color="auto" w:fill="auto"/>
            <w:noWrap/>
            <w:vAlign w:val="bottom"/>
            <w:hideMark/>
          </w:tcPr>
          <w:p w14:paraId="4E7F7EB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217.3</w:t>
            </w:r>
          </w:p>
        </w:tc>
        <w:tc>
          <w:tcPr>
            <w:tcW w:w="860" w:type="dxa"/>
            <w:tcBorders>
              <w:top w:val="nil"/>
              <w:left w:val="nil"/>
              <w:bottom w:val="nil"/>
              <w:right w:val="nil"/>
            </w:tcBorders>
            <w:shd w:val="clear" w:color="auto" w:fill="auto"/>
            <w:noWrap/>
            <w:vAlign w:val="bottom"/>
            <w:hideMark/>
          </w:tcPr>
          <w:p w14:paraId="0C2C277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296.1</w:t>
            </w:r>
          </w:p>
        </w:tc>
        <w:tc>
          <w:tcPr>
            <w:tcW w:w="960" w:type="dxa"/>
            <w:tcBorders>
              <w:top w:val="nil"/>
              <w:left w:val="nil"/>
              <w:bottom w:val="nil"/>
              <w:right w:val="nil"/>
            </w:tcBorders>
            <w:shd w:val="clear" w:color="auto" w:fill="auto"/>
            <w:noWrap/>
            <w:vAlign w:val="bottom"/>
            <w:hideMark/>
          </w:tcPr>
          <w:p w14:paraId="14F3C26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84.3</w:t>
            </w:r>
          </w:p>
        </w:tc>
        <w:tc>
          <w:tcPr>
            <w:tcW w:w="689" w:type="dxa"/>
            <w:tcBorders>
              <w:top w:val="nil"/>
              <w:left w:val="nil"/>
              <w:bottom w:val="nil"/>
              <w:right w:val="nil"/>
            </w:tcBorders>
            <w:shd w:val="clear" w:color="auto" w:fill="auto"/>
            <w:noWrap/>
            <w:vAlign w:val="bottom"/>
            <w:hideMark/>
          </w:tcPr>
          <w:p w14:paraId="6676852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125.6</w:t>
            </w:r>
          </w:p>
        </w:tc>
        <w:tc>
          <w:tcPr>
            <w:tcW w:w="1000" w:type="dxa"/>
            <w:tcBorders>
              <w:top w:val="nil"/>
              <w:left w:val="nil"/>
              <w:bottom w:val="nil"/>
              <w:right w:val="nil"/>
            </w:tcBorders>
            <w:shd w:val="clear" w:color="auto" w:fill="auto"/>
            <w:noWrap/>
            <w:vAlign w:val="bottom"/>
            <w:hideMark/>
          </w:tcPr>
          <w:p w14:paraId="6BDFBDF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109.6</w:t>
            </w:r>
          </w:p>
        </w:tc>
      </w:tr>
      <w:tr w:rsidR="00F26016" w:rsidRPr="00F26016" w14:paraId="6BBF89A5" w14:textId="77777777" w:rsidTr="00F26016">
        <w:trPr>
          <w:trHeight w:val="300"/>
        </w:trPr>
        <w:tc>
          <w:tcPr>
            <w:tcW w:w="1140" w:type="dxa"/>
            <w:tcBorders>
              <w:top w:val="nil"/>
              <w:left w:val="nil"/>
              <w:bottom w:val="nil"/>
              <w:right w:val="nil"/>
            </w:tcBorders>
            <w:shd w:val="clear" w:color="auto" w:fill="auto"/>
            <w:noWrap/>
            <w:hideMark/>
          </w:tcPr>
          <w:p w14:paraId="35E668B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64</w:t>
            </w:r>
          </w:p>
        </w:tc>
        <w:tc>
          <w:tcPr>
            <w:tcW w:w="1200" w:type="dxa"/>
            <w:tcBorders>
              <w:top w:val="nil"/>
              <w:left w:val="nil"/>
              <w:bottom w:val="nil"/>
              <w:right w:val="nil"/>
            </w:tcBorders>
            <w:shd w:val="clear" w:color="auto" w:fill="auto"/>
            <w:noWrap/>
            <w:hideMark/>
          </w:tcPr>
          <w:p w14:paraId="634C646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04B5085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300D65D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0D08D57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26F18FA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1C2071E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23BD7C6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w:t>
            </w:r>
          </w:p>
        </w:tc>
        <w:tc>
          <w:tcPr>
            <w:tcW w:w="660" w:type="dxa"/>
            <w:tcBorders>
              <w:top w:val="nil"/>
              <w:left w:val="nil"/>
              <w:bottom w:val="nil"/>
              <w:right w:val="nil"/>
            </w:tcBorders>
            <w:shd w:val="clear" w:color="auto" w:fill="auto"/>
            <w:noWrap/>
            <w:vAlign w:val="bottom"/>
            <w:hideMark/>
          </w:tcPr>
          <w:p w14:paraId="375AA06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139.9</w:t>
            </w:r>
          </w:p>
        </w:tc>
        <w:tc>
          <w:tcPr>
            <w:tcW w:w="920" w:type="dxa"/>
            <w:tcBorders>
              <w:top w:val="nil"/>
              <w:left w:val="nil"/>
              <w:bottom w:val="nil"/>
              <w:right w:val="nil"/>
            </w:tcBorders>
            <w:shd w:val="clear" w:color="auto" w:fill="auto"/>
            <w:noWrap/>
            <w:vAlign w:val="bottom"/>
            <w:hideMark/>
          </w:tcPr>
          <w:p w14:paraId="2AC8B4F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35.1</w:t>
            </w:r>
          </w:p>
        </w:tc>
        <w:tc>
          <w:tcPr>
            <w:tcW w:w="741" w:type="dxa"/>
            <w:tcBorders>
              <w:top w:val="nil"/>
              <w:left w:val="nil"/>
              <w:bottom w:val="nil"/>
              <w:right w:val="nil"/>
            </w:tcBorders>
            <w:shd w:val="clear" w:color="auto" w:fill="auto"/>
            <w:noWrap/>
            <w:vAlign w:val="bottom"/>
            <w:hideMark/>
          </w:tcPr>
          <w:p w14:paraId="70D2180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31.5</w:t>
            </w:r>
          </w:p>
        </w:tc>
        <w:tc>
          <w:tcPr>
            <w:tcW w:w="785" w:type="dxa"/>
            <w:tcBorders>
              <w:top w:val="nil"/>
              <w:left w:val="nil"/>
              <w:bottom w:val="nil"/>
              <w:right w:val="nil"/>
            </w:tcBorders>
            <w:shd w:val="clear" w:color="auto" w:fill="auto"/>
            <w:noWrap/>
            <w:vAlign w:val="bottom"/>
            <w:hideMark/>
          </w:tcPr>
          <w:p w14:paraId="46F0B14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47.9</w:t>
            </w:r>
          </w:p>
        </w:tc>
        <w:tc>
          <w:tcPr>
            <w:tcW w:w="732" w:type="dxa"/>
            <w:tcBorders>
              <w:top w:val="nil"/>
              <w:left w:val="nil"/>
              <w:bottom w:val="nil"/>
              <w:right w:val="nil"/>
            </w:tcBorders>
            <w:shd w:val="clear" w:color="auto" w:fill="auto"/>
            <w:noWrap/>
            <w:vAlign w:val="bottom"/>
            <w:hideMark/>
          </w:tcPr>
          <w:p w14:paraId="1ACD46C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268.5</w:t>
            </w:r>
          </w:p>
        </w:tc>
        <w:tc>
          <w:tcPr>
            <w:tcW w:w="860" w:type="dxa"/>
            <w:tcBorders>
              <w:top w:val="nil"/>
              <w:left w:val="nil"/>
              <w:bottom w:val="nil"/>
              <w:right w:val="nil"/>
            </w:tcBorders>
            <w:shd w:val="clear" w:color="auto" w:fill="auto"/>
            <w:noWrap/>
            <w:vAlign w:val="bottom"/>
            <w:hideMark/>
          </w:tcPr>
          <w:p w14:paraId="50205E2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67.8</w:t>
            </w:r>
          </w:p>
        </w:tc>
        <w:tc>
          <w:tcPr>
            <w:tcW w:w="960" w:type="dxa"/>
            <w:tcBorders>
              <w:top w:val="nil"/>
              <w:left w:val="nil"/>
              <w:bottom w:val="nil"/>
              <w:right w:val="nil"/>
            </w:tcBorders>
            <w:shd w:val="clear" w:color="auto" w:fill="auto"/>
            <w:noWrap/>
            <w:vAlign w:val="bottom"/>
            <w:hideMark/>
          </w:tcPr>
          <w:p w14:paraId="04C8408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44.1</w:t>
            </w:r>
          </w:p>
        </w:tc>
        <w:tc>
          <w:tcPr>
            <w:tcW w:w="689" w:type="dxa"/>
            <w:tcBorders>
              <w:top w:val="nil"/>
              <w:left w:val="nil"/>
              <w:bottom w:val="nil"/>
              <w:right w:val="nil"/>
            </w:tcBorders>
            <w:shd w:val="clear" w:color="auto" w:fill="auto"/>
            <w:noWrap/>
            <w:vAlign w:val="bottom"/>
            <w:hideMark/>
          </w:tcPr>
          <w:p w14:paraId="115F5BE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7.7</w:t>
            </w:r>
          </w:p>
        </w:tc>
        <w:tc>
          <w:tcPr>
            <w:tcW w:w="1000" w:type="dxa"/>
            <w:tcBorders>
              <w:top w:val="nil"/>
              <w:left w:val="nil"/>
              <w:bottom w:val="nil"/>
              <w:right w:val="nil"/>
            </w:tcBorders>
            <w:shd w:val="clear" w:color="auto" w:fill="auto"/>
            <w:noWrap/>
            <w:vAlign w:val="bottom"/>
            <w:hideMark/>
          </w:tcPr>
          <w:p w14:paraId="1255418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185.5</w:t>
            </w:r>
          </w:p>
        </w:tc>
      </w:tr>
      <w:tr w:rsidR="00F26016" w:rsidRPr="00F26016" w14:paraId="71D7662B" w14:textId="77777777" w:rsidTr="00F26016">
        <w:trPr>
          <w:trHeight w:val="300"/>
        </w:trPr>
        <w:tc>
          <w:tcPr>
            <w:tcW w:w="1140" w:type="dxa"/>
            <w:tcBorders>
              <w:top w:val="nil"/>
              <w:left w:val="nil"/>
              <w:bottom w:val="nil"/>
              <w:right w:val="nil"/>
            </w:tcBorders>
            <w:shd w:val="clear" w:color="auto" w:fill="auto"/>
            <w:noWrap/>
            <w:hideMark/>
          </w:tcPr>
          <w:p w14:paraId="2E10623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64</w:t>
            </w:r>
          </w:p>
        </w:tc>
        <w:tc>
          <w:tcPr>
            <w:tcW w:w="1200" w:type="dxa"/>
            <w:tcBorders>
              <w:top w:val="nil"/>
              <w:left w:val="nil"/>
              <w:bottom w:val="nil"/>
              <w:right w:val="nil"/>
            </w:tcBorders>
            <w:shd w:val="clear" w:color="auto" w:fill="auto"/>
            <w:noWrap/>
            <w:hideMark/>
          </w:tcPr>
          <w:p w14:paraId="4594F21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7E18E7F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1C891AF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52DB92C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4C99AB9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3E59740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08C55A7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w:t>
            </w:r>
          </w:p>
        </w:tc>
        <w:tc>
          <w:tcPr>
            <w:tcW w:w="660" w:type="dxa"/>
            <w:tcBorders>
              <w:top w:val="nil"/>
              <w:left w:val="nil"/>
              <w:bottom w:val="nil"/>
              <w:right w:val="nil"/>
            </w:tcBorders>
            <w:shd w:val="clear" w:color="auto" w:fill="auto"/>
            <w:noWrap/>
            <w:vAlign w:val="bottom"/>
            <w:hideMark/>
          </w:tcPr>
          <w:p w14:paraId="162CF90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920" w:type="dxa"/>
            <w:tcBorders>
              <w:top w:val="nil"/>
              <w:left w:val="nil"/>
              <w:bottom w:val="nil"/>
              <w:right w:val="nil"/>
            </w:tcBorders>
            <w:shd w:val="clear" w:color="auto" w:fill="auto"/>
            <w:noWrap/>
            <w:vAlign w:val="bottom"/>
            <w:hideMark/>
          </w:tcPr>
          <w:p w14:paraId="565A3AF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61.0</w:t>
            </w:r>
          </w:p>
        </w:tc>
        <w:tc>
          <w:tcPr>
            <w:tcW w:w="741" w:type="dxa"/>
            <w:tcBorders>
              <w:top w:val="nil"/>
              <w:left w:val="nil"/>
              <w:bottom w:val="nil"/>
              <w:right w:val="nil"/>
            </w:tcBorders>
            <w:shd w:val="clear" w:color="auto" w:fill="auto"/>
            <w:noWrap/>
            <w:vAlign w:val="bottom"/>
            <w:hideMark/>
          </w:tcPr>
          <w:p w14:paraId="5E93E84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11.4</w:t>
            </w:r>
          </w:p>
        </w:tc>
        <w:tc>
          <w:tcPr>
            <w:tcW w:w="785" w:type="dxa"/>
            <w:tcBorders>
              <w:top w:val="nil"/>
              <w:left w:val="nil"/>
              <w:bottom w:val="nil"/>
              <w:right w:val="nil"/>
            </w:tcBorders>
            <w:shd w:val="clear" w:color="auto" w:fill="auto"/>
            <w:noWrap/>
            <w:vAlign w:val="bottom"/>
            <w:hideMark/>
          </w:tcPr>
          <w:p w14:paraId="6B428C2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31.1</w:t>
            </w:r>
          </w:p>
        </w:tc>
        <w:tc>
          <w:tcPr>
            <w:tcW w:w="732" w:type="dxa"/>
            <w:tcBorders>
              <w:top w:val="nil"/>
              <w:left w:val="nil"/>
              <w:bottom w:val="nil"/>
              <w:right w:val="nil"/>
            </w:tcBorders>
            <w:shd w:val="clear" w:color="auto" w:fill="auto"/>
            <w:noWrap/>
            <w:vAlign w:val="bottom"/>
            <w:hideMark/>
          </w:tcPr>
          <w:p w14:paraId="7307ECB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115.8</w:t>
            </w:r>
          </w:p>
        </w:tc>
        <w:tc>
          <w:tcPr>
            <w:tcW w:w="860" w:type="dxa"/>
            <w:tcBorders>
              <w:top w:val="nil"/>
              <w:left w:val="nil"/>
              <w:bottom w:val="nil"/>
              <w:right w:val="nil"/>
            </w:tcBorders>
            <w:shd w:val="clear" w:color="auto" w:fill="auto"/>
            <w:noWrap/>
            <w:vAlign w:val="bottom"/>
            <w:hideMark/>
          </w:tcPr>
          <w:p w14:paraId="1211110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76.8</w:t>
            </w:r>
          </w:p>
        </w:tc>
        <w:tc>
          <w:tcPr>
            <w:tcW w:w="960" w:type="dxa"/>
            <w:tcBorders>
              <w:top w:val="nil"/>
              <w:left w:val="nil"/>
              <w:bottom w:val="nil"/>
              <w:right w:val="nil"/>
            </w:tcBorders>
            <w:shd w:val="clear" w:color="auto" w:fill="auto"/>
            <w:noWrap/>
            <w:vAlign w:val="bottom"/>
            <w:hideMark/>
          </w:tcPr>
          <w:p w14:paraId="33C63C3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15.7</w:t>
            </w:r>
          </w:p>
        </w:tc>
        <w:tc>
          <w:tcPr>
            <w:tcW w:w="689" w:type="dxa"/>
            <w:tcBorders>
              <w:top w:val="nil"/>
              <w:left w:val="nil"/>
              <w:bottom w:val="nil"/>
              <w:right w:val="nil"/>
            </w:tcBorders>
            <w:shd w:val="clear" w:color="auto" w:fill="auto"/>
            <w:noWrap/>
            <w:vAlign w:val="bottom"/>
            <w:hideMark/>
          </w:tcPr>
          <w:p w14:paraId="56FFDBB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29.6</w:t>
            </w:r>
          </w:p>
        </w:tc>
        <w:tc>
          <w:tcPr>
            <w:tcW w:w="1000" w:type="dxa"/>
            <w:tcBorders>
              <w:top w:val="nil"/>
              <w:left w:val="nil"/>
              <w:bottom w:val="nil"/>
              <w:right w:val="nil"/>
            </w:tcBorders>
            <w:shd w:val="clear" w:color="auto" w:fill="auto"/>
            <w:noWrap/>
            <w:vAlign w:val="bottom"/>
            <w:hideMark/>
          </w:tcPr>
          <w:p w14:paraId="309C28D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144.9</w:t>
            </w:r>
          </w:p>
        </w:tc>
      </w:tr>
      <w:tr w:rsidR="00F26016" w:rsidRPr="00F26016" w14:paraId="121F3DF1" w14:textId="77777777" w:rsidTr="00F26016">
        <w:trPr>
          <w:trHeight w:val="300"/>
        </w:trPr>
        <w:tc>
          <w:tcPr>
            <w:tcW w:w="1140" w:type="dxa"/>
            <w:tcBorders>
              <w:top w:val="nil"/>
              <w:left w:val="nil"/>
              <w:bottom w:val="nil"/>
              <w:right w:val="nil"/>
            </w:tcBorders>
            <w:shd w:val="clear" w:color="auto" w:fill="auto"/>
            <w:noWrap/>
            <w:hideMark/>
          </w:tcPr>
          <w:p w14:paraId="6F7763F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64</w:t>
            </w:r>
          </w:p>
        </w:tc>
        <w:tc>
          <w:tcPr>
            <w:tcW w:w="1200" w:type="dxa"/>
            <w:tcBorders>
              <w:top w:val="nil"/>
              <w:left w:val="nil"/>
              <w:bottom w:val="nil"/>
              <w:right w:val="nil"/>
            </w:tcBorders>
            <w:shd w:val="clear" w:color="auto" w:fill="auto"/>
            <w:noWrap/>
            <w:hideMark/>
          </w:tcPr>
          <w:p w14:paraId="5242438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5324B12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41AD510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310B53C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1A9A2DB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27D8D4A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4463826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w:t>
            </w:r>
          </w:p>
        </w:tc>
        <w:tc>
          <w:tcPr>
            <w:tcW w:w="660" w:type="dxa"/>
            <w:tcBorders>
              <w:top w:val="nil"/>
              <w:left w:val="nil"/>
              <w:bottom w:val="nil"/>
              <w:right w:val="nil"/>
            </w:tcBorders>
            <w:shd w:val="clear" w:color="auto" w:fill="auto"/>
            <w:noWrap/>
            <w:vAlign w:val="bottom"/>
            <w:hideMark/>
          </w:tcPr>
          <w:p w14:paraId="388DB06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56.9</w:t>
            </w:r>
          </w:p>
        </w:tc>
        <w:tc>
          <w:tcPr>
            <w:tcW w:w="920" w:type="dxa"/>
            <w:tcBorders>
              <w:top w:val="nil"/>
              <w:left w:val="nil"/>
              <w:bottom w:val="nil"/>
              <w:right w:val="nil"/>
            </w:tcBorders>
            <w:shd w:val="clear" w:color="auto" w:fill="auto"/>
            <w:noWrap/>
            <w:vAlign w:val="bottom"/>
            <w:hideMark/>
          </w:tcPr>
          <w:p w14:paraId="2EB5789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168.1</w:t>
            </w:r>
          </w:p>
        </w:tc>
        <w:tc>
          <w:tcPr>
            <w:tcW w:w="741" w:type="dxa"/>
            <w:tcBorders>
              <w:top w:val="nil"/>
              <w:left w:val="nil"/>
              <w:bottom w:val="nil"/>
              <w:right w:val="nil"/>
            </w:tcBorders>
            <w:shd w:val="clear" w:color="auto" w:fill="auto"/>
            <w:noWrap/>
            <w:vAlign w:val="bottom"/>
            <w:hideMark/>
          </w:tcPr>
          <w:p w14:paraId="02DF5D5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183.2</w:t>
            </w:r>
          </w:p>
        </w:tc>
        <w:tc>
          <w:tcPr>
            <w:tcW w:w="785" w:type="dxa"/>
            <w:tcBorders>
              <w:top w:val="nil"/>
              <w:left w:val="nil"/>
              <w:bottom w:val="nil"/>
              <w:right w:val="nil"/>
            </w:tcBorders>
            <w:shd w:val="clear" w:color="auto" w:fill="auto"/>
            <w:noWrap/>
            <w:vAlign w:val="bottom"/>
            <w:hideMark/>
          </w:tcPr>
          <w:p w14:paraId="4E0DC14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124.8</w:t>
            </w:r>
          </w:p>
        </w:tc>
        <w:tc>
          <w:tcPr>
            <w:tcW w:w="732" w:type="dxa"/>
            <w:tcBorders>
              <w:top w:val="nil"/>
              <w:left w:val="nil"/>
              <w:bottom w:val="nil"/>
              <w:right w:val="nil"/>
            </w:tcBorders>
            <w:shd w:val="clear" w:color="auto" w:fill="auto"/>
            <w:noWrap/>
            <w:vAlign w:val="bottom"/>
            <w:hideMark/>
          </w:tcPr>
          <w:p w14:paraId="00BDA53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46.1</w:t>
            </w:r>
          </w:p>
        </w:tc>
        <w:tc>
          <w:tcPr>
            <w:tcW w:w="860" w:type="dxa"/>
            <w:tcBorders>
              <w:top w:val="nil"/>
              <w:left w:val="nil"/>
              <w:bottom w:val="nil"/>
              <w:right w:val="nil"/>
            </w:tcBorders>
            <w:shd w:val="clear" w:color="auto" w:fill="auto"/>
            <w:noWrap/>
            <w:vAlign w:val="bottom"/>
            <w:hideMark/>
          </w:tcPr>
          <w:p w14:paraId="0678956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269.6</w:t>
            </w:r>
          </w:p>
        </w:tc>
        <w:tc>
          <w:tcPr>
            <w:tcW w:w="960" w:type="dxa"/>
            <w:tcBorders>
              <w:top w:val="nil"/>
              <w:left w:val="nil"/>
              <w:bottom w:val="nil"/>
              <w:right w:val="nil"/>
            </w:tcBorders>
            <w:shd w:val="clear" w:color="auto" w:fill="auto"/>
            <w:noWrap/>
            <w:vAlign w:val="bottom"/>
            <w:hideMark/>
          </w:tcPr>
          <w:p w14:paraId="5B07BF5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92.0</w:t>
            </w:r>
          </w:p>
        </w:tc>
        <w:tc>
          <w:tcPr>
            <w:tcW w:w="689" w:type="dxa"/>
            <w:tcBorders>
              <w:top w:val="nil"/>
              <w:left w:val="nil"/>
              <w:bottom w:val="nil"/>
              <w:right w:val="nil"/>
            </w:tcBorders>
            <w:shd w:val="clear" w:color="auto" w:fill="auto"/>
            <w:noWrap/>
            <w:vAlign w:val="bottom"/>
            <w:hideMark/>
          </w:tcPr>
          <w:p w14:paraId="53448A2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14.2</w:t>
            </w:r>
          </w:p>
        </w:tc>
        <w:tc>
          <w:tcPr>
            <w:tcW w:w="1000" w:type="dxa"/>
            <w:tcBorders>
              <w:top w:val="nil"/>
              <w:left w:val="nil"/>
              <w:bottom w:val="nil"/>
              <w:right w:val="nil"/>
            </w:tcBorders>
            <w:shd w:val="clear" w:color="auto" w:fill="auto"/>
            <w:noWrap/>
            <w:vAlign w:val="bottom"/>
            <w:hideMark/>
          </w:tcPr>
          <w:p w14:paraId="0774424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111.5</w:t>
            </w:r>
          </w:p>
        </w:tc>
      </w:tr>
      <w:tr w:rsidR="00F26016" w:rsidRPr="00F26016" w14:paraId="531D0AEE" w14:textId="77777777" w:rsidTr="00F26016">
        <w:trPr>
          <w:trHeight w:val="300"/>
        </w:trPr>
        <w:tc>
          <w:tcPr>
            <w:tcW w:w="1140" w:type="dxa"/>
            <w:tcBorders>
              <w:top w:val="nil"/>
              <w:left w:val="nil"/>
              <w:bottom w:val="nil"/>
              <w:right w:val="nil"/>
            </w:tcBorders>
            <w:shd w:val="clear" w:color="auto" w:fill="auto"/>
            <w:noWrap/>
            <w:hideMark/>
          </w:tcPr>
          <w:p w14:paraId="5397F71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65</w:t>
            </w:r>
          </w:p>
        </w:tc>
        <w:tc>
          <w:tcPr>
            <w:tcW w:w="1200" w:type="dxa"/>
            <w:tcBorders>
              <w:top w:val="nil"/>
              <w:left w:val="nil"/>
              <w:bottom w:val="nil"/>
              <w:right w:val="nil"/>
            </w:tcBorders>
            <w:shd w:val="clear" w:color="auto" w:fill="auto"/>
            <w:noWrap/>
            <w:hideMark/>
          </w:tcPr>
          <w:p w14:paraId="07EF954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0D3DE5A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1A9F5DD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6EDF700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0CD9602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0A49DCF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4EAF60D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w:t>
            </w:r>
          </w:p>
        </w:tc>
        <w:tc>
          <w:tcPr>
            <w:tcW w:w="660" w:type="dxa"/>
            <w:tcBorders>
              <w:top w:val="nil"/>
              <w:left w:val="nil"/>
              <w:bottom w:val="nil"/>
              <w:right w:val="nil"/>
            </w:tcBorders>
            <w:shd w:val="clear" w:color="auto" w:fill="auto"/>
            <w:noWrap/>
            <w:vAlign w:val="bottom"/>
            <w:hideMark/>
          </w:tcPr>
          <w:p w14:paraId="3923529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247.6</w:t>
            </w:r>
          </w:p>
        </w:tc>
        <w:tc>
          <w:tcPr>
            <w:tcW w:w="920" w:type="dxa"/>
            <w:tcBorders>
              <w:top w:val="nil"/>
              <w:left w:val="nil"/>
              <w:bottom w:val="nil"/>
              <w:right w:val="nil"/>
            </w:tcBorders>
            <w:shd w:val="clear" w:color="auto" w:fill="auto"/>
            <w:noWrap/>
            <w:vAlign w:val="bottom"/>
            <w:hideMark/>
          </w:tcPr>
          <w:p w14:paraId="1B24BBC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60.4</w:t>
            </w:r>
          </w:p>
        </w:tc>
        <w:tc>
          <w:tcPr>
            <w:tcW w:w="741" w:type="dxa"/>
            <w:tcBorders>
              <w:top w:val="nil"/>
              <w:left w:val="nil"/>
              <w:bottom w:val="nil"/>
              <w:right w:val="nil"/>
            </w:tcBorders>
            <w:shd w:val="clear" w:color="auto" w:fill="auto"/>
            <w:noWrap/>
            <w:vAlign w:val="bottom"/>
            <w:hideMark/>
          </w:tcPr>
          <w:p w14:paraId="6B43C4D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40.9</w:t>
            </w:r>
          </w:p>
        </w:tc>
        <w:tc>
          <w:tcPr>
            <w:tcW w:w="785" w:type="dxa"/>
            <w:tcBorders>
              <w:top w:val="nil"/>
              <w:left w:val="nil"/>
              <w:bottom w:val="nil"/>
              <w:right w:val="nil"/>
            </w:tcBorders>
            <w:shd w:val="clear" w:color="auto" w:fill="auto"/>
            <w:noWrap/>
            <w:vAlign w:val="bottom"/>
            <w:hideMark/>
          </w:tcPr>
          <w:p w14:paraId="21E32AE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34.1</w:t>
            </w:r>
          </w:p>
        </w:tc>
        <w:tc>
          <w:tcPr>
            <w:tcW w:w="732" w:type="dxa"/>
            <w:tcBorders>
              <w:top w:val="nil"/>
              <w:left w:val="nil"/>
              <w:bottom w:val="nil"/>
              <w:right w:val="nil"/>
            </w:tcBorders>
            <w:shd w:val="clear" w:color="auto" w:fill="auto"/>
            <w:noWrap/>
            <w:vAlign w:val="bottom"/>
            <w:hideMark/>
          </w:tcPr>
          <w:p w14:paraId="22F1756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483.4</w:t>
            </w:r>
          </w:p>
        </w:tc>
        <w:tc>
          <w:tcPr>
            <w:tcW w:w="860" w:type="dxa"/>
            <w:tcBorders>
              <w:top w:val="nil"/>
              <w:left w:val="nil"/>
              <w:bottom w:val="nil"/>
              <w:right w:val="nil"/>
            </w:tcBorders>
            <w:shd w:val="clear" w:color="auto" w:fill="auto"/>
            <w:noWrap/>
            <w:vAlign w:val="bottom"/>
            <w:hideMark/>
          </w:tcPr>
          <w:p w14:paraId="24328F1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98.2</w:t>
            </w:r>
          </w:p>
        </w:tc>
        <w:tc>
          <w:tcPr>
            <w:tcW w:w="960" w:type="dxa"/>
            <w:tcBorders>
              <w:top w:val="nil"/>
              <w:left w:val="nil"/>
              <w:bottom w:val="nil"/>
              <w:right w:val="nil"/>
            </w:tcBorders>
            <w:shd w:val="clear" w:color="auto" w:fill="auto"/>
            <w:noWrap/>
            <w:vAlign w:val="bottom"/>
            <w:hideMark/>
          </w:tcPr>
          <w:p w14:paraId="42A863E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16.5</w:t>
            </w:r>
          </w:p>
        </w:tc>
        <w:tc>
          <w:tcPr>
            <w:tcW w:w="689" w:type="dxa"/>
            <w:tcBorders>
              <w:top w:val="nil"/>
              <w:left w:val="nil"/>
              <w:bottom w:val="nil"/>
              <w:right w:val="nil"/>
            </w:tcBorders>
            <w:shd w:val="clear" w:color="auto" w:fill="auto"/>
            <w:noWrap/>
            <w:vAlign w:val="bottom"/>
            <w:hideMark/>
          </w:tcPr>
          <w:p w14:paraId="510DB37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0.1</w:t>
            </w:r>
          </w:p>
        </w:tc>
        <w:tc>
          <w:tcPr>
            <w:tcW w:w="1000" w:type="dxa"/>
            <w:tcBorders>
              <w:top w:val="nil"/>
              <w:left w:val="nil"/>
              <w:bottom w:val="nil"/>
              <w:right w:val="nil"/>
            </w:tcBorders>
            <w:shd w:val="clear" w:color="auto" w:fill="auto"/>
            <w:noWrap/>
            <w:vAlign w:val="bottom"/>
            <w:hideMark/>
          </w:tcPr>
          <w:p w14:paraId="15AAC38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145.0</w:t>
            </w:r>
          </w:p>
        </w:tc>
      </w:tr>
      <w:tr w:rsidR="00F26016" w:rsidRPr="00F26016" w14:paraId="0F5577BE" w14:textId="77777777" w:rsidTr="00F26016">
        <w:trPr>
          <w:trHeight w:val="300"/>
        </w:trPr>
        <w:tc>
          <w:tcPr>
            <w:tcW w:w="1140" w:type="dxa"/>
            <w:tcBorders>
              <w:top w:val="nil"/>
              <w:left w:val="nil"/>
              <w:bottom w:val="nil"/>
              <w:right w:val="nil"/>
            </w:tcBorders>
            <w:shd w:val="clear" w:color="auto" w:fill="auto"/>
            <w:noWrap/>
            <w:hideMark/>
          </w:tcPr>
          <w:p w14:paraId="1C393F5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65</w:t>
            </w:r>
          </w:p>
        </w:tc>
        <w:tc>
          <w:tcPr>
            <w:tcW w:w="1200" w:type="dxa"/>
            <w:tcBorders>
              <w:top w:val="nil"/>
              <w:left w:val="nil"/>
              <w:bottom w:val="nil"/>
              <w:right w:val="nil"/>
            </w:tcBorders>
            <w:shd w:val="clear" w:color="auto" w:fill="auto"/>
            <w:noWrap/>
            <w:hideMark/>
          </w:tcPr>
          <w:p w14:paraId="5B3F3E7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244B9FD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043EC6D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775E8BC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0126410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339A095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3765B10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w:t>
            </w:r>
          </w:p>
        </w:tc>
        <w:tc>
          <w:tcPr>
            <w:tcW w:w="660" w:type="dxa"/>
            <w:tcBorders>
              <w:top w:val="nil"/>
              <w:left w:val="nil"/>
              <w:bottom w:val="nil"/>
              <w:right w:val="nil"/>
            </w:tcBorders>
            <w:shd w:val="clear" w:color="auto" w:fill="auto"/>
            <w:noWrap/>
            <w:vAlign w:val="bottom"/>
            <w:hideMark/>
          </w:tcPr>
          <w:p w14:paraId="5345AED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w:t>
            </w:r>
          </w:p>
        </w:tc>
        <w:tc>
          <w:tcPr>
            <w:tcW w:w="920" w:type="dxa"/>
            <w:tcBorders>
              <w:top w:val="nil"/>
              <w:left w:val="nil"/>
              <w:bottom w:val="nil"/>
              <w:right w:val="nil"/>
            </w:tcBorders>
            <w:shd w:val="clear" w:color="auto" w:fill="auto"/>
            <w:noWrap/>
            <w:vAlign w:val="bottom"/>
            <w:hideMark/>
          </w:tcPr>
          <w:p w14:paraId="3350C33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54.9</w:t>
            </w:r>
          </w:p>
        </w:tc>
        <w:tc>
          <w:tcPr>
            <w:tcW w:w="741" w:type="dxa"/>
            <w:tcBorders>
              <w:top w:val="nil"/>
              <w:left w:val="nil"/>
              <w:bottom w:val="nil"/>
              <w:right w:val="nil"/>
            </w:tcBorders>
            <w:shd w:val="clear" w:color="auto" w:fill="auto"/>
            <w:noWrap/>
            <w:vAlign w:val="bottom"/>
            <w:hideMark/>
          </w:tcPr>
          <w:p w14:paraId="3C5F259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w:t>
            </w:r>
          </w:p>
        </w:tc>
        <w:tc>
          <w:tcPr>
            <w:tcW w:w="785" w:type="dxa"/>
            <w:tcBorders>
              <w:top w:val="nil"/>
              <w:left w:val="nil"/>
              <w:bottom w:val="nil"/>
              <w:right w:val="nil"/>
            </w:tcBorders>
            <w:shd w:val="clear" w:color="auto" w:fill="auto"/>
            <w:noWrap/>
            <w:vAlign w:val="bottom"/>
            <w:hideMark/>
          </w:tcPr>
          <w:p w14:paraId="2933278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39.9</w:t>
            </w:r>
          </w:p>
        </w:tc>
        <w:tc>
          <w:tcPr>
            <w:tcW w:w="732" w:type="dxa"/>
            <w:tcBorders>
              <w:top w:val="nil"/>
              <w:left w:val="nil"/>
              <w:bottom w:val="nil"/>
              <w:right w:val="nil"/>
            </w:tcBorders>
            <w:shd w:val="clear" w:color="auto" w:fill="auto"/>
            <w:noWrap/>
            <w:vAlign w:val="bottom"/>
            <w:hideMark/>
          </w:tcPr>
          <w:p w14:paraId="2A7FDC3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162.6</w:t>
            </w:r>
          </w:p>
        </w:tc>
        <w:tc>
          <w:tcPr>
            <w:tcW w:w="860" w:type="dxa"/>
            <w:tcBorders>
              <w:top w:val="nil"/>
              <w:left w:val="nil"/>
              <w:bottom w:val="nil"/>
              <w:right w:val="nil"/>
            </w:tcBorders>
            <w:shd w:val="clear" w:color="auto" w:fill="auto"/>
            <w:noWrap/>
            <w:vAlign w:val="bottom"/>
            <w:hideMark/>
          </w:tcPr>
          <w:p w14:paraId="06307EC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76.2</w:t>
            </w:r>
          </w:p>
        </w:tc>
        <w:tc>
          <w:tcPr>
            <w:tcW w:w="960" w:type="dxa"/>
            <w:tcBorders>
              <w:top w:val="nil"/>
              <w:left w:val="nil"/>
              <w:bottom w:val="nil"/>
              <w:right w:val="nil"/>
            </w:tcBorders>
            <w:shd w:val="clear" w:color="auto" w:fill="auto"/>
            <w:noWrap/>
            <w:vAlign w:val="bottom"/>
            <w:hideMark/>
          </w:tcPr>
          <w:p w14:paraId="0D7C6CB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19.1</w:t>
            </w:r>
          </w:p>
        </w:tc>
        <w:tc>
          <w:tcPr>
            <w:tcW w:w="689" w:type="dxa"/>
            <w:tcBorders>
              <w:top w:val="nil"/>
              <w:left w:val="nil"/>
              <w:bottom w:val="nil"/>
              <w:right w:val="nil"/>
            </w:tcBorders>
            <w:shd w:val="clear" w:color="auto" w:fill="auto"/>
            <w:noWrap/>
            <w:vAlign w:val="bottom"/>
            <w:hideMark/>
          </w:tcPr>
          <w:p w14:paraId="79645D5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7.5</w:t>
            </w:r>
          </w:p>
        </w:tc>
        <w:tc>
          <w:tcPr>
            <w:tcW w:w="1000" w:type="dxa"/>
            <w:tcBorders>
              <w:top w:val="nil"/>
              <w:left w:val="nil"/>
              <w:bottom w:val="nil"/>
              <w:right w:val="nil"/>
            </w:tcBorders>
            <w:shd w:val="clear" w:color="auto" w:fill="auto"/>
            <w:noWrap/>
            <w:vAlign w:val="bottom"/>
            <w:hideMark/>
          </w:tcPr>
          <w:p w14:paraId="1A5D7B7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150.3</w:t>
            </w:r>
          </w:p>
        </w:tc>
      </w:tr>
      <w:tr w:rsidR="00F26016" w:rsidRPr="00F26016" w14:paraId="19734832" w14:textId="77777777" w:rsidTr="00F26016">
        <w:trPr>
          <w:trHeight w:val="300"/>
        </w:trPr>
        <w:tc>
          <w:tcPr>
            <w:tcW w:w="1140" w:type="dxa"/>
            <w:tcBorders>
              <w:top w:val="nil"/>
              <w:left w:val="nil"/>
              <w:bottom w:val="nil"/>
              <w:right w:val="nil"/>
            </w:tcBorders>
            <w:shd w:val="clear" w:color="auto" w:fill="auto"/>
            <w:noWrap/>
            <w:hideMark/>
          </w:tcPr>
          <w:p w14:paraId="5CDF77C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65</w:t>
            </w:r>
          </w:p>
        </w:tc>
        <w:tc>
          <w:tcPr>
            <w:tcW w:w="1200" w:type="dxa"/>
            <w:tcBorders>
              <w:top w:val="nil"/>
              <w:left w:val="nil"/>
              <w:bottom w:val="nil"/>
              <w:right w:val="nil"/>
            </w:tcBorders>
            <w:shd w:val="clear" w:color="auto" w:fill="auto"/>
            <w:noWrap/>
            <w:hideMark/>
          </w:tcPr>
          <w:p w14:paraId="04022F1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62D612A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49963D1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23B2DD4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1FDF7D3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5BD3054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497DBF3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w:t>
            </w:r>
          </w:p>
        </w:tc>
        <w:tc>
          <w:tcPr>
            <w:tcW w:w="660" w:type="dxa"/>
            <w:tcBorders>
              <w:top w:val="nil"/>
              <w:left w:val="nil"/>
              <w:bottom w:val="nil"/>
              <w:right w:val="nil"/>
            </w:tcBorders>
            <w:shd w:val="clear" w:color="auto" w:fill="auto"/>
            <w:noWrap/>
            <w:vAlign w:val="bottom"/>
            <w:hideMark/>
          </w:tcPr>
          <w:p w14:paraId="781DA60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66.2</w:t>
            </w:r>
          </w:p>
        </w:tc>
        <w:tc>
          <w:tcPr>
            <w:tcW w:w="920" w:type="dxa"/>
            <w:tcBorders>
              <w:top w:val="nil"/>
              <w:left w:val="nil"/>
              <w:bottom w:val="nil"/>
              <w:right w:val="nil"/>
            </w:tcBorders>
            <w:shd w:val="clear" w:color="auto" w:fill="auto"/>
            <w:noWrap/>
            <w:vAlign w:val="bottom"/>
            <w:hideMark/>
          </w:tcPr>
          <w:p w14:paraId="2478315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168.4</w:t>
            </w:r>
          </w:p>
        </w:tc>
        <w:tc>
          <w:tcPr>
            <w:tcW w:w="741" w:type="dxa"/>
            <w:tcBorders>
              <w:top w:val="nil"/>
              <w:left w:val="nil"/>
              <w:bottom w:val="nil"/>
              <w:right w:val="nil"/>
            </w:tcBorders>
            <w:shd w:val="clear" w:color="auto" w:fill="auto"/>
            <w:noWrap/>
            <w:vAlign w:val="bottom"/>
            <w:hideMark/>
          </w:tcPr>
          <w:p w14:paraId="3209B0B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195.4</w:t>
            </w:r>
          </w:p>
        </w:tc>
        <w:tc>
          <w:tcPr>
            <w:tcW w:w="785" w:type="dxa"/>
            <w:tcBorders>
              <w:top w:val="nil"/>
              <w:left w:val="nil"/>
              <w:bottom w:val="nil"/>
              <w:right w:val="nil"/>
            </w:tcBorders>
            <w:shd w:val="clear" w:color="auto" w:fill="auto"/>
            <w:noWrap/>
            <w:vAlign w:val="bottom"/>
            <w:hideMark/>
          </w:tcPr>
          <w:p w14:paraId="38CE569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112.4</w:t>
            </w:r>
          </w:p>
        </w:tc>
        <w:tc>
          <w:tcPr>
            <w:tcW w:w="732" w:type="dxa"/>
            <w:tcBorders>
              <w:top w:val="nil"/>
              <w:left w:val="nil"/>
              <w:bottom w:val="nil"/>
              <w:right w:val="nil"/>
            </w:tcBorders>
            <w:shd w:val="clear" w:color="auto" w:fill="auto"/>
            <w:noWrap/>
            <w:vAlign w:val="bottom"/>
            <w:hideMark/>
          </w:tcPr>
          <w:p w14:paraId="5EDBE7F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77.2</w:t>
            </w:r>
          </w:p>
        </w:tc>
        <w:tc>
          <w:tcPr>
            <w:tcW w:w="860" w:type="dxa"/>
            <w:tcBorders>
              <w:top w:val="nil"/>
              <w:left w:val="nil"/>
              <w:bottom w:val="nil"/>
              <w:right w:val="nil"/>
            </w:tcBorders>
            <w:shd w:val="clear" w:color="auto" w:fill="auto"/>
            <w:noWrap/>
            <w:vAlign w:val="bottom"/>
            <w:hideMark/>
          </w:tcPr>
          <w:p w14:paraId="355DFEA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305.4</w:t>
            </w:r>
          </w:p>
        </w:tc>
        <w:tc>
          <w:tcPr>
            <w:tcW w:w="960" w:type="dxa"/>
            <w:tcBorders>
              <w:top w:val="nil"/>
              <w:left w:val="nil"/>
              <w:bottom w:val="nil"/>
              <w:right w:val="nil"/>
            </w:tcBorders>
            <w:shd w:val="clear" w:color="auto" w:fill="auto"/>
            <w:noWrap/>
            <w:vAlign w:val="bottom"/>
            <w:hideMark/>
          </w:tcPr>
          <w:p w14:paraId="71FE973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67.9</w:t>
            </w:r>
          </w:p>
        </w:tc>
        <w:tc>
          <w:tcPr>
            <w:tcW w:w="689" w:type="dxa"/>
            <w:tcBorders>
              <w:top w:val="nil"/>
              <w:left w:val="nil"/>
              <w:bottom w:val="nil"/>
              <w:right w:val="nil"/>
            </w:tcBorders>
            <w:shd w:val="clear" w:color="auto" w:fill="auto"/>
            <w:noWrap/>
            <w:vAlign w:val="bottom"/>
            <w:hideMark/>
          </w:tcPr>
          <w:p w14:paraId="4EFD122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7.1</w:t>
            </w:r>
          </w:p>
        </w:tc>
        <w:tc>
          <w:tcPr>
            <w:tcW w:w="1000" w:type="dxa"/>
            <w:tcBorders>
              <w:top w:val="nil"/>
              <w:left w:val="nil"/>
              <w:bottom w:val="nil"/>
              <w:right w:val="nil"/>
            </w:tcBorders>
            <w:shd w:val="clear" w:color="auto" w:fill="auto"/>
            <w:noWrap/>
            <w:vAlign w:val="bottom"/>
            <w:hideMark/>
          </w:tcPr>
          <w:p w14:paraId="5DAEE42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97.7</w:t>
            </w:r>
          </w:p>
        </w:tc>
      </w:tr>
      <w:tr w:rsidR="00F26016" w:rsidRPr="00F26016" w14:paraId="03B2F1CC" w14:textId="77777777" w:rsidTr="00F26016">
        <w:trPr>
          <w:trHeight w:val="300"/>
        </w:trPr>
        <w:tc>
          <w:tcPr>
            <w:tcW w:w="1140" w:type="dxa"/>
            <w:tcBorders>
              <w:top w:val="nil"/>
              <w:left w:val="nil"/>
              <w:bottom w:val="nil"/>
              <w:right w:val="nil"/>
            </w:tcBorders>
            <w:shd w:val="clear" w:color="auto" w:fill="auto"/>
            <w:noWrap/>
            <w:hideMark/>
          </w:tcPr>
          <w:p w14:paraId="76A5571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67</w:t>
            </w:r>
          </w:p>
        </w:tc>
        <w:tc>
          <w:tcPr>
            <w:tcW w:w="1200" w:type="dxa"/>
            <w:tcBorders>
              <w:top w:val="nil"/>
              <w:left w:val="nil"/>
              <w:bottom w:val="nil"/>
              <w:right w:val="nil"/>
            </w:tcBorders>
            <w:shd w:val="clear" w:color="auto" w:fill="auto"/>
            <w:noWrap/>
            <w:hideMark/>
          </w:tcPr>
          <w:p w14:paraId="400AFEA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00D7F25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777974E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0986DF0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16278AA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05FE0FF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7EB7498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588C8ED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129.4</w:t>
            </w:r>
          </w:p>
        </w:tc>
        <w:tc>
          <w:tcPr>
            <w:tcW w:w="920" w:type="dxa"/>
            <w:tcBorders>
              <w:top w:val="nil"/>
              <w:left w:val="nil"/>
              <w:bottom w:val="nil"/>
              <w:right w:val="nil"/>
            </w:tcBorders>
            <w:shd w:val="clear" w:color="auto" w:fill="auto"/>
            <w:noWrap/>
            <w:vAlign w:val="bottom"/>
            <w:hideMark/>
          </w:tcPr>
          <w:p w14:paraId="2351B7C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48.2</w:t>
            </w:r>
          </w:p>
        </w:tc>
        <w:tc>
          <w:tcPr>
            <w:tcW w:w="741" w:type="dxa"/>
            <w:tcBorders>
              <w:top w:val="nil"/>
              <w:left w:val="nil"/>
              <w:bottom w:val="nil"/>
              <w:right w:val="nil"/>
            </w:tcBorders>
            <w:shd w:val="clear" w:color="auto" w:fill="auto"/>
            <w:noWrap/>
            <w:vAlign w:val="bottom"/>
            <w:hideMark/>
          </w:tcPr>
          <w:p w14:paraId="11046B6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44.4</w:t>
            </w:r>
          </w:p>
        </w:tc>
        <w:tc>
          <w:tcPr>
            <w:tcW w:w="785" w:type="dxa"/>
            <w:tcBorders>
              <w:top w:val="nil"/>
              <w:left w:val="nil"/>
              <w:bottom w:val="nil"/>
              <w:right w:val="nil"/>
            </w:tcBorders>
            <w:shd w:val="clear" w:color="auto" w:fill="auto"/>
            <w:noWrap/>
            <w:vAlign w:val="bottom"/>
            <w:hideMark/>
          </w:tcPr>
          <w:p w14:paraId="7198BF3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65.8</w:t>
            </w:r>
          </w:p>
        </w:tc>
        <w:tc>
          <w:tcPr>
            <w:tcW w:w="732" w:type="dxa"/>
            <w:tcBorders>
              <w:top w:val="nil"/>
              <w:left w:val="nil"/>
              <w:bottom w:val="nil"/>
              <w:right w:val="nil"/>
            </w:tcBorders>
            <w:shd w:val="clear" w:color="auto" w:fill="auto"/>
            <w:noWrap/>
            <w:vAlign w:val="bottom"/>
            <w:hideMark/>
          </w:tcPr>
          <w:p w14:paraId="0BEC32F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255.5</w:t>
            </w:r>
          </w:p>
        </w:tc>
        <w:tc>
          <w:tcPr>
            <w:tcW w:w="860" w:type="dxa"/>
            <w:tcBorders>
              <w:top w:val="nil"/>
              <w:left w:val="nil"/>
              <w:bottom w:val="nil"/>
              <w:right w:val="nil"/>
            </w:tcBorders>
            <w:shd w:val="clear" w:color="auto" w:fill="auto"/>
            <w:noWrap/>
            <w:vAlign w:val="bottom"/>
            <w:hideMark/>
          </w:tcPr>
          <w:p w14:paraId="7F6BF7F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122.6</w:t>
            </w:r>
          </w:p>
        </w:tc>
        <w:tc>
          <w:tcPr>
            <w:tcW w:w="960" w:type="dxa"/>
            <w:tcBorders>
              <w:top w:val="nil"/>
              <w:left w:val="nil"/>
              <w:bottom w:val="nil"/>
              <w:right w:val="nil"/>
            </w:tcBorders>
            <w:shd w:val="clear" w:color="auto" w:fill="auto"/>
            <w:noWrap/>
            <w:vAlign w:val="bottom"/>
            <w:hideMark/>
          </w:tcPr>
          <w:p w14:paraId="6C15589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39.5</w:t>
            </w:r>
          </w:p>
        </w:tc>
        <w:tc>
          <w:tcPr>
            <w:tcW w:w="689" w:type="dxa"/>
            <w:tcBorders>
              <w:top w:val="nil"/>
              <w:left w:val="nil"/>
              <w:bottom w:val="nil"/>
              <w:right w:val="nil"/>
            </w:tcBorders>
            <w:shd w:val="clear" w:color="auto" w:fill="auto"/>
            <w:noWrap/>
            <w:vAlign w:val="bottom"/>
            <w:hideMark/>
          </w:tcPr>
          <w:p w14:paraId="09F53F67" w14:textId="77777777" w:rsidR="00F26016" w:rsidRPr="00F26016" w:rsidRDefault="00F26016" w:rsidP="00F26016">
            <w:pPr>
              <w:rPr>
                <w:rFonts w:ascii="Calibri" w:eastAsia="Times New Roman" w:hAnsi="Calibri" w:cs="Times New Roman"/>
                <w:color w:val="000000"/>
                <w:sz w:val="16"/>
                <w:szCs w:val="16"/>
              </w:rPr>
            </w:pPr>
          </w:p>
        </w:tc>
        <w:tc>
          <w:tcPr>
            <w:tcW w:w="1000" w:type="dxa"/>
            <w:tcBorders>
              <w:top w:val="nil"/>
              <w:left w:val="nil"/>
              <w:bottom w:val="nil"/>
              <w:right w:val="nil"/>
            </w:tcBorders>
            <w:shd w:val="clear" w:color="auto" w:fill="auto"/>
            <w:noWrap/>
            <w:vAlign w:val="bottom"/>
            <w:hideMark/>
          </w:tcPr>
          <w:p w14:paraId="208E071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181.6</w:t>
            </w:r>
          </w:p>
        </w:tc>
      </w:tr>
      <w:tr w:rsidR="00F26016" w:rsidRPr="00F26016" w14:paraId="354A4201" w14:textId="77777777" w:rsidTr="00F26016">
        <w:trPr>
          <w:trHeight w:val="300"/>
        </w:trPr>
        <w:tc>
          <w:tcPr>
            <w:tcW w:w="1140" w:type="dxa"/>
            <w:tcBorders>
              <w:top w:val="nil"/>
              <w:left w:val="nil"/>
              <w:bottom w:val="nil"/>
              <w:right w:val="nil"/>
            </w:tcBorders>
            <w:shd w:val="clear" w:color="auto" w:fill="auto"/>
            <w:noWrap/>
            <w:hideMark/>
          </w:tcPr>
          <w:p w14:paraId="02F2DCE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67</w:t>
            </w:r>
          </w:p>
        </w:tc>
        <w:tc>
          <w:tcPr>
            <w:tcW w:w="1200" w:type="dxa"/>
            <w:tcBorders>
              <w:top w:val="nil"/>
              <w:left w:val="nil"/>
              <w:bottom w:val="nil"/>
              <w:right w:val="nil"/>
            </w:tcBorders>
            <w:shd w:val="clear" w:color="auto" w:fill="auto"/>
            <w:noWrap/>
            <w:hideMark/>
          </w:tcPr>
          <w:p w14:paraId="3A12445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69D3B78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7A35DB8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7F33266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68541F6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7E453C8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41301B4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6D924B2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4.2</w:t>
            </w:r>
          </w:p>
        </w:tc>
        <w:tc>
          <w:tcPr>
            <w:tcW w:w="920" w:type="dxa"/>
            <w:tcBorders>
              <w:top w:val="nil"/>
              <w:left w:val="nil"/>
              <w:bottom w:val="nil"/>
              <w:right w:val="nil"/>
            </w:tcBorders>
            <w:shd w:val="clear" w:color="auto" w:fill="auto"/>
            <w:noWrap/>
            <w:vAlign w:val="bottom"/>
            <w:hideMark/>
          </w:tcPr>
          <w:p w14:paraId="205AF0E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43.2</w:t>
            </w:r>
          </w:p>
        </w:tc>
        <w:tc>
          <w:tcPr>
            <w:tcW w:w="741" w:type="dxa"/>
            <w:tcBorders>
              <w:top w:val="nil"/>
              <w:left w:val="nil"/>
              <w:bottom w:val="nil"/>
              <w:right w:val="nil"/>
            </w:tcBorders>
            <w:shd w:val="clear" w:color="auto" w:fill="auto"/>
            <w:noWrap/>
            <w:vAlign w:val="bottom"/>
            <w:hideMark/>
          </w:tcPr>
          <w:p w14:paraId="5BD811E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6.5</w:t>
            </w:r>
          </w:p>
        </w:tc>
        <w:tc>
          <w:tcPr>
            <w:tcW w:w="785" w:type="dxa"/>
            <w:tcBorders>
              <w:top w:val="nil"/>
              <w:left w:val="nil"/>
              <w:bottom w:val="nil"/>
              <w:right w:val="nil"/>
            </w:tcBorders>
            <w:shd w:val="clear" w:color="auto" w:fill="auto"/>
            <w:noWrap/>
            <w:vAlign w:val="bottom"/>
            <w:hideMark/>
          </w:tcPr>
          <w:p w14:paraId="0B3391C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18.3</w:t>
            </w:r>
          </w:p>
        </w:tc>
        <w:tc>
          <w:tcPr>
            <w:tcW w:w="732" w:type="dxa"/>
            <w:tcBorders>
              <w:top w:val="nil"/>
              <w:left w:val="nil"/>
              <w:bottom w:val="nil"/>
              <w:right w:val="nil"/>
            </w:tcBorders>
            <w:shd w:val="clear" w:color="auto" w:fill="auto"/>
            <w:noWrap/>
            <w:vAlign w:val="bottom"/>
            <w:hideMark/>
          </w:tcPr>
          <w:p w14:paraId="546D38D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100.7</w:t>
            </w:r>
          </w:p>
        </w:tc>
        <w:tc>
          <w:tcPr>
            <w:tcW w:w="860" w:type="dxa"/>
            <w:tcBorders>
              <w:top w:val="nil"/>
              <w:left w:val="nil"/>
              <w:bottom w:val="nil"/>
              <w:right w:val="nil"/>
            </w:tcBorders>
            <w:shd w:val="clear" w:color="auto" w:fill="auto"/>
            <w:noWrap/>
            <w:vAlign w:val="bottom"/>
            <w:hideMark/>
          </w:tcPr>
          <w:p w14:paraId="7D2B7CD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74.0</w:t>
            </w:r>
          </w:p>
        </w:tc>
        <w:tc>
          <w:tcPr>
            <w:tcW w:w="960" w:type="dxa"/>
            <w:tcBorders>
              <w:top w:val="nil"/>
              <w:left w:val="nil"/>
              <w:bottom w:val="nil"/>
              <w:right w:val="nil"/>
            </w:tcBorders>
            <w:shd w:val="clear" w:color="auto" w:fill="auto"/>
            <w:noWrap/>
            <w:vAlign w:val="bottom"/>
            <w:hideMark/>
          </w:tcPr>
          <w:p w14:paraId="0861C01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14.2</w:t>
            </w:r>
          </w:p>
        </w:tc>
        <w:tc>
          <w:tcPr>
            <w:tcW w:w="689" w:type="dxa"/>
            <w:tcBorders>
              <w:top w:val="nil"/>
              <w:left w:val="nil"/>
              <w:bottom w:val="nil"/>
              <w:right w:val="nil"/>
            </w:tcBorders>
            <w:shd w:val="clear" w:color="auto" w:fill="auto"/>
            <w:noWrap/>
            <w:vAlign w:val="bottom"/>
            <w:hideMark/>
          </w:tcPr>
          <w:p w14:paraId="291306C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12.1</w:t>
            </w:r>
          </w:p>
        </w:tc>
        <w:tc>
          <w:tcPr>
            <w:tcW w:w="1000" w:type="dxa"/>
            <w:tcBorders>
              <w:top w:val="nil"/>
              <w:left w:val="nil"/>
              <w:bottom w:val="nil"/>
              <w:right w:val="nil"/>
            </w:tcBorders>
            <w:shd w:val="clear" w:color="auto" w:fill="auto"/>
            <w:noWrap/>
            <w:vAlign w:val="bottom"/>
            <w:hideMark/>
          </w:tcPr>
          <w:p w14:paraId="59F8B52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148.3</w:t>
            </w:r>
          </w:p>
        </w:tc>
      </w:tr>
      <w:tr w:rsidR="00F26016" w:rsidRPr="00F26016" w14:paraId="45EF21B5" w14:textId="77777777" w:rsidTr="00F26016">
        <w:trPr>
          <w:trHeight w:val="300"/>
        </w:trPr>
        <w:tc>
          <w:tcPr>
            <w:tcW w:w="1140" w:type="dxa"/>
            <w:tcBorders>
              <w:top w:val="nil"/>
              <w:left w:val="nil"/>
              <w:bottom w:val="nil"/>
              <w:right w:val="nil"/>
            </w:tcBorders>
            <w:shd w:val="clear" w:color="auto" w:fill="auto"/>
            <w:noWrap/>
            <w:hideMark/>
          </w:tcPr>
          <w:p w14:paraId="7CD2F9F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67</w:t>
            </w:r>
          </w:p>
        </w:tc>
        <w:tc>
          <w:tcPr>
            <w:tcW w:w="1200" w:type="dxa"/>
            <w:tcBorders>
              <w:top w:val="nil"/>
              <w:left w:val="nil"/>
              <w:bottom w:val="nil"/>
              <w:right w:val="nil"/>
            </w:tcBorders>
            <w:shd w:val="clear" w:color="auto" w:fill="auto"/>
            <w:noWrap/>
            <w:hideMark/>
          </w:tcPr>
          <w:p w14:paraId="44CCCEF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002C261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38BEADE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062162F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49DD5D0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4C46356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3C7B66D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652434D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37.9</w:t>
            </w:r>
          </w:p>
        </w:tc>
        <w:tc>
          <w:tcPr>
            <w:tcW w:w="920" w:type="dxa"/>
            <w:tcBorders>
              <w:top w:val="nil"/>
              <w:left w:val="nil"/>
              <w:bottom w:val="nil"/>
              <w:right w:val="nil"/>
            </w:tcBorders>
            <w:shd w:val="clear" w:color="auto" w:fill="auto"/>
            <w:noWrap/>
            <w:vAlign w:val="bottom"/>
            <w:hideMark/>
          </w:tcPr>
          <w:p w14:paraId="390B2E6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164.2</w:t>
            </w:r>
          </w:p>
        </w:tc>
        <w:tc>
          <w:tcPr>
            <w:tcW w:w="741" w:type="dxa"/>
            <w:tcBorders>
              <w:top w:val="nil"/>
              <w:left w:val="nil"/>
              <w:bottom w:val="nil"/>
              <w:right w:val="nil"/>
            </w:tcBorders>
            <w:shd w:val="clear" w:color="auto" w:fill="auto"/>
            <w:noWrap/>
            <w:vAlign w:val="bottom"/>
            <w:hideMark/>
          </w:tcPr>
          <w:p w14:paraId="7D004EF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154.8</w:t>
            </w:r>
          </w:p>
        </w:tc>
        <w:tc>
          <w:tcPr>
            <w:tcW w:w="785" w:type="dxa"/>
            <w:tcBorders>
              <w:top w:val="nil"/>
              <w:left w:val="nil"/>
              <w:bottom w:val="nil"/>
              <w:right w:val="nil"/>
            </w:tcBorders>
            <w:shd w:val="clear" w:color="auto" w:fill="auto"/>
            <w:noWrap/>
            <w:vAlign w:val="bottom"/>
            <w:hideMark/>
          </w:tcPr>
          <w:p w14:paraId="0FE2CF0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127.3</w:t>
            </w:r>
          </w:p>
        </w:tc>
        <w:tc>
          <w:tcPr>
            <w:tcW w:w="732" w:type="dxa"/>
            <w:tcBorders>
              <w:top w:val="nil"/>
              <w:left w:val="nil"/>
              <w:bottom w:val="nil"/>
              <w:right w:val="nil"/>
            </w:tcBorders>
            <w:shd w:val="clear" w:color="auto" w:fill="auto"/>
            <w:noWrap/>
            <w:vAlign w:val="bottom"/>
            <w:hideMark/>
          </w:tcPr>
          <w:p w14:paraId="0B2DCD8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37.0</w:t>
            </w:r>
          </w:p>
        </w:tc>
        <w:tc>
          <w:tcPr>
            <w:tcW w:w="860" w:type="dxa"/>
            <w:tcBorders>
              <w:top w:val="nil"/>
              <w:left w:val="nil"/>
              <w:bottom w:val="nil"/>
              <w:right w:val="nil"/>
            </w:tcBorders>
            <w:shd w:val="clear" w:color="auto" w:fill="auto"/>
            <w:noWrap/>
            <w:vAlign w:val="bottom"/>
            <w:hideMark/>
          </w:tcPr>
          <w:p w14:paraId="7731DF5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292.4</w:t>
            </w:r>
          </w:p>
        </w:tc>
        <w:tc>
          <w:tcPr>
            <w:tcW w:w="960" w:type="dxa"/>
            <w:tcBorders>
              <w:top w:val="nil"/>
              <w:left w:val="nil"/>
              <w:bottom w:val="nil"/>
              <w:right w:val="nil"/>
            </w:tcBorders>
            <w:shd w:val="clear" w:color="auto" w:fill="auto"/>
            <w:noWrap/>
            <w:vAlign w:val="bottom"/>
            <w:hideMark/>
          </w:tcPr>
          <w:p w14:paraId="4F5335F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81.7</w:t>
            </w:r>
          </w:p>
        </w:tc>
        <w:tc>
          <w:tcPr>
            <w:tcW w:w="689" w:type="dxa"/>
            <w:tcBorders>
              <w:top w:val="nil"/>
              <w:left w:val="nil"/>
              <w:bottom w:val="nil"/>
              <w:right w:val="nil"/>
            </w:tcBorders>
            <w:shd w:val="clear" w:color="auto" w:fill="auto"/>
            <w:noWrap/>
            <w:vAlign w:val="bottom"/>
            <w:hideMark/>
          </w:tcPr>
          <w:p w14:paraId="464A720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41.3</w:t>
            </w:r>
          </w:p>
        </w:tc>
        <w:tc>
          <w:tcPr>
            <w:tcW w:w="1000" w:type="dxa"/>
            <w:tcBorders>
              <w:top w:val="nil"/>
              <w:left w:val="nil"/>
              <w:bottom w:val="nil"/>
              <w:right w:val="nil"/>
            </w:tcBorders>
            <w:shd w:val="clear" w:color="auto" w:fill="auto"/>
            <w:noWrap/>
            <w:vAlign w:val="bottom"/>
            <w:hideMark/>
          </w:tcPr>
          <w:p w14:paraId="3105C8A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111.8</w:t>
            </w:r>
          </w:p>
        </w:tc>
      </w:tr>
      <w:tr w:rsidR="00F26016" w:rsidRPr="00F26016" w14:paraId="138F8E7B" w14:textId="77777777" w:rsidTr="00F26016">
        <w:trPr>
          <w:trHeight w:val="300"/>
        </w:trPr>
        <w:tc>
          <w:tcPr>
            <w:tcW w:w="1140" w:type="dxa"/>
            <w:tcBorders>
              <w:top w:val="nil"/>
              <w:left w:val="nil"/>
              <w:bottom w:val="nil"/>
              <w:right w:val="nil"/>
            </w:tcBorders>
            <w:shd w:val="clear" w:color="auto" w:fill="auto"/>
            <w:noWrap/>
            <w:hideMark/>
          </w:tcPr>
          <w:p w14:paraId="01ECE65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68</w:t>
            </w:r>
          </w:p>
        </w:tc>
        <w:tc>
          <w:tcPr>
            <w:tcW w:w="1200" w:type="dxa"/>
            <w:tcBorders>
              <w:top w:val="nil"/>
              <w:left w:val="nil"/>
              <w:bottom w:val="nil"/>
              <w:right w:val="nil"/>
            </w:tcBorders>
            <w:shd w:val="clear" w:color="auto" w:fill="auto"/>
            <w:noWrap/>
            <w:hideMark/>
          </w:tcPr>
          <w:p w14:paraId="784D32F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44A89FF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140CE7A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4E1F91E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2C2C8F5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44843A0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1FB2D93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w:t>
            </w:r>
          </w:p>
        </w:tc>
        <w:tc>
          <w:tcPr>
            <w:tcW w:w="660" w:type="dxa"/>
            <w:tcBorders>
              <w:top w:val="nil"/>
              <w:left w:val="nil"/>
              <w:bottom w:val="nil"/>
              <w:right w:val="nil"/>
            </w:tcBorders>
            <w:shd w:val="clear" w:color="auto" w:fill="auto"/>
            <w:noWrap/>
            <w:vAlign w:val="bottom"/>
            <w:hideMark/>
          </w:tcPr>
          <w:p w14:paraId="2B43CF1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170.6</w:t>
            </w:r>
          </w:p>
        </w:tc>
        <w:tc>
          <w:tcPr>
            <w:tcW w:w="920" w:type="dxa"/>
            <w:tcBorders>
              <w:top w:val="nil"/>
              <w:left w:val="nil"/>
              <w:bottom w:val="nil"/>
              <w:right w:val="nil"/>
            </w:tcBorders>
            <w:shd w:val="clear" w:color="auto" w:fill="auto"/>
            <w:noWrap/>
            <w:vAlign w:val="bottom"/>
            <w:hideMark/>
          </w:tcPr>
          <w:p w14:paraId="636BD94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43.8</w:t>
            </w:r>
          </w:p>
        </w:tc>
        <w:tc>
          <w:tcPr>
            <w:tcW w:w="741" w:type="dxa"/>
            <w:tcBorders>
              <w:top w:val="nil"/>
              <w:left w:val="nil"/>
              <w:bottom w:val="nil"/>
              <w:right w:val="nil"/>
            </w:tcBorders>
            <w:shd w:val="clear" w:color="auto" w:fill="auto"/>
            <w:noWrap/>
            <w:vAlign w:val="bottom"/>
            <w:hideMark/>
          </w:tcPr>
          <w:p w14:paraId="3B7C512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39.1</w:t>
            </w:r>
          </w:p>
        </w:tc>
        <w:tc>
          <w:tcPr>
            <w:tcW w:w="785" w:type="dxa"/>
            <w:tcBorders>
              <w:top w:val="nil"/>
              <w:left w:val="nil"/>
              <w:bottom w:val="nil"/>
              <w:right w:val="nil"/>
            </w:tcBorders>
            <w:shd w:val="clear" w:color="auto" w:fill="auto"/>
            <w:noWrap/>
            <w:vAlign w:val="bottom"/>
            <w:hideMark/>
          </w:tcPr>
          <w:p w14:paraId="2B428B3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59.5</w:t>
            </w:r>
          </w:p>
        </w:tc>
        <w:tc>
          <w:tcPr>
            <w:tcW w:w="732" w:type="dxa"/>
            <w:tcBorders>
              <w:top w:val="nil"/>
              <w:left w:val="nil"/>
              <w:bottom w:val="nil"/>
              <w:right w:val="nil"/>
            </w:tcBorders>
            <w:shd w:val="clear" w:color="auto" w:fill="auto"/>
            <w:noWrap/>
            <w:vAlign w:val="bottom"/>
            <w:hideMark/>
          </w:tcPr>
          <w:p w14:paraId="32E326A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312.8</w:t>
            </w:r>
          </w:p>
        </w:tc>
        <w:tc>
          <w:tcPr>
            <w:tcW w:w="860" w:type="dxa"/>
            <w:tcBorders>
              <w:top w:val="nil"/>
              <w:left w:val="nil"/>
              <w:bottom w:val="nil"/>
              <w:right w:val="nil"/>
            </w:tcBorders>
            <w:shd w:val="clear" w:color="auto" w:fill="auto"/>
            <w:noWrap/>
            <w:vAlign w:val="bottom"/>
            <w:hideMark/>
          </w:tcPr>
          <w:p w14:paraId="4F4EA99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145.3</w:t>
            </w:r>
          </w:p>
        </w:tc>
        <w:tc>
          <w:tcPr>
            <w:tcW w:w="960" w:type="dxa"/>
            <w:tcBorders>
              <w:top w:val="nil"/>
              <w:left w:val="nil"/>
              <w:bottom w:val="nil"/>
              <w:right w:val="nil"/>
            </w:tcBorders>
            <w:shd w:val="clear" w:color="auto" w:fill="auto"/>
            <w:noWrap/>
            <w:vAlign w:val="bottom"/>
            <w:hideMark/>
          </w:tcPr>
          <w:p w14:paraId="17CBCB7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32.0</w:t>
            </w:r>
          </w:p>
        </w:tc>
        <w:tc>
          <w:tcPr>
            <w:tcW w:w="689" w:type="dxa"/>
            <w:tcBorders>
              <w:top w:val="nil"/>
              <w:left w:val="nil"/>
              <w:bottom w:val="nil"/>
              <w:right w:val="nil"/>
            </w:tcBorders>
            <w:shd w:val="clear" w:color="auto" w:fill="auto"/>
            <w:noWrap/>
            <w:vAlign w:val="bottom"/>
            <w:hideMark/>
          </w:tcPr>
          <w:p w14:paraId="00483E2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7.5</w:t>
            </w:r>
          </w:p>
        </w:tc>
        <w:tc>
          <w:tcPr>
            <w:tcW w:w="1000" w:type="dxa"/>
            <w:tcBorders>
              <w:top w:val="nil"/>
              <w:left w:val="nil"/>
              <w:bottom w:val="nil"/>
              <w:right w:val="nil"/>
            </w:tcBorders>
            <w:shd w:val="clear" w:color="auto" w:fill="auto"/>
            <w:noWrap/>
            <w:vAlign w:val="bottom"/>
            <w:hideMark/>
          </w:tcPr>
          <w:p w14:paraId="6E8586C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179.2</w:t>
            </w:r>
          </w:p>
        </w:tc>
      </w:tr>
      <w:tr w:rsidR="00F26016" w:rsidRPr="00F26016" w14:paraId="0CD3D8E8" w14:textId="77777777" w:rsidTr="00F26016">
        <w:trPr>
          <w:trHeight w:val="300"/>
        </w:trPr>
        <w:tc>
          <w:tcPr>
            <w:tcW w:w="1140" w:type="dxa"/>
            <w:tcBorders>
              <w:top w:val="nil"/>
              <w:left w:val="nil"/>
              <w:bottom w:val="nil"/>
              <w:right w:val="nil"/>
            </w:tcBorders>
            <w:shd w:val="clear" w:color="auto" w:fill="auto"/>
            <w:noWrap/>
            <w:hideMark/>
          </w:tcPr>
          <w:p w14:paraId="0559C9F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68</w:t>
            </w:r>
          </w:p>
        </w:tc>
        <w:tc>
          <w:tcPr>
            <w:tcW w:w="1200" w:type="dxa"/>
            <w:tcBorders>
              <w:top w:val="nil"/>
              <w:left w:val="nil"/>
              <w:bottom w:val="nil"/>
              <w:right w:val="nil"/>
            </w:tcBorders>
            <w:shd w:val="clear" w:color="auto" w:fill="auto"/>
            <w:noWrap/>
            <w:hideMark/>
          </w:tcPr>
          <w:p w14:paraId="60A6EFC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7F49DC0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4F8B6CA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32D4612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189F827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3A5BCCC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6ECC53D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w:t>
            </w:r>
          </w:p>
        </w:tc>
        <w:tc>
          <w:tcPr>
            <w:tcW w:w="660" w:type="dxa"/>
            <w:tcBorders>
              <w:top w:val="nil"/>
              <w:left w:val="nil"/>
              <w:bottom w:val="nil"/>
              <w:right w:val="nil"/>
            </w:tcBorders>
            <w:shd w:val="clear" w:color="auto" w:fill="auto"/>
            <w:noWrap/>
            <w:vAlign w:val="bottom"/>
            <w:hideMark/>
          </w:tcPr>
          <w:p w14:paraId="2FBA80D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10.4</w:t>
            </w:r>
          </w:p>
        </w:tc>
        <w:tc>
          <w:tcPr>
            <w:tcW w:w="920" w:type="dxa"/>
            <w:tcBorders>
              <w:top w:val="nil"/>
              <w:left w:val="nil"/>
              <w:bottom w:val="nil"/>
              <w:right w:val="nil"/>
            </w:tcBorders>
            <w:shd w:val="clear" w:color="auto" w:fill="auto"/>
            <w:noWrap/>
            <w:vAlign w:val="bottom"/>
            <w:hideMark/>
          </w:tcPr>
          <w:p w14:paraId="20ED37B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57.1</w:t>
            </w:r>
          </w:p>
        </w:tc>
        <w:tc>
          <w:tcPr>
            <w:tcW w:w="741" w:type="dxa"/>
            <w:tcBorders>
              <w:top w:val="nil"/>
              <w:left w:val="nil"/>
              <w:bottom w:val="nil"/>
              <w:right w:val="nil"/>
            </w:tcBorders>
            <w:shd w:val="clear" w:color="auto" w:fill="auto"/>
            <w:noWrap/>
            <w:vAlign w:val="bottom"/>
            <w:hideMark/>
          </w:tcPr>
          <w:p w14:paraId="477FDE4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10.8</w:t>
            </w:r>
          </w:p>
        </w:tc>
        <w:tc>
          <w:tcPr>
            <w:tcW w:w="785" w:type="dxa"/>
            <w:tcBorders>
              <w:top w:val="nil"/>
              <w:left w:val="nil"/>
              <w:bottom w:val="nil"/>
              <w:right w:val="nil"/>
            </w:tcBorders>
            <w:shd w:val="clear" w:color="auto" w:fill="auto"/>
            <w:noWrap/>
            <w:vAlign w:val="bottom"/>
            <w:hideMark/>
          </w:tcPr>
          <w:p w14:paraId="0F7FC98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26.6</w:t>
            </w:r>
          </w:p>
        </w:tc>
        <w:tc>
          <w:tcPr>
            <w:tcW w:w="732" w:type="dxa"/>
            <w:tcBorders>
              <w:top w:val="nil"/>
              <w:left w:val="nil"/>
              <w:bottom w:val="nil"/>
              <w:right w:val="nil"/>
            </w:tcBorders>
            <w:shd w:val="clear" w:color="auto" w:fill="auto"/>
            <w:noWrap/>
            <w:vAlign w:val="bottom"/>
            <w:hideMark/>
          </w:tcPr>
          <w:p w14:paraId="3462F13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145.0</w:t>
            </w:r>
          </w:p>
        </w:tc>
        <w:tc>
          <w:tcPr>
            <w:tcW w:w="860" w:type="dxa"/>
            <w:tcBorders>
              <w:top w:val="nil"/>
              <w:left w:val="nil"/>
              <w:bottom w:val="nil"/>
              <w:right w:val="nil"/>
            </w:tcBorders>
            <w:shd w:val="clear" w:color="auto" w:fill="auto"/>
            <w:noWrap/>
            <w:vAlign w:val="bottom"/>
            <w:hideMark/>
          </w:tcPr>
          <w:p w14:paraId="52CBEAF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88.6</w:t>
            </w:r>
          </w:p>
        </w:tc>
        <w:tc>
          <w:tcPr>
            <w:tcW w:w="960" w:type="dxa"/>
            <w:tcBorders>
              <w:top w:val="nil"/>
              <w:left w:val="nil"/>
              <w:bottom w:val="nil"/>
              <w:right w:val="nil"/>
            </w:tcBorders>
            <w:shd w:val="clear" w:color="auto" w:fill="auto"/>
            <w:noWrap/>
            <w:vAlign w:val="bottom"/>
            <w:hideMark/>
          </w:tcPr>
          <w:p w14:paraId="74031EB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20.3</w:t>
            </w:r>
          </w:p>
        </w:tc>
        <w:tc>
          <w:tcPr>
            <w:tcW w:w="689" w:type="dxa"/>
            <w:tcBorders>
              <w:top w:val="nil"/>
              <w:left w:val="nil"/>
              <w:bottom w:val="nil"/>
              <w:right w:val="nil"/>
            </w:tcBorders>
            <w:shd w:val="clear" w:color="auto" w:fill="auto"/>
            <w:noWrap/>
            <w:vAlign w:val="bottom"/>
            <w:hideMark/>
          </w:tcPr>
          <w:p w14:paraId="36BD2EE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24.4</w:t>
            </w:r>
          </w:p>
        </w:tc>
        <w:tc>
          <w:tcPr>
            <w:tcW w:w="1000" w:type="dxa"/>
            <w:tcBorders>
              <w:top w:val="nil"/>
              <w:left w:val="nil"/>
              <w:bottom w:val="nil"/>
              <w:right w:val="nil"/>
            </w:tcBorders>
            <w:shd w:val="clear" w:color="auto" w:fill="auto"/>
            <w:noWrap/>
            <w:vAlign w:val="bottom"/>
            <w:hideMark/>
          </w:tcPr>
          <w:p w14:paraId="12BD8CE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141.0</w:t>
            </w:r>
          </w:p>
        </w:tc>
      </w:tr>
      <w:tr w:rsidR="00F26016" w:rsidRPr="00F26016" w14:paraId="32DA7607" w14:textId="77777777" w:rsidTr="00F26016">
        <w:trPr>
          <w:trHeight w:val="300"/>
        </w:trPr>
        <w:tc>
          <w:tcPr>
            <w:tcW w:w="1140" w:type="dxa"/>
            <w:tcBorders>
              <w:top w:val="nil"/>
              <w:left w:val="nil"/>
              <w:bottom w:val="nil"/>
              <w:right w:val="nil"/>
            </w:tcBorders>
            <w:shd w:val="clear" w:color="auto" w:fill="auto"/>
            <w:noWrap/>
            <w:hideMark/>
          </w:tcPr>
          <w:p w14:paraId="3635055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68</w:t>
            </w:r>
          </w:p>
        </w:tc>
        <w:tc>
          <w:tcPr>
            <w:tcW w:w="1200" w:type="dxa"/>
            <w:tcBorders>
              <w:top w:val="nil"/>
              <w:left w:val="nil"/>
              <w:bottom w:val="nil"/>
              <w:right w:val="nil"/>
            </w:tcBorders>
            <w:shd w:val="clear" w:color="auto" w:fill="auto"/>
            <w:noWrap/>
            <w:hideMark/>
          </w:tcPr>
          <w:p w14:paraId="2B1A91E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355C26B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2B45B4C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2C35645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1757A8A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18EE3EA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06E7402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w:t>
            </w:r>
          </w:p>
        </w:tc>
        <w:tc>
          <w:tcPr>
            <w:tcW w:w="660" w:type="dxa"/>
            <w:tcBorders>
              <w:top w:val="nil"/>
              <w:left w:val="nil"/>
              <w:bottom w:val="nil"/>
              <w:right w:val="nil"/>
            </w:tcBorders>
            <w:shd w:val="clear" w:color="auto" w:fill="auto"/>
            <w:noWrap/>
            <w:vAlign w:val="bottom"/>
            <w:hideMark/>
          </w:tcPr>
          <w:p w14:paraId="7095C33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54.6</w:t>
            </w:r>
          </w:p>
        </w:tc>
        <w:tc>
          <w:tcPr>
            <w:tcW w:w="920" w:type="dxa"/>
            <w:tcBorders>
              <w:top w:val="nil"/>
              <w:left w:val="nil"/>
              <w:bottom w:val="nil"/>
              <w:right w:val="nil"/>
            </w:tcBorders>
            <w:shd w:val="clear" w:color="auto" w:fill="auto"/>
            <w:noWrap/>
            <w:vAlign w:val="bottom"/>
            <w:hideMark/>
          </w:tcPr>
          <w:p w14:paraId="3C6E9F5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165.3</w:t>
            </w:r>
          </w:p>
        </w:tc>
        <w:tc>
          <w:tcPr>
            <w:tcW w:w="741" w:type="dxa"/>
            <w:tcBorders>
              <w:top w:val="nil"/>
              <w:left w:val="nil"/>
              <w:bottom w:val="nil"/>
              <w:right w:val="nil"/>
            </w:tcBorders>
            <w:shd w:val="clear" w:color="auto" w:fill="auto"/>
            <w:noWrap/>
            <w:vAlign w:val="bottom"/>
            <w:hideMark/>
          </w:tcPr>
          <w:p w14:paraId="7AE2E95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156.6</w:t>
            </w:r>
          </w:p>
        </w:tc>
        <w:tc>
          <w:tcPr>
            <w:tcW w:w="785" w:type="dxa"/>
            <w:tcBorders>
              <w:top w:val="nil"/>
              <w:left w:val="nil"/>
              <w:bottom w:val="nil"/>
              <w:right w:val="nil"/>
            </w:tcBorders>
            <w:shd w:val="clear" w:color="auto" w:fill="auto"/>
            <w:noWrap/>
            <w:vAlign w:val="bottom"/>
            <w:hideMark/>
          </w:tcPr>
          <w:p w14:paraId="6E1DFB8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140.1</w:t>
            </w:r>
          </w:p>
        </w:tc>
        <w:tc>
          <w:tcPr>
            <w:tcW w:w="732" w:type="dxa"/>
            <w:tcBorders>
              <w:top w:val="nil"/>
              <w:left w:val="nil"/>
              <w:bottom w:val="nil"/>
              <w:right w:val="nil"/>
            </w:tcBorders>
            <w:shd w:val="clear" w:color="auto" w:fill="auto"/>
            <w:noWrap/>
            <w:vAlign w:val="bottom"/>
            <w:hideMark/>
          </w:tcPr>
          <w:p w14:paraId="0F46628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28.2</w:t>
            </w:r>
          </w:p>
        </w:tc>
        <w:tc>
          <w:tcPr>
            <w:tcW w:w="860" w:type="dxa"/>
            <w:tcBorders>
              <w:top w:val="nil"/>
              <w:left w:val="nil"/>
              <w:bottom w:val="nil"/>
              <w:right w:val="nil"/>
            </w:tcBorders>
            <w:shd w:val="clear" w:color="auto" w:fill="auto"/>
            <w:noWrap/>
            <w:vAlign w:val="bottom"/>
            <w:hideMark/>
          </w:tcPr>
          <w:p w14:paraId="1A3D8BD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325.5</w:t>
            </w:r>
          </w:p>
        </w:tc>
        <w:tc>
          <w:tcPr>
            <w:tcW w:w="960" w:type="dxa"/>
            <w:tcBorders>
              <w:top w:val="nil"/>
              <w:left w:val="nil"/>
              <w:bottom w:val="nil"/>
              <w:right w:val="nil"/>
            </w:tcBorders>
            <w:shd w:val="clear" w:color="auto" w:fill="auto"/>
            <w:noWrap/>
            <w:vAlign w:val="bottom"/>
            <w:hideMark/>
          </w:tcPr>
          <w:p w14:paraId="462B5C1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97.7</w:t>
            </w:r>
          </w:p>
        </w:tc>
        <w:tc>
          <w:tcPr>
            <w:tcW w:w="689" w:type="dxa"/>
            <w:tcBorders>
              <w:top w:val="nil"/>
              <w:left w:val="nil"/>
              <w:bottom w:val="nil"/>
              <w:right w:val="nil"/>
            </w:tcBorders>
            <w:shd w:val="clear" w:color="auto" w:fill="auto"/>
            <w:noWrap/>
            <w:vAlign w:val="bottom"/>
            <w:hideMark/>
          </w:tcPr>
          <w:p w14:paraId="087826F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48.4</w:t>
            </w:r>
          </w:p>
        </w:tc>
        <w:tc>
          <w:tcPr>
            <w:tcW w:w="1000" w:type="dxa"/>
            <w:tcBorders>
              <w:top w:val="nil"/>
              <w:left w:val="nil"/>
              <w:bottom w:val="nil"/>
              <w:right w:val="nil"/>
            </w:tcBorders>
            <w:shd w:val="clear" w:color="auto" w:fill="auto"/>
            <w:noWrap/>
            <w:vAlign w:val="bottom"/>
            <w:hideMark/>
          </w:tcPr>
          <w:p w14:paraId="047C627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107.8</w:t>
            </w:r>
          </w:p>
        </w:tc>
      </w:tr>
      <w:tr w:rsidR="00F26016" w:rsidRPr="00F26016" w14:paraId="3A4C904C" w14:textId="77777777" w:rsidTr="00F26016">
        <w:trPr>
          <w:trHeight w:val="300"/>
        </w:trPr>
        <w:tc>
          <w:tcPr>
            <w:tcW w:w="1140" w:type="dxa"/>
            <w:tcBorders>
              <w:top w:val="nil"/>
              <w:left w:val="nil"/>
              <w:bottom w:val="nil"/>
              <w:right w:val="nil"/>
            </w:tcBorders>
            <w:shd w:val="clear" w:color="auto" w:fill="auto"/>
            <w:noWrap/>
            <w:hideMark/>
          </w:tcPr>
          <w:p w14:paraId="01EEBB9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70</w:t>
            </w:r>
          </w:p>
        </w:tc>
        <w:tc>
          <w:tcPr>
            <w:tcW w:w="1200" w:type="dxa"/>
            <w:tcBorders>
              <w:top w:val="nil"/>
              <w:left w:val="nil"/>
              <w:bottom w:val="nil"/>
              <w:right w:val="nil"/>
            </w:tcBorders>
            <w:shd w:val="clear" w:color="auto" w:fill="auto"/>
            <w:noWrap/>
            <w:hideMark/>
          </w:tcPr>
          <w:p w14:paraId="3EA0646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2A38B29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5C2910C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2E761AD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03F0241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2EA631F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38D8C5B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6F262BF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151.4</w:t>
            </w:r>
          </w:p>
        </w:tc>
        <w:tc>
          <w:tcPr>
            <w:tcW w:w="920" w:type="dxa"/>
            <w:tcBorders>
              <w:top w:val="nil"/>
              <w:left w:val="nil"/>
              <w:bottom w:val="nil"/>
              <w:right w:val="nil"/>
            </w:tcBorders>
            <w:shd w:val="clear" w:color="auto" w:fill="auto"/>
            <w:noWrap/>
            <w:vAlign w:val="bottom"/>
            <w:hideMark/>
          </w:tcPr>
          <w:p w14:paraId="2672645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27.5</w:t>
            </w:r>
          </w:p>
        </w:tc>
        <w:tc>
          <w:tcPr>
            <w:tcW w:w="741" w:type="dxa"/>
            <w:tcBorders>
              <w:top w:val="nil"/>
              <w:left w:val="nil"/>
              <w:bottom w:val="nil"/>
              <w:right w:val="nil"/>
            </w:tcBorders>
            <w:shd w:val="clear" w:color="auto" w:fill="auto"/>
            <w:noWrap/>
            <w:vAlign w:val="bottom"/>
            <w:hideMark/>
          </w:tcPr>
          <w:p w14:paraId="0D7F8EB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50.0</w:t>
            </w:r>
          </w:p>
        </w:tc>
        <w:tc>
          <w:tcPr>
            <w:tcW w:w="785" w:type="dxa"/>
            <w:tcBorders>
              <w:top w:val="nil"/>
              <w:left w:val="nil"/>
              <w:bottom w:val="nil"/>
              <w:right w:val="nil"/>
            </w:tcBorders>
            <w:shd w:val="clear" w:color="auto" w:fill="auto"/>
            <w:noWrap/>
            <w:vAlign w:val="bottom"/>
            <w:hideMark/>
          </w:tcPr>
          <w:p w14:paraId="7192855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66.5</w:t>
            </w:r>
          </w:p>
        </w:tc>
        <w:tc>
          <w:tcPr>
            <w:tcW w:w="732" w:type="dxa"/>
            <w:tcBorders>
              <w:top w:val="nil"/>
              <w:left w:val="nil"/>
              <w:bottom w:val="nil"/>
              <w:right w:val="nil"/>
            </w:tcBorders>
            <w:shd w:val="clear" w:color="auto" w:fill="auto"/>
            <w:noWrap/>
            <w:vAlign w:val="bottom"/>
            <w:hideMark/>
          </w:tcPr>
          <w:p w14:paraId="1D11BD9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293.3</w:t>
            </w:r>
          </w:p>
        </w:tc>
        <w:tc>
          <w:tcPr>
            <w:tcW w:w="860" w:type="dxa"/>
            <w:tcBorders>
              <w:top w:val="nil"/>
              <w:left w:val="nil"/>
              <w:bottom w:val="nil"/>
              <w:right w:val="nil"/>
            </w:tcBorders>
            <w:shd w:val="clear" w:color="auto" w:fill="auto"/>
            <w:noWrap/>
            <w:vAlign w:val="bottom"/>
            <w:hideMark/>
          </w:tcPr>
          <w:p w14:paraId="4CA3D84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177.8</w:t>
            </w:r>
          </w:p>
        </w:tc>
        <w:tc>
          <w:tcPr>
            <w:tcW w:w="960" w:type="dxa"/>
            <w:tcBorders>
              <w:top w:val="nil"/>
              <w:left w:val="nil"/>
              <w:bottom w:val="nil"/>
              <w:right w:val="nil"/>
            </w:tcBorders>
            <w:shd w:val="clear" w:color="auto" w:fill="auto"/>
            <w:noWrap/>
            <w:vAlign w:val="bottom"/>
            <w:hideMark/>
          </w:tcPr>
          <w:p w14:paraId="44ACBDA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46.1</w:t>
            </w:r>
          </w:p>
        </w:tc>
        <w:tc>
          <w:tcPr>
            <w:tcW w:w="689" w:type="dxa"/>
            <w:tcBorders>
              <w:top w:val="nil"/>
              <w:left w:val="nil"/>
              <w:bottom w:val="nil"/>
              <w:right w:val="nil"/>
            </w:tcBorders>
            <w:shd w:val="clear" w:color="auto" w:fill="auto"/>
            <w:noWrap/>
            <w:vAlign w:val="bottom"/>
            <w:hideMark/>
          </w:tcPr>
          <w:p w14:paraId="31F4DA2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70.7</w:t>
            </w:r>
          </w:p>
        </w:tc>
        <w:tc>
          <w:tcPr>
            <w:tcW w:w="1000" w:type="dxa"/>
            <w:tcBorders>
              <w:top w:val="nil"/>
              <w:left w:val="nil"/>
              <w:bottom w:val="nil"/>
              <w:right w:val="nil"/>
            </w:tcBorders>
            <w:shd w:val="clear" w:color="auto" w:fill="auto"/>
            <w:noWrap/>
            <w:vAlign w:val="bottom"/>
            <w:hideMark/>
          </w:tcPr>
          <w:p w14:paraId="196106B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226.7</w:t>
            </w:r>
          </w:p>
        </w:tc>
      </w:tr>
      <w:tr w:rsidR="00F26016" w:rsidRPr="00F26016" w14:paraId="6DA92441" w14:textId="77777777" w:rsidTr="00F26016">
        <w:trPr>
          <w:trHeight w:val="300"/>
        </w:trPr>
        <w:tc>
          <w:tcPr>
            <w:tcW w:w="1140" w:type="dxa"/>
            <w:tcBorders>
              <w:top w:val="nil"/>
              <w:left w:val="nil"/>
              <w:bottom w:val="nil"/>
              <w:right w:val="nil"/>
            </w:tcBorders>
            <w:shd w:val="clear" w:color="auto" w:fill="auto"/>
            <w:noWrap/>
            <w:hideMark/>
          </w:tcPr>
          <w:p w14:paraId="2648955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70</w:t>
            </w:r>
          </w:p>
        </w:tc>
        <w:tc>
          <w:tcPr>
            <w:tcW w:w="1200" w:type="dxa"/>
            <w:tcBorders>
              <w:top w:val="nil"/>
              <w:left w:val="nil"/>
              <w:bottom w:val="nil"/>
              <w:right w:val="nil"/>
            </w:tcBorders>
            <w:shd w:val="clear" w:color="auto" w:fill="auto"/>
            <w:noWrap/>
            <w:hideMark/>
          </w:tcPr>
          <w:p w14:paraId="499518D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77E7F1A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182FBC2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7A51646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1F85AD8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665E829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52C481F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57BAD9E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8.7</w:t>
            </w:r>
          </w:p>
        </w:tc>
        <w:tc>
          <w:tcPr>
            <w:tcW w:w="920" w:type="dxa"/>
            <w:tcBorders>
              <w:top w:val="nil"/>
              <w:left w:val="nil"/>
              <w:bottom w:val="nil"/>
              <w:right w:val="nil"/>
            </w:tcBorders>
            <w:shd w:val="clear" w:color="auto" w:fill="auto"/>
            <w:noWrap/>
            <w:vAlign w:val="bottom"/>
            <w:hideMark/>
          </w:tcPr>
          <w:p w14:paraId="3645CEA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45.8</w:t>
            </w:r>
          </w:p>
        </w:tc>
        <w:tc>
          <w:tcPr>
            <w:tcW w:w="741" w:type="dxa"/>
            <w:tcBorders>
              <w:top w:val="nil"/>
              <w:left w:val="nil"/>
              <w:bottom w:val="nil"/>
              <w:right w:val="nil"/>
            </w:tcBorders>
            <w:shd w:val="clear" w:color="auto" w:fill="auto"/>
            <w:noWrap/>
            <w:vAlign w:val="bottom"/>
            <w:hideMark/>
          </w:tcPr>
          <w:p w14:paraId="2F15B9C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11.9</w:t>
            </w:r>
          </w:p>
        </w:tc>
        <w:tc>
          <w:tcPr>
            <w:tcW w:w="785" w:type="dxa"/>
            <w:tcBorders>
              <w:top w:val="nil"/>
              <w:left w:val="nil"/>
              <w:bottom w:val="nil"/>
              <w:right w:val="nil"/>
            </w:tcBorders>
            <w:shd w:val="clear" w:color="auto" w:fill="auto"/>
            <w:noWrap/>
            <w:vAlign w:val="bottom"/>
            <w:hideMark/>
          </w:tcPr>
          <w:p w14:paraId="6F85E53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32.7</w:t>
            </w:r>
          </w:p>
        </w:tc>
        <w:tc>
          <w:tcPr>
            <w:tcW w:w="732" w:type="dxa"/>
            <w:tcBorders>
              <w:top w:val="nil"/>
              <w:left w:val="nil"/>
              <w:bottom w:val="nil"/>
              <w:right w:val="nil"/>
            </w:tcBorders>
            <w:shd w:val="clear" w:color="auto" w:fill="auto"/>
            <w:noWrap/>
            <w:vAlign w:val="bottom"/>
            <w:hideMark/>
          </w:tcPr>
          <w:p w14:paraId="7EB7062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72.1</w:t>
            </w:r>
          </w:p>
        </w:tc>
        <w:tc>
          <w:tcPr>
            <w:tcW w:w="860" w:type="dxa"/>
            <w:tcBorders>
              <w:top w:val="nil"/>
              <w:left w:val="nil"/>
              <w:bottom w:val="nil"/>
              <w:right w:val="nil"/>
            </w:tcBorders>
            <w:shd w:val="clear" w:color="auto" w:fill="auto"/>
            <w:noWrap/>
            <w:vAlign w:val="bottom"/>
            <w:hideMark/>
          </w:tcPr>
          <w:p w14:paraId="4E73252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55.8</w:t>
            </w:r>
          </w:p>
        </w:tc>
        <w:tc>
          <w:tcPr>
            <w:tcW w:w="960" w:type="dxa"/>
            <w:tcBorders>
              <w:top w:val="nil"/>
              <w:left w:val="nil"/>
              <w:bottom w:val="nil"/>
              <w:right w:val="nil"/>
            </w:tcBorders>
            <w:shd w:val="clear" w:color="auto" w:fill="auto"/>
            <w:noWrap/>
            <w:vAlign w:val="bottom"/>
            <w:hideMark/>
          </w:tcPr>
          <w:p w14:paraId="3264810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16.9</w:t>
            </w:r>
          </w:p>
        </w:tc>
        <w:tc>
          <w:tcPr>
            <w:tcW w:w="689" w:type="dxa"/>
            <w:tcBorders>
              <w:top w:val="nil"/>
              <w:left w:val="nil"/>
              <w:bottom w:val="nil"/>
              <w:right w:val="nil"/>
            </w:tcBorders>
            <w:shd w:val="clear" w:color="auto" w:fill="auto"/>
            <w:noWrap/>
            <w:vAlign w:val="bottom"/>
            <w:hideMark/>
          </w:tcPr>
          <w:p w14:paraId="54B62D0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39.5</w:t>
            </w:r>
          </w:p>
        </w:tc>
        <w:tc>
          <w:tcPr>
            <w:tcW w:w="1000" w:type="dxa"/>
            <w:tcBorders>
              <w:top w:val="nil"/>
              <w:left w:val="nil"/>
              <w:bottom w:val="nil"/>
              <w:right w:val="nil"/>
            </w:tcBorders>
            <w:shd w:val="clear" w:color="auto" w:fill="auto"/>
            <w:noWrap/>
            <w:vAlign w:val="bottom"/>
            <w:hideMark/>
          </w:tcPr>
          <w:p w14:paraId="6BE93BD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140.9</w:t>
            </w:r>
          </w:p>
        </w:tc>
      </w:tr>
      <w:tr w:rsidR="00F26016" w:rsidRPr="00F26016" w14:paraId="209DEB7B" w14:textId="77777777" w:rsidTr="00F26016">
        <w:trPr>
          <w:trHeight w:val="300"/>
        </w:trPr>
        <w:tc>
          <w:tcPr>
            <w:tcW w:w="1140" w:type="dxa"/>
            <w:tcBorders>
              <w:top w:val="nil"/>
              <w:left w:val="nil"/>
              <w:bottom w:val="nil"/>
              <w:right w:val="nil"/>
            </w:tcBorders>
            <w:shd w:val="clear" w:color="auto" w:fill="auto"/>
            <w:noWrap/>
            <w:hideMark/>
          </w:tcPr>
          <w:p w14:paraId="0CE0D5B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70</w:t>
            </w:r>
          </w:p>
        </w:tc>
        <w:tc>
          <w:tcPr>
            <w:tcW w:w="1200" w:type="dxa"/>
            <w:tcBorders>
              <w:top w:val="nil"/>
              <w:left w:val="nil"/>
              <w:bottom w:val="nil"/>
              <w:right w:val="nil"/>
            </w:tcBorders>
            <w:shd w:val="clear" w:color="auto" w:fill="auto"/>
            <w:noWrap/>
            <w:hideMark/>
          </w:tcPr>
          <w:p w14:paraId="287389F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737FF92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0F86511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2EE2C0C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4C0AFDD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5CBA0A7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683112E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3DAF42A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54.5</w:t>
            </w:r>
          </w:p>
        </w:tc>
        <w:tc>
          <w:tcPr>
            <w:tcW w:w="920" w:type="dxa"/>
            <w:tcBorders>
              <w:top w:val="nil"/>
              <w:left w:val="nil"/>
              <w:bottom w:val="nil"/>
              <w:right w:val="nil"/>
            </w:tcBorders>
            <w:shd w:val="clear" w:color="auto" w:fill="auto"/>
            <w:noWrap/>
            <w:vAlign w:val="bottom"/>
            <w:hideMark/>
          </w:tcPr>
          <w:p w14:paraId="079C912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138.0</w:t>
            </w:r>
          </w:p>
        </w:tc>
        <w:tc>
          <w:tcPr>
            <w:tcW w:w="741" w:type="dxa"/>
            <w:tcBorders>
              <w:top w:val="nil"/>
              <w:left w:val="nil"/>
              <w:bottom w:val="nil"/>
              <w:right w:val="nil"/>
            </w:tcBorders>
            <w:shd w:val="clear" w:color="auto" w:fill="auto"/>
            <w:noWrap/>
            <w:vAlign w:val="bottom"/>
            <w:hideMark/>
          </w:tcPr>
          <w:p w14:paraId="1C795D8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211.7</w:t>
            </w:r>
          </w:p>
        </w:tc>
        <w:tc>
          <w:tcPr>
            <w:tcW w:w="785" w:type="dxa"/>
            <w:tcBorders>
              <w:top w:val="nil"/>
              <w:left w:val="nil"/>
              <w:bottom w:val="nil"/>
              <w:right w:val="nil"/>
            </w:tcBorders>
            <w:shd w:val="clear" w:color="auto" w:fill="auto"/>
            <w:noWrap/>
            <w:vAlign w:val="bottom"/>
            <w:hideMark/>
          </w:tcPr>
          <w:p w14:paraId="770523F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120.3</w:t>
            </w:r>
          </w:p>
        </w:tc>
        <w:tc>
          <w:tcPr>
            <w:tcW w:w="732" w:type="dxa"/>
            <w:tcBorders>
              <w:top w:val="nil"/>
              <w:left w:val="nil"/>
              <w:bottom w:val="nil"/>
              <w:right w:val="nil"/>
            </w:tcBorders>
            <w:shd w:val="clear" w:color="auto" w:fill="auto"/>
            <w:noWrap/>
            <w:vAlign w:val="bottom"/>
            <w:hideMark/>
          </w:tcPr>
          <w:p w14:paraId="1B4259A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15.6</w:t>
            </w:r>
          </w:p>
        </w:tc>
        <w:tc>
          <w:tcPr>
            <w:tcW w:w="860" w:type="dxa"/>
            <w:tcBorders>
              <w:top w:val="nil"/>
              <w:left w:val="nil"/>
              <w:bottom w:val="nil"/>
              <w:right w:val="nil"/>
            </w:tcBorders>
            <w:shd w:val="clear" w:color="auto" w:fill="auto"/>
            <w:noWrap/>
            <w:vAlign w:val="bottom"/>
            <w:hideMark/>
          </w:tcPr>
          <w:p w14:paraId="5B7562A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185.8</w:t>
            </w:r>
          </w:p>
        </w:tc>
        <w:tc>
          <w:tcPr>
            <w:tcW w:w="960" w:type="dxa"/>
            <w:tcBorders>
              <w:top w:val="nil"/>
              <w:left w:val="nil"/>
              <w:bottom w:val="nil"/>
              <w:right w:val="nil"/>
            </w:tcBorders>
            <w:shd w:val="clear" w:color="auto" w:fill="auto"/>
            <w:noWrap/>
            <w:vAlign w:val="bottom"/>
            <w:hideMark/>
          </w:tcPr>
          <w:p w14:paraId="4156B9D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122.1</w:t>
            </w:r>
          </w:p>
        </w:tc>
        <w:tc>
          <w:tcPr>
            <w:tcW w:w="689" w:type="dxa"/>
            <w:tcBorders>
              <w:top w:val="nil"/>
              <w:left w:val="nil"/>
              <w:bottom w:val="nil"/>
              <w:right w:val="nil"/>
            </w:tcBorders>
            <w:shd w:val="clear" w:color="auto" w:fill="auto"/>
            <w:noWrap/>
            <w:vAlign w:val="bottom"/>
            <w:hideMark/>
          </w:tcPr>
          <w:p w14:paraId="3723919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100.0</w:t>
            </w:r>
          </w:p>
        </w:tc>
        <w:tc>
          <w:tcPr>
            <w:tcW w:w="1000" w:type="dxa"/>
            <w:tcBorders>
              <w:top w:val="nil"/>
              <w:left w:val="nil"/>
              <w:bottom w:val="nil"/>
              <w:right w:val="nil"/>
            </w:tcBorders>
            <w:shd w:val="clear" w:color="auto" w:fill="auto"/>
            <w:noWrap/>
            <w:vAlign w:val="bottom"/>
            <w:hideMark/>
          </w:tcPr>
          <w:p w14:paraId="6A963C8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113.1</w:t>
            </w:r>
          </w:p>
        </w:tc>
      </w:tr>
      <w:tr w:rsidR="00F26016" w:rsidRPr="00F26016" w14:paraId="5C3CC3C4" w14:textId="77777777" w:rsidTr="00F26016">
        <w:trPr>
          <w:trHeight w:val="300"/>
        </w:trPr>
        <w:tc>
          <w:tcPr>
            <w:tcW w:w="1140" w:type="dxa"/>
            <w:tcBorders>
              <w:top w:val="nil"/>
              <w:left w:val="nil"/>
              <w:bottom w:val="nil"/>
              <w:right w:val="nil"/>
            </w:tcBorders>
            <w:shd w:val="clear" w:color="auto" w:fill="auto"/>
            <w:noWrap/>
            <w:hideMark/>
          </w:tcPr>
          <w:p w14:paraId="655F83A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71</w:t>
            </w:r>
          </w:p>
        </w:tc>
        <w:tc>
          <w:tcPr>
            <w:tcW w:w="1200" w:type="dxa"/>
            <w:tcBorders>
              <w:top w:val="nil"/>
              <w:left w:val="nil"/>
              <w:bottom w:val="nil"/>
              <w:right w:val="nil"/>
            </w:tcBorders>
            <w:shd w:val="clear" w:color="auto" w:fill="auto"/>
            <w:noWrap/>
            <w:hideMark/>
          </w:tcPr>
          <w:p w14:paraId="1C49AF4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51D6E17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3B94201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3CA0035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61AD43D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4F11BA5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7626B73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4650368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272.8</w:t>
            </w:r>
          </w:p>
        </w:tc>
        <w:tc>
          <w:tcPr>
            <w:tcW w:w="920" w:type="dxa"/>
            <w:tcBorders>
              <w:top w:val="nil"/>
              <w:left w:val="nil"/>
              <w:bottom w:val="nil"/>
              <w:right w:val="nil"/>
            </w:tcBorders>
            <w:shd w:val="clear" w:color="auto" w:fill="auto"/>
            <w:noWrap/>
            <w:vAlign w:val="bottom"/>
            <w:hideMark/>
          </w:tcPr>
          <w:p w14:paraId="0E49196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85.4</w:t>
            </w:r>
          </w:p>
        </w:tc>
        <w:tc>
          <w:tcPr>
            <w:tcW w:w="741" w:type="dxa"/>
            <w:tcBorders>
              <w:top w:val="nil"/>
              <w:left w:val="nil"/>
              <w:bottom w:val="nil"/>
              <w:right w:val="nil"/>
            </w:tcBorders>
            <w:shd w:val="clear" w:color="auto" w:fill="auto"/>
            <w:noWrap/>
            <w:vAlign w:val="bottom"/>
            <w:hideMark/>
          </w:tcPr>
          <w:p w14:paraId="255FA8D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74.6</w:t>
            </w:r>
          </w:p>
        </w:tc>
        <w:tc>
          <w:tcPr>
            <w:tcW w:w="785" w:type="dxa"/>
            <w:tcBorders>
              <w:top w:val="nil"/>
              <w:left w:val="nil"/>
              <w:bottom w:val="nil"/>
              <w:right w:val="nil"/>
            </w:tcBorders>
            <w:shd w:val="clear" w:color="auto" w:fill="auto"/>
            <w:noWrap/>
            <w:vAlign w:val="bottom"/>
            <w:hideMark/>
          </w:tcPr>
          <w:p w14:paraId="61DDB4B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72.6</w:t>
            </w:r>
          </w:p>
        </w:tc>
        <w:tc>
          <w:tcPr>
            <w:tcW w:w="732" w:type="dxa"/>
            <w:tcBorders>
              <w:top w:val="nil"/>
              <w:left w:val="nil"/>
              <w:bottom w:val="nil"/>
              <w:right w:val="nil"/>
            </w:tcBorders>
            <w:shd w:val="clear" w:color="auto" w:fill="auto"/>
            <w:noWrap/>
            <w:vAlign w:val="bottom"/>
            <w:hideMark/>
          </w:tcPr>
          <w:p w14:paraId="116BDF6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962.8</w:t>
            </w:r>
          </w:p>
        </w:tc>
        <w:tc>
          <w:tcPr>
            <w:tcW w:w="860" w:type="dxa"/>
            <w:tcBorders>
              <w:top w:val="nil"/>
              <w:left w:val="nil"/>
              <w:bottom w:val="nil"/>
              <w:right w:val="nil"/>
            </w:tcBorders>
            <w:shd w:val="clear" w:color="auto" w:fill="auto"/>
            <w:noWrap/>
            <w:vAlign w:val="bottom"/>
            <w:hideMark/>
          </w:tcPr>
          <w:p w14:paraId="726627F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144.4</w:t>
            </w:r>
          </w:p>
        </w:tc>
        <w:tc>
          <w:tcPr>
            <w:tcW w:w="960" w:type="dxa"/>
            <w:tcBorders>
              <w:top w:val="nil"/>
              <w:left w:val="nil"/>
              <w:bottom w:val="nil"/>
              <w:right w:val="nil"/>
            </w:tcBorders>
            <w:shd w:val="clear" w:color="auto" w:fill="auto"/>
            <w:noWrap/>
            <w:vAlign w:val="bottom"/>
            <w:hideMark/>
          </w:tcPr>
          <w:p w14:paraId="5419103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40.9</w:t>
            </w:r>
          </w:p>
        </w:tc>
        <w:tc>
          <w:tcPr>
            <w:tcW w:w="689" w:type="dxa"/>
            <w:tcBorders>
              <w:top w:val="nil"/>
              <w:left w:val="nil"/>
              <w:bottom w:val="nil"/>
              <w:right w:val="nil"/>
            </w:tcBorders>
            <w:shd w:val="clear" w:color="auto" w:fill="auto"/>
            <w:noWrap/>
            <w:vAlign w:val="bottom"/>
            <w:hideMark/>
          </w:tcPr>
          <w:p w14:paraId="6090F3C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29.2</w:t>
            </w:r>
          </w:p>
        </w:tc>
        <w:tc>
          <w:tcPr>
            <w:tcW w:w="1000" w:type="dxa"/>
            <w:tcBorders>
              <w:top w:val="nil"/>
              <w:left w:val="nil"/>
              <w:bottom w:val="nil"/>
              <w:right w:val="nil"/>
            </w:tcBorders>
            <w:shd w:val="clear" w:color="auto" w:fill="auto"/>
            <w:noWrap/>
            <w:vAlign w:val="bottom"/>
            <w:hideMark/>
          </w:tcPr>
          <w:p w14:paraId="33E4667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164.9</w:t>
            </w:r>
          </w:p>
        </w:tc>
      </w:tr>
      <w:tr w:rsidR="00F26016" w:rsidRPr="00F26016" w14:paraId="4070E0DD" w14:textId="77777777" w:rsidTr="00F26016">
        <w:trPr>
          <w:trHeight w:val="300"/>
        </w:trPr>
        <w:tc>
          <w:tcPr>
            <w:tcW w:w="1140" w:type="dxa"/>
            <w:tcBorders>
              <w:top w:val="nil"/>
              <w:left w:val="nil"/>
              <w:bottom w:val="nil"/>
              <w:right w:val="nil"/>
            </w:tcBorders>
            <w:shd w:val="clear" w:color="auto" w:fill="auto"/>
            <w:noWrap/>
            <w:hideMark/>
          </w:tcPr>
          <w:p w14:paraId="222F27C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71</w:t>
            </w:r>
          </w:p>
        </w:tc>
        <w:tc>
          <w:tcPr>
            <w:tcW w:w="1200" w:type="dxa"/>
            <w:tcBorders>
              <w:top w:val="nil"/>
              <w:left w:val="nil"/>
              <w:bottom w:val="nil"/>
              <w:right w:val="nil"/>
            </w:tcBorders>
            <w:shd w:val="clear" w:color="auto" w:fill="auto"/>
            <w:noWrap/>
            <w:hideMark/>
          </w:tcPr>
          <w:p w14:paraId="06167EA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280663D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1831741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3C3F84A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6BD0BC8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41DD7A4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68A9041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370E70F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920" w:type="dxa"/>
            <w:tcBorders>
              <w:top w:val="nil"/>
              <w:left w:val="nil"/>
              <w:bottom w:val="nil"/>
              <w:right w:val="nil"/>
            </w:tcBorders>
            <w:shd w:val="clear" w:color="auto" w:fill="auto"/>
            <w:noWrap/>
            <w:vAlign w:val="bottom"/>
            <w:hideMark/>
          </w:tcPr>
          <w:p w14:paraId="4011B88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57.1</w:t>
            </w:r>
          </w:p>
        </w:tc>
        <w:tc>
          <w:tcPr>
            <w:tcW w:w="741" w:type="dxa"/>
            <w:tcBorders>
              <w:top w:val="nil"/>
              <w:left w:val="nil"/>
              <w:bottom w:val="nil"/>
              <w:right w:val="nil"/>
            </w:tcBorders>
            <w:shd w:val="clear" w:color="auto" w:fill="auto"/>
            <w:noWrap/>
            <w:vAlign w:val="bottom"/>
            <w:hideMark/>
          </w:tcPr>
          <w:p w14:paraId="02E127B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15.2</w:t>
            </w:r>
          </w:p>
        </w:tc>
        <w:tc>
          <w:tcPr>
            <w:tcW w:w="785" w:type="dxa"/>
            <w:tcBorders>
              <w:top w:val="nil"/>
              <w:left w:val="nil"/>
              <w:bottom w:val="nil"/>
              <w:right w:val="nil"/>
            </w:tcBorders>
            <w:shd w:val="clear" w:color="auto" w:fill="auto"/>
            <w:noWrap/>
            <w:vAlign w:val="bottom"/>
            <w:hideMark/>
          </w:tcPr>
          <w:p w14:paraId="12BCE64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32" w:type="dxa"/>
            <w:tcBorders>
              <w:top w:val="nil"/>
              <w:left w:val="nil"/>
              <w:bottom w:val="nil"/>
              <w:right w:val="nil"/>
            </w:tcBorders>
            <w:shd w:val="clear" w:color="auto" w:fill="auto"/>
            <w:noWrap/>
            <w:vAlign w:val="bottom"/>
            <w:hideMark/>
          </w:tcPr>
          <w:p w14:paraId="73DA187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129.7</w:t>
            </w:r>
          </w:p>
        </w:tc>
        <w:tc>
          <w:tcPr>
            <w:tcW w:w="860" w:type="dxa"/>
            <w:tcBorders>
              <w:top w:val="nil"/>
              <w:left w:val="nil"/>
              <w:bottom w:val="nil"/>
              <w:right w:val="nil"/>
            </w:tcBorders>
            <w:shd w:val="clear" w:color="auto" w:fill="auto"/>
            <w:noWrap/>
            <w:vAlign w:val="bottom"/>
            <w:hideMark/>
          </w:tcPr>
          <w:p w14:paraId="10EA723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62.4</w:t>
            </w:r>
          </w:p>
        </w:tc>
        <w:tc>
          <w:tcPr>
            <w:tcW w:w="960" w:type="dxa"/>
            <w:tcBorders>
              <w:top w:val="nil"/>
              <w:left w:val="nil"/>
              <w:bottom w:val="nil"/>
              <w:right w:val="nil"/>
            </w:tcBorders>
            <w:shd w:val="clear" w:color="auto" w:fill="auto"/>
            <w:noWrap/>
            <w:vAlign w:val="bottom"/>
            <w:hideMark/>
          </w:tcPr>
          <w:p w14:paraId="0D2B822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16.0</w:t>
            </w:r>
          </w:p>
        </w:tc>
        <w:tc>
          <w:tcPr>
            <w:tcW w:w="689" w:type="dxa"/>
            <w:tcBorders>
              <w:top w:val="nil"/>
              <w:left w:val="nil"/>
              <w:bottom w:val="nil"/>
              <w:right w:val="nil"/>
            </w:tcBorders>
            <w:shd w:val="clear" w:color="auto" w:fill="auto"/>
            <w:noWrap/>
            <w:vAlign w:val="bottom"/>
            <w:hideMark/>
          </w:tcPr>
          <w:p w14:paraId="592D603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113.1</w:t>
            </w:r>
          </w:p>
        </w:tc>
        <w:tc>
          <w:tcPr>
            <w:tcW w:w="1000" w:type="dxa"/>
            <w:tcBorders>
              <w:top w:val="nil"/>
              <w:left w:val="nil"/>
              <w:bottom w:val="nil"/>
              <w:right w:val="nil"/>
            </w:tcBorders>
            <w:shd w:val="clear" w:color="auto" w:fill="auto"/>
            <w:noWrap/>
            <w:vAlign w:val="bottom"/>
            <w:hideMark/>
          </w:tcPr>
          <w:p w14:paraId="3CD131D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144.1</w:t>
            </w:r>
          </w:p>
        </w:tc>
      </w:tr>
      <w:tr w:rsidR="00F26016" w:rsidRPr="00F26016" w14:paraId="69A5352F" w14:textId="77777777" w:rsidTr="00F26016">
        <w:trPr>
          <w:trHeight w:val="300"/>
        </w:trPr>
        <w:tc>
          <w:tcPr>
            <w:tcW w:w="1140" w:type="dxa"/>
            <w:tcBorders>
              <w:top w:val="nil"/>
              <w:left w:val="nil"/>
              <w:bottom w:val="nil"/>
              <w:right w:val="nil"/>
            </w:tcBorders>
            <w:shd w:val="clear" w:color="auto" w:fill="auto"/>
            <w:noWrap/>
            <w:hideMark/>
          </w:tcPr>
          <w:p w14:paraId="456F522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71</w:t>
            </w:r>
          </w:p>
        </w:tc>
        <w:tc>
          <w:tcPr>
            <w:tcW w:w="1200" w:type="dxa"/>
            <w:tcBorders>
              <w:top w:val="nil"/>
              <w:left w:val="nil"/>
              <w:bottom w:val="nil"/>
              <w:right w:val="nil"/>
            </w:tcBorders>
            <w:shd w:val="clear" w:color="auto" w:fill="auto"/>
            <w:noWrap/>
            <w:hideMark/>
          </w:tcPr>
          <w:p w14:paraId="5AAE9FA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782F46B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48B9E40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1E6CD34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4FF3221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3D70970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235E3E2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718460B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78.8</w:t>
            </w:r>
          </w:p>
        </w:tc>
        <w:tc>
          <w:tcPr>
            <w:tcW w:w="920" w:type="dxa"/>
            <w:tcBorders>
              <w:top w:val="nil"/>
              <w:left w:val="nil"/>
              <w:bottom w:val="nil"/>
              <w:right w:val="nil"/>
            </w:tcBorders>
            <w:shd w:val="clear" w:color="auto" w:fill="auto"/>
            <w:noWrap/>
            <w:vAlign w:val="bottom"/>
            <w:hideMark/>
          </w:tcPr>
          <w:p w14:paraId="7E7F764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143.6</w:t>
            </w:r>
          </w:p>
        </w:tc>
        <w:tc>
          <w:tcPr>
            <w:tcW w:w="741" w:type="dxa"/>
            <w:tcBorders>
              <w:top w:val="nil"/>
              <w:left w:val="nil"/>
              <w:bottom w:val="nil"/>
              <w:right w:val="nil"/>
            </w:tcBorders>
            <w:shd w:val="clear" w:color="auto" w:fill="auto"/>
            <w:noWrap/>
            <w:vAlign w:val="bottom"/>
            <w:hideMark/>
          </w:tcPr>
          <w:p w14:paraId="7AE8FF9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242.1</w:t>
            </w:r>
          </w:p>
        </w:tc>
        <w:tc>
          <w:tcPr>
            <w:tcW w:w="785" w:type="dxa"/>
            <w:tcBorders>
              <w:top w:val="nil"/>
              <w:left w:val="nil"/>
              <w:bottom w:val="nil"/>
              <w:right w:val="nil"/>
            </w:tcBorders>
            <w:shd w:val="clear" w:color="auto" w:fill="auto"/>
            <w:noWrap/>
            <w:vAlign w:val="bottom"/>
            <w:hideMark/>
          </w:tcPr>
          <w:p w14:paraId="57A3466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152.7</w:t>
            </w:r>
          </w:p>
        </w:tc>
        <w:tc>
          <w:tcPr>
            <w:tcW w:w="732" w:type="dxa"/>
            <w:tcBorders>
              <w:top w:val="nil"/>
              <w:left w:val="nil"/>
              <w:bottom w:val="nil"/>
              <w:right w:val="nil"/>
            </w:tcBorders>
            <w:shd w:val="clear" w:color="auto" w:fill="auto"/>
            <w:noWrap/>
            <w:vAlign w:val="bottom"/>
            <w:hideMark/>
          </w:tcPr>
          <w:p w14:paraId="2DD1074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137.7</w:t>
            </w:r>
          </w:p>
        </w:tc>
        <w:tc>
          <w:tcPr>
            <w:tcW w:w="860" w:type="dxa"/>
            <w:tcBorders>
              <w:top w:val="nil"/>
              <w:left w:val="nil"/>
              <w:bottom w:val="nil"/>
              <w:right w:val="nil"/>
            </w:tcBorders>
            <w:shd w:val="clear" w:color="auto" w:fill="auto"/>
            <w:noWrap/>
            <w:vAlign w:val="bottom"/>
            <w:hideMark/>
          </w:tcPr>
          <w:p w14:paraId="4711268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232.6</w:t>
            </w:r>
          </w:p>
        </w:tc>
        <w:tc>
          <w:tcPr>
            <w:tcW w:w="960" w:type="dxa"/>
            <w:tcBorders>
              <w:top w:val="nil"/>
              <w:left w:val="nil"/>
              <w:bottom w:val="nil"/>
              <w:right w:val="nil"/>
            </w:tcBorders>
            <w:shd w:val="clear" w:color="auto" w:fill="auto"/>
            <w:noWrap/>
            <w:vAlign w:val="bottom"/>
            <w:hideMark/>
          </w:tcPr>
          <w:p w14:paraId="77FFECE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106.6</w:t>
            </w:r>
          </w:p>
        </w:tc>
        <w:tc>
          <w:tcPr>
            <w:tcW w:w="689" w:type="dxa"/>
            <w:tcBorders>
              <w:top w:val="nil"/>
              <w:left w:val="nil"/>
              <w:bottom w:val="nil"/>
              <w:right w:val="nil"/>
            </w:tcBorders>
            <w:shd w:val="clear" w:color="auto" w:fill="auto"/>
            <w:noWrap/>
            <w:vAlign w:val="bottom"/>
            <w:hideMark/>
          </w:tcPr>
          <w:p w14:paraId="3030F87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31.8</w:t>
            </w:r>
          </w:p>
        </w:tc>
        <w:tc>
          <w:tcPr>
            <w:tcW w:w="1000" w:type="dxa"/>
            <w:tcBorders>
              <w:top w:val="nil"/>
              <w:left w:val="nil"/>
              <w:bottom w:val="nil"/>
              <w:right w:val="nil"/>
            </w:tcBorders>
            <w:shd w:val="clear" w:color="auto" w:fill="auto"/>
            <w:noWrap/>
            <w:vAlign w:val="bottom"/>
            <w:hideMark/>
          </w:tcPr>
          <w:p w14:paraId="61B7F7A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113.3</w:t>
            </w:r>
          </w:p>
        </w:tc>
      </w:tr>
      <w:tr w:rsidR="00F26016" w:rsidRPr="00F26016" w14:paraId="6E7E2357" w14:textId="77777777" w:rsidTr="00F26016">
        <w:trPr>
          <w:trHeight w:val="300"/>
        </w:trPr>
        <w:tc>
          <w:tcPr>
            <w:tcW w:w="1140" w:type="dxa"/>
            <w:tcBorders>
              <w:top w:val="nil"/>
              <w:left w:val="nil"/>
              <w:bottom w:val="nil"/>
              <w:right w:val="nil"/>
            </w:tcBorders>
            <w:shd w:val="clear" w:color="auto" w:fill="auto"/>
            <w:noWrap/>
            <w:hideMark/>
          </w:tcPr>
          <w:p w14:paraId="01F632A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75</w:t>
            </w:r>
          </w:p>
        </w:tc>
        <w:tc>
          <w:tcPr>
            <w:tcW w:w="1200" w:type="dxa"/>
            <w:tcBorders>
              <w:top w:val="nil"/>
              <w:left w:val="nil"/>
              <w:bottom w:val="nil"/>
              <w:right w:val="nil"/>
            </w:tcBorders>
            <w:shd w:val="clear" w:color="auto" w:fill="auto"/>
            <w:noWrap/>
            <w:hideMark/>
          </w:tcPr>
          <w:p w14:paraId="5D01FDB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306E650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162622A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500BE5C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737A512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3688A49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331F9AF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w:t>
            </w:r>
          </w:p>
        </w:tc>
        <w:tc>
          <w:tcPr>
            <w:tcW w:w="660" w:type="dxa"/>
            <w:tcBorders>
              <w:top w:val="nil"/>
              <w:left w:val="nil"/>
              <w:bottom w:val="nil"/>
              <w:right w:val="nil"/>
            </w:tcBorders>
            <w:shd w:val="clear" w:color="auto" w:fill="auto"/>
            <w:noWrap/>
            <w:vAlign w:val="bottom"/>
            <w:hideMark/>
          </w:tcPr>
          <w:p w14:paraId="5E88A23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280.6</w:t>
            </w:r>
          </w:p>
        </w:tc>
        <w:tc>
          <w:tcPr>
            <w:tcW w:w="920" w:type="dxa"/>
            <w:tcBorders>
              <w:top w:val="nil"/>
              <w:left w:val="nil"/>
              <w:bottom w:val="nil"/>
              <w:right w:val="nil"/>
            </w:tcBorders>
            <w:shd w:val="clear" w:color="auto" w:fill="auto"/>
            <w:noWrap/>
            <w:vAlign w:val="bottom"/>
            <w:hideMark/>
          </w:tcPr>
          <w:p w14:paraId="3AC4D3F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61.0</w:t>
            </w:r>
          </w:p>
        </w:tc>
        <w:tc>
          <w:tcPr>
            <w:tcW w:w="741" w:type="dxa"/>
            <w:tcBorders>
              <w:top w:val="nil"/>
              <w:left w:val="nil"/>
              <w:bottom w:val="nil"/>
              <w:right w:val="nil"/>
            </w:tcBorders>
            <w:shd w:val="clear" w:color="auto" w:fill="auto"/>
            <w:noWrap/>
            <w:vAlign w:val="bottom"/>
            <w:hideMark/>
          </w:tcPr>
          <w:p w14:paraId="2C0410A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65.1</w:t>
            </w:r>
          </w:p>
        </w:tc>
        <w:tc>
          <w:tcPr>
            <w:tcW w:w="785" w:type="dxa"/>
            <w:tcBorders>
              <w:top w:val="nil"/>
              <w:left w:val="nil"/>
              <w:bottom w:val="nil"/>
              <w:right w:val="nil"/>
            </w:tcBorders>
            <w:shd w:val="clear" w:color="auto" w:fill="auto"/>
            <w:noWrap/>
            <w:vAlign w:val="bottom"/>
            <w:hideMark/>
          </w:tcPr>
          <w:p w14:paraId="32FFCEC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57.8</w:t>
            </w:r>
          </w:p>
        </w:tc>
        <w:tc>
          <w:tcPr>
            <w:tcW w:w="732" w:type="dxa"/>
            <w:tcBorders>
              <w:top w:val="nil"/>
              <w:left w:val="nil"/>
              <w:bottom w:val="nil"/>
              <w:right w:val="nil"/>
            </w:tcBorders>
            <w:shd w:val="clear" w:color="auto" w:fill="auto"/>
            <w:noWrap/>
            <w:vAlign w:val="bottom"/>
            <w:hideMark/>
          </w:tcPr>
          <w:p w14:paraId="1AAC88A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866.5</w:t>
            </w:r>
          </w:p>
        </w:tc>
        <w:tc>
          <w:tcPr>
            <w:tcW w:w="860" w:type="dxa"/>
            <w:tcBorders>
              <w:top w:val="nil"/>
              <w:left w:val="nil"/>
              <w:bottom w:val="nil"/>
              <w:right w:val="nil"/>
            </w:tcBorders>
            <w:shd w:val="clear" w:color="auto" w:fill="auto"/>
            <w:noWrap/>
            <w:vAlign w:val="bottom"/>
            <w:hideMark/>
          </w:tcPr>
          <w:p w14:paraId="680338C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133.7</w:t>
            </w:r>
          </w:p>
        </w:tc>
        <w:tc>
          <w:tcPr>
            <w:tcW w:w="960" w:type="dxa"/>
            <w:tcBorders>
              <w:top w:val="nil"/>
              <w:left w:val="nil"/>
              <w:bottom w:val="nil"/>
              <w:right w:val="nil"/>
            </w:tcBorders>
            <w:shd w:val="clear" w:color="auto" w:fill="auto"/>
            <w:noWrap/>
            <w:vAlign w:val="bottom"/>
            <w:hideMark/>
          </w:tcPr>
          <w:p w14:paraId="5EA5D00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28.2</w:t>
            </w:r>
          </w:p>
        </w:tc>
        <w:tc>
          <w:tcPr>
            <w:tcW w:w="689" w:type="dxa"/>
            <w:tcBorders>
              <w:top w:val="nil"/>
              <w:left w:val="nil"/>
              <w:bottom w:val="nil"/>
              <w:right w:val="nil"/>
            </w:tcBorders>
            <w:shd w:val="clear" w:color="auto" w:fill="auto"/>
            <w:noWrap/>
            <w:vAlign w:val="bottom"/>
            <w:hideMark/>
          </w:tcPr>
          <w:p w14:paraId="1A2B97E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22.7</w:t>
            </w:r>
          </w:p>
        </w:tc>
        <w:tc>
          <w:tcPr>
            <w:tcW w:w="1000" w:type="dxa"/>
            <w:tcBorders>
              <w:top w:val="nil"/>
              <w:left w:val="nil"/>
              <w:bottom w:val="nil"/>
              <w:right w:val="nil"/>
            </w:tcBorders>
            <w:shd w:val="clear" w:color="auto" w:fill="auto"/>
            <w:noWrap/>
            <w:vAlign w:val="bottom"/>
            <w:hideMark/>
          </w:tcPr>
          <w:p w14:paraId="156F6B9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162.7</w:t>
            </w:r>
          </w:p>
        </w:tc>
      </w:tr>
      <w:tr w:rsidR="00F26016" w:rsidRPr="00F26016" w14:paraId="5177658B" w14:textId="77777777" w:rsidTr="00F26016">
        <w:trPr>
          <w:trHeight w:val="300"/>
        </w:trPr>
        <w:tc>
          <w:tcPr>
            <w:tcW w:w="1140" w:type="dxa"/>
            <w:tcBorders>
              <w:top w:val="nil"/>
              <w:left w:val="nil"/>
              <w:bottom w:val="nil"/>
              <w:right w:val="nil"/>
            </w:tcBorders>
            <w:shd w:val="clear" w:color="auto" w:fill="auto"/>
            <w:noWrap/>
            <w:hideMark/>
          </w:tcPr>
          <w:p w14:paraId="781EAB0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75</w:t>
            </w:r>
          </w:p>
        </w:tc>
        <w:tc>
          <w:tcPr>
            <w:tcW w:w="1200" w:type="dxa"/>
            <w:tcBorders>
              <w:top w:val="nil"/>
              <w:left w:val="nil"/>
              <w:bottom w:val="nil"/>
              <w:right w:val="nil"/>
            </w:tcBorders>
            <w:shd w:val="clear" w:color="auto" w:fill="auto"/>
            <w:noWrap/>
            <w:hideMark/>
          </w:tcPr>
          <w:p w14:paraId="4B931C8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65B9644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14496C8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5FD49A3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7A2CBB1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211176E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360A91B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w:t>
            </w:r>
          </w:p>
        </w:tc>
        <w:tc>
          <w:tcPr>
            <w:tcW w:w="660" w:type="dxa"/>
            <w:tcBorders>
              <w:top w:val="nil"/>
              <w:left w:val="nil"/>
              <w:bottom w:val="nil"/>
              <w:right w:val="nil"/>
            </w:tcBorders>
            <w:shd w:val="clear" w:color="auto" w:fill="auto"/>
            <w:noWrap/>
            <w:vAlign w:val="bottom"/>
            <w:hideMark/>
          </w:tcPr>
          <w:p w14:paraId="4E86177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3.8</w:t>
            </w:r>
          </w:p>
        </w:tc>
        <w:tc>
          <w:tcPr>
            <w:tcW w:w="920" w:type="dxa"/>
            <w:tcBorders>
              <w:top w:val="nil"/>
              <w:left w:val="nil"/>
              <w:bottom w:val="nil"/>
              <w:right w:val="nil"/>
            </w:tcBorders>
            <w:shd w:val="clear" w:color="auto" w:fill="auto"/>
            <w:noWrap/>
            <w:vAlign w:val="bottom"/>
            <w:hideMark/>
          </w:tcPr>
          <w:p w14:paraId="093F0A3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67.7</w:t>
            </w:r>
          </w:p>
        </w:tc>
        <w:tc>
          <w:tcPr>
            <w:tcW w:w="741" w:type="dxa"/>
            <w:tcBorders>
              <w:top w:val="nil"/>
              <w:left w:val="nil"/>
              <w:bottom w:val="nil"/>
              <w:right w:val="nil"/>
            </w:tcBorders>
            <w:shd w:val="clear" w:color="auto" w:fill="auto"/>
            <w:noWrap/>
            <w:vAlign w:val="bottom"/>
            <w:hideMark/>
          </w:tcPr>
          <w:p w14:paraId="5277E5F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10.8</w:t>
            </w:r>
          </w:p>
        </w:tc>
        <w:tc>
          <w:tcPr>
            <w:tcW w:w="785" w:type="dxa"/>
            <w:tcBorders>
              <w:top w:val="nil"/>
              <w:left w:val="nil"/>
              <w:bottom w:val="nil"/>
              <w:right w:val="nil"/>
            </w:tcBorders>
            <w:shd w:val="clear" w:color="auto" w:fill="auto"/>
            <w:noWrap/>
            <w:vAlign w:val="bottom"/>
            <w:hideMark/>
          </w:tcPr>
          <w:p w14:paraId="5CBD92C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30.1</w:t>
            </w:r>
          </w:p>
        </w:tc>
        <w:tc>
          <w:tcPr>
            <w:tcW w:w="732" w:type="dxa"/>
            <w:tcBorders>
              <w:top w:val="nil"/>
              <w:left w:val="nil"/>
              <w:bottom w:val="nil"/>
              <w:right w:val="nil"/>
            </w:tcBorders>
            <w:shd w:val="clear" w:color="auto" w:fill="auto"/>
            <w:noWrap/>
            <w:vAlign w:val="bottom"/>
            <w:hideMark/>
          </w:tcPr>
          <w:p w14:paraId="6FB51E5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149.8</w:t>
            </w:r>
          </w:p>
        </w:tc>
        <w:tc>
          <w:tcPr>
            <w:tcW w:w="860" w:type="dxa"/>
            <w:tcBorders>
              <w:top w:val="nil"/>
              <w:left w:val="nil"/>
              <w:bottom w:val="nil"/>
              <w:right w:val="nil"/>
            </w:tcBorders>
            <w:shd w:val="clear" w:color="auto" w:fill="auto"/>
            <w:noWrap/>
            <w:vAlign w:val="bottom"/>
            <w:hideMark/>
          </w:tcPr>
          <w:p w14:paraId="125A742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91.6</w:t>
            </w:r>
          </w:p>
        </w:tc>
        <w:tc>
          <w:tcPr>
            <w:tcW w:w="960" w:type="dxa"/>
            <w:tcBorders>
              <w:top w:val="nil"/>
              <w:left w:val="nil"/>
              <w:bottom w:val="nil"/>
              <w:right w:val="nil"/>
            </w:tcBorders>
            <w:shd w:val="clear" w:color="auto" w:fill="auto"/>
            <w:noWrap/>
            <w:vAlign w:val="bottom"/>
            <w:hideMark/>
          </w:tcPr>
          <w:p w14:paraId="3326058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16.8</w:t>
            </w:r>
          </w:p>
        </w:tc>
        <w:tc>
          <w:tcPr>
            <w:tcW w:w="689" w:type="dxa"/>
            <w:tcBorders>
              <w:top w:val="nil"/>
              <w:left w:val="nil"/>
              <w:bottom w:val="nil"/>
              <w:right w:val="nil"/>
            </w:tcBorders>
            <w:shd w:val="clear" w:color="auto" w:fill="auto"/>
            <w:noWrap/>
            <w:vAlign w:val="bottom"/>
            <w:hideMark/>
          </w:tcPr>
          <w:p w14:paraId="54B0042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39.3</w:t>
            </w:r>
          </w:p>
        </w:tc>
        <w:tc>
          <w:tcPr>
            <w:tcW w:w="1000" w:type="dxa"/>
            <w:tcBorders>
              <w:top w:val="nil"/>
              <w:left w:val="nil"/>
              <w:bottom w:val="nil"/>
              <w:right w:val="nil"/>
            </w:tcBorders>
            <w:shd w:val="clear" w:color="auto" w:fill="auto"/>
            <w:noWrap/>
            <w:vAlign w:val="bottom"/>
            <w:hideMark/>
          </w:tcPr>
          <w:p w14:paraId="7F9D529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147.2</w:t>
            </w:r>
          </w:p>
        </w:tc>
      </w:tr>
      <w:tr w:rsidR="00F26016" w:rsidRPr="00F26016" w14:paraId="7D94380A" w14:textId="77777777" w:rsidTr="00F26016">
        <w:trPr>
          <w:trHeight w:val="300"/>
        </w:trPr>
        <w:tc>
          <w:tcPr>
            <w:tcW w:w="1140" w:type="dxa"/>
            <w:tcBorders>
              <w:top w:val="nil"/>
              <w:left w:val="nil"/>
              <w:bottom w:val="nil"/>
              <w:right w:val="nil"/>
            </w:tcBorders>
            <w:shd w:val="clear" w:color="auto" w:fill="auto"/>
            <w:noWrap/>
            <w:hideMark/>
          </w:tcPr>
          <w:p w14:paraId="6C7F5FE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75</w:t>
            </w:r>
          </w:p>
        </w:tc>
        <w:tc>
          <w:tcPr>
            <w:tcW w:w="1200" w:type="dxa"/>
            <w:tcBorders>
              <w:top w:val="nil"/>
              <w:left w:val="nil"/>
              <w:bottom w:val="nil"/>
              <w:right w:val="nil"/>
            </w:tcBorders>
            <w:shd w:val="clear" w:color="auto" w:fill="auto"/>
            <w:noWrap/>
            <w:hideMark/>
          </w:tcPr>
          <w:p w14:paraId="6D9036E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509634A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2D6F89B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2B032C8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33CF812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3A9B37D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6FB94E0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w:t>
            </w:r>
          </w:p>
        </w:tc>
        <w:tc>
          <w:tcPr>
            <w:tcW w:w="660" w:type="dxa"/>
            <w:tcBorders>
              <w:top w:val="nil"/>
              <w:left w:val="nil"/>
              <w:bottom w:val="nil"/>
              <w:right w:val="nil"/>
            </w:tcBorders>
            <w:shd w:val="clear" w:color="auto" w:fill="auto"/>
            <w:noWrap/>
            <w:vAlign w:val="bottom"/>
            <w:hideMark/>
          </w:tcPr>
          <w:p w14:paraId="32F33B1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69.0</w:t>
            </w:r>
          </w:p>
        </w:tc>
        <w:tc>
          <w:tcPr>
            <w:tcW w:w="920" w:type="dxa"/>
            <w:tcBorders>
              <w:top w:val="nil"/>
              <w:left w:val="nil"/>
              <w:bottom w:val="nil"/>
              <w:right w:val="nil"/>
            </w:tcBorders>
            <w:shd w:val="clear" w:color="auto" w:fill="auto"/>
            <w:noWrap/>
            <w:vAlign w:val="bottom"/>
            <w:hideMark/>
          </w:tcPr>
          <w:p w14:paraId="382F6F9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160.2</w:t>
            </w:r>
          </w:p>
        </w:tc>
        <w:tc>
          <w:tcPr>
            <w:tcW w:w="741" w:type="dxa"/>
            <w:tcBorders>
              <w:top w:val="nil"/>
              <w:left w:val="nil"/>
              <w:bottom w:val="nil"/>
              <w:right w:val="nil"/>
            </w:tcBorders>
            <w:shd w:val="clear" w:color="auto" w:fill="auto"/>
            <w:noWrap/>
            <w:vAlign w:val="bottom"/>
            <w:hideMark/>
          </w:tcPr>
          <w:p w14:paraId="0EDA076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154.6</w:t>
            </w:r>
          </w:p>
        </w:tc>
        <w:tc>
          <w:tcPr>
            <w:tcW w:w="785" w:type="dxa"/>
            <w:tcBorders>
              <w:top w:val="nil"/>
              <w:left w:val="nil"/>
              <w:bottom w:val="nil"/>
              <w:right w:val="nil"/>
            </w:tcBorders>
            <w:shd w:val="clear" w:color="auto" w:fill="auto"/>
            <w:noWrap/>
            <w:vAlign w:val="bottom"/>
            <w:hideMark/>
          </w:tcPr>
          <w:p w14:paraId="5D5B79D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94.8</w:t>
            </w:r>
          </w:p>
        </w:tc>
        <w:tc>
          <w:tcPr>
            <w:tcW w:w="732" w:type="dxa"/>
            <w:tcBorders>
              <w:top w:val="nil"/>
              <w:left w:val="nil"/>
              <w:bottom w:val="nil"/>
              <w:right w:val="nil"/>
            </w:tcBorders>
            <w:shd w:val="clear" w:color="auto" w:fill="auto"/>
            <w:noWrap/>
            <w:vAlign w:val="bottom"/>
            <w:hideMark/>
          </w:tcPr>
          <w:p w14:paraId="195E5BD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248.6</w:t>
            </w:r>
          </w:p>
        </w:tc>
        <w:tc>
          <w:tcPr>
            <w:tcW w:w="860" w:type="dxa"/>
            <w:tcBorders>
              <w:top w:val="nil"/>
              <w:left w:val="nil"/>
              <w:bottom w:val="nil"/>
              <w:right w:val="nil"/>
            </w:tcBorders>
            <w:shd w:val="clear" w:color="auto" w:fill="auto"/>
            <w:noWrap/>
            <w:vAlign w:val="bottom"/>
            <w:hideMark/>
          </w:tcPr>
          <w:p w14:paraId="53F6110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262.2</w:t>
            </w:r>
          </w:p>
        </w:tc>
        <w:tc>
          <w:tcPr>
            <w:tcW w:w="960" w:type="dxa"/>
            <w:tcBorders>
              <w:top w:val="nil"/>
              <w:left w:val="nil"/>
              <w:bottom w:val="nil"/>
              <w:right w:val="nil"/>
            </w:tcBorders>
            <w:shd w:val="clear" w:color="auto" w:fill="auto"/>
            <w:noWrap/>
            <w:vAlign w:val="bottom"/>
            <w:hideMark/>
          </w:tcPr>
          <w:p w14:paraId="21F9510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72.9</w:t>
            </w:r>
          </w:p>
        </w:tc>
        <w:tc>
          <w:tcPr>
            <w:tcW w:w="689" w:type="dxa"/>
            <w:tcBorders>
              <w:top w:val="nil"/>
              <w:left w:val="nil"/>
              <w:bottom w:val="nil"/>
              <w:right w:val="nil"/>
            </w:tcBorders>
            <w:shd w:val="clear" w:color="auto" w:fill="auto"/>
            <w:noWrap/>
            <w:vAlign w:val="bottom"/>
            <w:hideMark/>
          </w:tcPr>
          <w:p w14:paraId="74A5640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9.3</w:t>
            </w:r>
          </w:p>
        </w:tc>
        <w:tc>
          <w:tcPr>
            <w:tcW w:w="1000" w:type="dxa"/>
            <w:tcBorders>
              <w:top w:val="nil"/>
              <w:left w:val="nil"/>
              <w:bottom w:val="nil"/>
              <w:right w:val="nil"/>
            </w:tcBorders>
            <w:shd w:val="clear" w:color="auto" w:fill="auto"/>
            <w:noWrap/>
            <w:vAlign w:val="bottom"/>
            <w:hideMark/>
          </w:tcPr>
          <w:p w14:paraId="07FC855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100.2</w:t>
            </w:r>
          </w:p>
        </w:tc>
      </w:tr>
      <w:tr w:rsidR="00F26016" w:rsidRPr="00F26016" w14:paraId="75E76F3B" w14:textId="77777777" w:rsidTr="00F26016">
        <w:trPr>
          <w:trHeight w:val="300"/>
        </w:trPr>
        <w:tc>
          <w:tcPr>
            <w:tcW w:w="1140" w:type="dxa"/>
            <w:tcBorders>
              <w:top w:val="nil"/>
              <w:left w:val="nil"/>
              <w:bottom w:val="nil"/>
              <w:right w:val="nil"/>
            </w:tcBorders>
            <w:shd w:val="clear" w:color="auto" w:fill="auto"/>
            <w:noWrap/>
            <w:hideMark/>
          </w:tcPr>
          <w:p w14:paraId="3A36C4E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78</w:t>
            </w:r>
          </w:p>
        </w:tc>
        <w:tc>
          <w:tcPr>
            <w:tcW w:w="1200" w:type="dxa"/>
            <w:tcBorders>
              <w:top w:val="nil"/>
              <w:left w:val="nil"/>
              <w:bottom w:val="nil"/>
              <w:right w:val="nil"/>
            </w:tcBorders>
            <w:shd w:val="clear" w:color="auto" w:fill="auto"/>
            <w:noWrap/>
            <w:hideMark/>
          </w:tcPr>
          <w:p w14:paraId="622BBF4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43561B4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5962334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2755667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12487D8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02049AE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05B686B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465B510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277.3</w:t>
            </w:r>
          </w:p>
        </w:tc>
        <w:tc>
          <w:tcPr>
            <w:tcW w:w="920" w:type="dxa"/>
            <w:tcBorders>
              <w:top w:val="nil"/>
              <w:left w:val="nil"/>
              <w:bottom w:val="nil"/>
              <w:right w:val="nil"/>
            </w:tcBorders>
            <w:shd w:val="clear" w:color="auto" w:fill="auto"/>
            <w:noWrap/>
            <w:vAlign w:val="bottom"/>
            <w:hideMark/>
          </w:tcPr>
          <w:p w14:paraId="383F967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56.0</w:t>
            </w:r>
          </w:p>
        </w:tc>
        <w:tc>
          <w:tcPr>
            <w:tcW w:w="741" w:type="dxa"/>
            <w:tcBorders>
              <w:top w:val="nil"/>
              <w:left w:val="nil"/>
              <w:bottom w:val="nil"/>
              <w:right w:val="nil"/>
            </w:tcBorders>
            <w:shd w:val="clear" w:color="auto" w:fill="auto"/>
            <w:noWrap/>
            <w:vAlign w:val="bottom"/>
            <w:hideMark/>
          </w:tcPr>
          <w:p w14:paraId="7A7CB24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63.1</w:t>
            </w:r>
          </w:p>
        </w:tc>
        <w:tc>
          <w:tcPr>
            <w:tcW w:w="785" w:type="dxa"/>
            <w:tcBorders>
              <w:top w:val="nil"/>
              <w:left w:val="nil"/>
              <w:bottom w:val="nil"/>
              <w:right w:val="nil"/>
            </w:tcBorders>
            <w:shd w:val="clear" w:color="auto" w:fill="auto"/>
            <w:noWrap/>
            <w:vAlign w:val="bottom"/>
            <w:hideMark/>
          </w:tcPr>
          <w:p w14:paraId="1CD0B74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39.7</w:t>
            </w:r>
          </w:p>
        </w:tc>
        <w:tc>
          <w:tcPr>
            <w:tcW w:w="732" w:type="dxa"/>
            <w:tcBorders>
              <w:top w:val="nil"/>
              <w:left w:val="nil"/>
              <w:bottom w:val="nil"/>
              <w:right w:val="nil"/>
            </w:tcBorders>
            <w:shd w:val="clear" w:color="auto" w:fill="auto"/>
            <w:noWrap/>
            <w:vAlign w:val="bottom"/>
            <w:hideMark/>
          </w:tcPr>
          <w:p w14:paraId="0E13AB9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878.0</w:t>
            </w:r>
          </w:p>
        </w:tc>
        <w:tc>
          <w:tcPr>
            <w:tcW w:w="860" w:type="dxa"/>
            <w:tcBorders>
              <w:top w:val="nil"/>
              <w:left w:val="nil"/>
              <w:bottom w:val="nil"/>
              <w:right w:val="nil"/>
            </w:tcBorders>
            <w:shd w:val="clear" w:color="auto" w:fill="auto"/>
            <w:noWrap/>
            <w:vAlign w:val="bottom"/>
            <w:hideMark/>
          </w:tcPr>
          <w:p w14:paraId="23AB357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126.5</w:t>
            </w:r>
          </w:p>
        </w:tc>
        <w:tc>
          <w:tcPr>
            <w:tcW w:w="960" w:type="dxa"/>
            <w:tcBorders>
              <w:top w:val="nil"/>
              <w:left w:val="nil"/>
              <w:bottom w:val="nil"/>
              <w:right w:val="nil"/>
            </w:tcBorders>
            <w:shd w:val="clear" w:color="auto" w:fill="auto"/>
            <w:noWrap/>
            <w:vAlign w:val="bottom"/>
            <w:hideMark/>
          </w:tcPr>
          <w:p w14:paraId="7A2F267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36.4</w:t>
            </w:r>
          </w:p>
        </w:tc>
        <w:tc>
          <w:tcPr>
            <w:tcW w:w="689" w:type="dxa"/>
            <w:tcBorders>
              <w:top w:val="nil"/>
              <w:left w:val="nil"/>
              <w:bottom w:val="nil"/>
              <w:right w:val="nil"/>
            </w:tcBorders>
            <w:shd w:val="clear" w:color="auto" w:fill="auto"/>
            <w:noWrap/>
            <w:vAlign w:val="bottom"/>
            <w:hideMark/>
          </w:tcPr>
          <w:p w14:paraId="7DE3965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w:t>
            </w:r>
          </w:p>
        </w:tc>
        <w:tc>
          <w:tcPr>
            <w:tcW w:w="1000" w:type="dxa"/>
            <w:tcBorders>
              <w:top w:val="nil"/>
              <w:left w:val="nil"/>
              <w:bottom w:val="nil"/>
              <w:right w:val="nil"/>
            </w:tcBorders>
            <w:shd w:val="clear" w:color="auto" w:fill="auto"/>
            <w:noWrap/>
            <w:vAlign w:val="bottom"/>
            <w:hideMark/>
          </w:tcPr>
          <w:p w14:paraId="1F0AA1A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183.6</w:t>
            </w:r>
          </w:p>
        </w:tc>
      </w:tr>
      <w:tr w:rsidR="00F26016" w:rsidRPr="00F26016" w14:paraId="184E4834" w14:textId="77777777" w:rsidTr="00F26016">
        <w:trPr>
          <w:trHeight w:val="300"/>
        </w:trPr>
        <w:tc>
          <w:tcPr>
            <w:tcW w:w="1140" w:type="dxa"/>
            <w:tcBorders>
              <w:top w:val="nil"/>
              <w:left w:val="nil"/>
              <w:bottom w:val="nil"/>
              <w:right w:val="nil"/>
            </w:tcBorders>
            <w:shd w:val="clear" w:color="auto" w:fill="auto"/>
            <w:noWrap/>
            <w:hideMark/>
          </w:tcPr>
          <w:p w14:paraId="4AA3312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78</w:t>
            </w:r>
          </w:p>
        </w:tc>
        <w:tc>
          <w:tcPr>
            <w:tcW w:w="1200" w:type="dxa"/>
            <w:tcBorders>
              <w:top w:val="nil"/>
              <w:left w:val="nil"/>
              <w:bottom w:val="nil"/>
              <w:right w:val="nil"/>
            </w:tcBorders>
            <w:shd w:val="clear" w:color="auto" w:fill="auto"/>
            <w:noWrap/>
            <w:hideMark/>
          </w:tcPr>
          <w:p w14:paraId="71A195C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5EFC1A1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08817E5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6AD9440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2C13614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7E8815E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45BCCD0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77117EE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9.0</w:t>
            </w:r>
          </w:p>
        </w:tc>
        <w:tc>
          <w:tcPr>
            <w:tcW w:w="920" w:type="dxa"/>
            <w:tcBorders>
              <w:top w:val="nil"/>
              <w:left w:val="nil"/>
              <w:bottom w:val="nil"/>
              <w:right w:val="nil"/>
            </w:tcBorders>
            <w:shd w:val="clear" w:color="auto" w:fill="auto"/>
            <w:noWrap/>
            <w:vAlign w:val="bottom"/>
            <w:hideMark/>
          </w:tcPr>
          <w:p w14:paraId="753E07B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59.3</w:t>
            </w:r>
          </w:p>
        </w:tc>
        <w:tc>
          <w:tcPr>
            <w:tcW w:w="741" w:type="dxa"/>
            <w:tcBorders>
              <w:top w:val="nil"/>
              <w:left w:val="nil"/>
              <w:bottom w:val="nil"/>
              <w:right w:val="nil"/>
            </w:tcBorders>
            <w:shd w:val="clear" w:color="auto" w:fill="auto"/>
            <w:noWrap/>
            <w:vAlign w:val="bottom"/>
            <w:hideMark/>
          </w:tcPr>
          <w:p w14:paraId="67BB8A8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9.8</w:t>
            </w:r>
          </w:p>
        </w:tc>
        <w:tc>
          <w:tcPr>
            <w:tcW w:w="785" w:type="dxa"/>
            <w:tcBorders>
              <w:top w:val="nil"/>
              <w:left w:val="nil"/>
              <w:bottom w:val="nil"/>
              <w:right w:val="nil"/>
            </w:tcBorders>
            <w:shd w:val="clear" w:color="auto" w:fill="auto"/>
            <w:noWrap/>
            <w:vAlign w:val="bottom"/>
            <w:hideMark/>
          </w:tcPr>
          <w:p w14:paraId="20BEC8D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28.7</w:t>
            </w:r>
          </w:p>
        </w:tc>
        <w:tc>
          <w:tcPr>
            <w:tcW w:w="732" w:type="dxa"/>
            <w:tcBorders>
              <w:top w:val="nil"/>
              <w:left w:val="nil"/>
              <w:bottom w:val="nil"/>
              <w:right w:val="nil"/>
            </w:tcBorders>
            <w:shd w:val="clear" w:color="auto" w:fill="auto"/>
            <w:noWrap/>
            <w:vAlign w:val="bottom"/>
            <w:hideMark/>
          </w:tcPr>
          <w:p w14:paraId="522BD1D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128.9</w:t>
            </w:r>
          </w:p>
        </w:tc>
        <w:tc>
          <w:tcPr>
            <w:tcW w:w="860" w:type="dxa"/>
            <w:tcBorders>
              <w:top w:val="nil"/>
              <w:left w:val="nil"/>
              <w:bottom w:val="nil"/>
              <w:right w:val="nil"/>
            </w:tcBorders>
            <w:shd w:val="clear" w:color="auto" w:fill="auto"/>
            <w:noWrap/>
            <w:vAlign w:val="bottom"/>
            <w:hideMark/>
          </w:tcPr>
          <w:p w14:paraId="761E415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84.7</w:t>
            </w:r>
          </w:p>
        </w:tc>
        <w:tc>
          <w:tcPr>
            <w:tcW w:w="960" w:type="dxa"/>
            <w:tcBorders>
              <w:top w:val="nil"/>
              <w:left w:val="nil"/>
              <w:bottom w:val="nil"/>
              <w:right w:val="nil"/>
            </w:tcBorders>
            <w:shd w:val="clear" w:color="auto" w:fill="auto"/>
            <w:noWrap/>
            <w:vAlign w:val="bottom"/>
            <w:hideMark/>
          </w:tcPr>
          <w:p w14:paraId="01BD290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14.7</w:t>
            </w:r>
          </w:p>
        </w:tc>
        <w:tc>
          <w:tcPr>
            <w:tcW w:w="689" w:type="dxa"/>
            <w:tcBorders>
              <w:top w:val="nil"/>
              <w:left w:val="nil"/>
              <w:bottom w:val="nil"/>
              <w:right w:val="nil"/>
            </w:tcBorders>
            <w:shd w:val="clear" w:color="auto" w:fill="auto"/>
            <w:noWrap/>
            <w:vAlign w:val="bottom"/>
            <w:hideMark/>
          </w:tcPr>
          <w:p w14:paraId="50DADE0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44.3</w:t>
            </w:r>
          </w:p>
        </w:tc>
        <w:tc>
          <w:tcPr>
            <w:tcW w:w="1000" w:type="dxa"/>
            <w:tcBorders>
              <w:top w:val="nil"/>
              <w:left w:val="nil"/>
              <w:bottom w:val="nil"/>
              <w:right w:val="nil"/>
            </w:tcBorders>
            <w:shd w:val="clear" w:color="auto" w:fill="auto"/>
            <w:noWrap/>
            <w:vAlign w:val="bottom"/>
            <w:hideMark/>
          </w:tcPr>
          <w:p w14:paraId="7783D9F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124.7</w:t>
            </w:r>
          </w:p>
        </w:tc>
      </w:tr>
      <w:tr w:rsidR="00F26016" w:rsidRPr="00F26016" w14:paraId="265B76B3" w14:textId="77777777" w:rsidTr="00F26016">
        <w:trPr>
          <w:trHeight w:val="300"/>
        </w:trPr>
        <w:tc>
          <w:tcPr>
            <w:tcW w:w="1140" w:type="dxa"/>
            <w:tcBorders>
              <w:top w:val="nil"/>
              <w:left w:val="nil"/>
              <w:bottom w:val="nil"/>
              <w:right w:val="nil"/>
            </w:tcBorders>
            <w:shd w:val="clear" w:color="auto" w:fill="auto"/>
            <w:noWrap/>
            <w:hideMark/>
          </w:tcPr>
          <w:p w14:paraId="0E34BA7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78</w:t>
            </w:r>
          </w:p>
        </w:tc>
        <w:tc>
          <w:tcPr>
            <w:tcW w:w="1200" w:type="dxa"/>
            <w:tcBorders>
              <w:top w:val="nil"/>
              <w:left w:val="nil"/>
              <w:bottom w:val="nil"/>
              <w:right w:val="nil"/>
            </w:tcBorders>
            <w:shd w:val="clear" w:color="auto" w:fill="auto"/>
            <w:noWrap/>
            <w:hideMark/>
          </w:tcPr>
          <w:p w14:paraId="17E1932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43D76D6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3A8BE1C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23616A5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6B390CF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06B2D0D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1501DC9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0378273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66.5</w:t>
            </w:r>
          </w:p>
        </w:tc>
        <w:tc>
          <w:tcPr>
            <w:tcW w:w="920" w:type="dxa"/>
            <w:tcBorders>
              <w:top w:val="nil"/>
              <w:left w:val="nil"/>
              <w:bottom w:val="nil"/>
              <w:right w:val="nil"/>
            </w:tcBorders>
            <w:shd w:val="clear" w:color="auto" w:fill="auto"/>
            <w:noWrap/>
            <w:vAlign w:val="bottom"/>
            <w:hideMark/>
          </w:tcPr>
          <w:p w14:paraId="3385D9E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182.0</w:t>
            </w:r>
          </w:p>
        </w:tc>
        <w:tc>
          <w:tcPr>
            <w:tcW w:w="741" w:type="dxa"/>
            <w:tcBorders>
              <w:top w:val="nil"/>
              <w:left w:val="nil"/>
              <w:bottom w:val="nil"/>
              <w:right w:val="nil"/>
            </w:tcBorders>
            <w:shd w:val="clear" w:color="auto" w:fill="auto"/>
            <w:noWrap/>
            <w:vAlign w:val="bottom"/>
            <w:hideMark/>
          </w:tcPr>
          <w:p w14:paraId="31043F3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174.9</w:t>
            </w:r>
          </w:p>
        </w:tc>
        <w:tc>
          <w:tcPr>
            <w:tcW w:w="785" w:type="dxa"/>
            <w:tcBorders>
              <w:top w:val="nil"/>
              <w:left w:val="nil"/>
              <w:bottom w:val="nil"/>
              <w:right w:val="nil"/>
            </w:tcBorders>
            <w:shd w:val="clear" w:color="auto" w:fill="auto"/>
            <w:noWrap/>
            <w:vAlign w:val="bottom"/>
            <w:hideMark/>
          </w:tcPr>
          <w:p w14:paraId="0AFAF15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111.1</w:t>
            </w:r>
          </w:p>
        </w:tc>
        <w:tc>
          <w:tcPr>
            <w:tcW w:w="732" w:type="dxa"/>
            <w:tcBorders>
              <w:top w:val="nil"/>
              <w:left w:val="nil"/>
              <w:bottom w:val="nil"/>
              <w:right w:val="nil"/>
            </w:tcBorders>
            <w:shd w:val="clear" w:color="auto" w:fill="auto"/>
            <w:noWrap/>
            <w:vAlign w:val="bottom"/>
            <w:hideMark/>
          </w:tcPr>
          <w:p w14:paraId="5809327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324.5</w:t>
            </w:r>
          </w:p>
        </w:tc>
        <w:tc>
          <w:tcPr>
            <w:tcW w:w="860" w:type="dxa"/>
            <w:tcBorders>
              <w:top w:val="nil"/>
              <w:left w:val="nil"/>
              <w:bottom w:val="nil"/>
              <w:right w:val="nil"/>
            </w:tcBorders>
            <w:shd w:val="clear" w:color="auto" w:fill="auto"/>
            <w:noWrap/>
            <w:vAlign w:val="bottom"/>
            <w:hideMark/>
          </w:tcPr>
          <w:p w14:paraId="73E2620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430.9</w:t>
            </w:r>
          </w:p>
        </w:tc>
        <w:tc>
          <w:tcPr>
            <w:tcW w:w="960" w:type="dxa"/>
            <w:tcBorders>
              <w:top w:val="nil"/>
              <w:left w:val="nil"/>
              <w:bottom w:val="nil"/>
              <w:right w:val="nil"/>
            </w:tcBorders>
            <w:shd w:val="clear" w:color="auto" w:fill="auto"/>
            <w:noWrap/>
            <w:vAlign w:val="bottom"/>
            <w:hideMark/>
          </w:tcPr>
          <w:p w14:paraId="4ED7ECC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76.1</w:t>
            </w:r>
          </w:p>
        </w:tc>
        <w:tc>
          <w:tcPr>
            <w:tcW w:w="689" w:type="dxa"/>
            <w:tcBorders>
              <w:top w:val="nil"/>
              <w:left w:val="nil"/>
              <w:bottom w:val="nil"/>
              <w:right w:val="nil"/>
            </w:tcBorders>
            <w:shd w:val="clear" w:color="auto" w:fill="auto"/>
            <w:noWrap/>
            <w:vAlign w:val="bottom"/>
            <w:hideMark/>
          </w:tcPr>
          <w:p w14:paraId="4CA4664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3.9</w:t>
            </w:r>
          </w:p>
        </w:tc>
        <w:tc>
          <w:tcPr>
            <w:tcW w:w="1000" w:type="dxa"/>
            <w:tcBorders>
              <w:top w:val="nil"/>
              <w:left w:val="nil"/>
              <w:bottom w:val="nil"/>
              <w:right w:val="nil"/>
            </w:tcBorders>
            <w:shd w:val="clear" w:color="auto" w:fill="auto"/>
            <w:noWrap/>
            <w:vAlign w:val="bottom"/>
            <w:hideMark/>
          </w:tcPr>
          <w:p w14:paraId="59F4FB5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106.3</w:t>
            </w:r>
          </w:p>
        </w:tc>
      </w:tr>
      <w:tr w:rsidR="00F26016" w:rsidRPr="00F26016" w14:paraId="34E70255" w14:textId="77777777" w:rsidTr="00F26016">
        <w:trPr>
          <w:trHeight w:val="300"/>
        </w:trPr>
        <w:tc>
          <w:tcPr>
            <w:tcW w:w="1140" w:type="dxa"/>
            <w:tcBorders>
              <w:top w:val="nil"/>
              <w:left w:val="nil"/>
              <w:bottom w:val="nil"/>
              <w:right w:val="nil"/>
            </w:tcBorders>
            <w:shd w:val="clear" w:color="auto" w:fill="auto"/>
            <w:noWrap/>
            <w:hideMark/>
          </w:tcPr>
          <w:p w14:paraId="1DE5840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79</w:t>
            </w:r>
          </w:p>
        </w:tc>
        <w:tc>
          <w:tcPr>
            <w:tcW w:w="1200" w:type="dxa"/>
            <w:tcBorders>
              <w:top w:val="nil"/>
              <w:left w:val="nil"/>
              <w:bottom w:val="nil"/>
              <w:right w:val="nil"/>
            </w:tcBorders>
            <w:shd w:val="clear" w:color="auto" w:fill="auto"/>
            <w:noWrap/>
            <w:hideMark/>
          </w:tcPr>
          <w:p w14:paraId="0907A41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052ED72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70FFDF7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232D715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2162C40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6507A9D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720C9B9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68BABA7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149.6</w:t>
            </w:r>
          </w:p>
        </w:tc>
        <w:tc>
          <w:tcPr>
            <w:tcW w:w="920" w:type="dxa"/>
            <w:tcBorders>
              <w:top w:val="nil"/>
              <w:left w:val="nil"/>
              <w:bottom w:val="nil"/>
              <w:right w:val="nil"/>
            </w:tcBorders>
            <w:shd w:val="clear" w:color="auto" w:fill="auto"/>
            <w:noWrap/>
            <w:vAlign w:val="bottom"/>
            <w:hideMark/>
          </w:tcPr>
          <w:p w14:paraId="5E8F43C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51.0</w:t>
            </w:r>
          </w:p>
        </w:tc>
        <w:tc>
          <w:tcPr>
            <w:tcW w:w="741" w:type="dxa"/>
            <w:tcBorders>
              <w:top w:val="nil"/>
              <w:left w:val="nil"/>
              <w:bottom w:val="nil"/>
              <w:right w:val="nil"/>
            </w:tcBorders>
            <w:shd w:val="clear" w:color="auto" w:fill="auto"/>
            <w:noWrap/>
            <w:vAlign w:val="bottom"/>
            <w:hideMark/>
          </w:tcPr>
          <w:p w14:paraId="3929565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34.9</w:t>
            </w:r>
          </w:p>
        </w:tc>
        <w:tc>
          <w:tcPr>
            <w:tcW w:w="785" w:type="dxa"/>
            <w:tcBorders>
              <w:top w:val="nil"/>
              <w:left w:val="nil"/>
              <w:bottom w:val="nil"/>
              <w:right w:val="nil"/>
            </w:tcBorders>
            <w:shd w:val="clear" w:color="auto" w:fill="auto"/>
            <w:noWrap/>
            <w:vAlign w:val="bottom"/>
            <w:hideMark/>
          </w:tcPr>
          <w:p w14:paraId="01E1D79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54.4</w:t>
            </w:r>
          </w:p>
        </w:tc>
        <w:tc>
          <w:tcPr>
            <w:tcW w:w="732" w:type="dxa"/>
            <w:tcBorders>
              <w:top w:val="nil"/>
              <w:left w:val="nil"/>
              <w:bottom w:val="nil"/>
              <w:right w:val="nil"/>
            </w:tcBorders>
            <w:shd w:val="clear" w:color="auto" w:fill="auto"/>
            <w:noWrap/>
            <w:vAlign w:val="bottom"/>
            <w:hideMark/>
          </w:tcPr>
          <w:p w14:paraId="5017A39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232.5</w:t>
            </w:r>
          </w:p>
        </w:tc>
        <w:tc>
          <w:tcPr>
            <w:tcW w:w="860" w:type="dxa"/>
            <w:tcBorders>
              <w:top w:val="nil"/>
              <w:left w:val="nil"/>
              <w:bottom w:val="nil"/>
              <w:right w:val="nil"/>
            </w:tcBorders>
            <w:shd w:val="clear" w:color="auto" w:fill="auto"/>
            <w:noWrap/>
            <w:vAlign w:val="bottom"/>
            <w:hideMark/>
          </w:tcPr>
          <w:p w14:paraId="35EC213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157.5</w:t>
            </w:r>
          </w:p>
        </w:tc>
        <w:tc>
          <w:tcPr>
            <w:tcW w:w="960" w:type="dxa"/>
            <w:tcBorders>
              <w:top w:val="nil"/>
              <w:left w:val="nil"/>
              <w:bottom w:val="nil"/>
              <w:right w:val="nil"/>
            </w:tcBorders>
            <w:shd w:val="clear" w:color="auto" w:fill="auto"/>
            <w:noWrap/>
            <w:vAlign w:val="bottom"/>
            <w:hideMark/>
          </w:tcPr>
          <w:p w14:paraId="3EC221E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45.7</w:t>
            </w:r>
          </w:p>
        </w:tc>
        <w:tc>
          <w:tcPr>
            <w:tcW w:w="689" w:type="dxa"/>
            <w:tcBorders>
              <w:top w:val="nil"/>
              <w:left w:val="nil"/>
              <w:bottom w:val="nil"/>
              <w:right w:val="nil"/>
            </w:tcBorders>
            <w:shd w:val="clear" w:color="auto" w:fill="auto"/>
            <w:noWrap/>
            <w:vAlign w:val="bottom"/>
            <w:hideMark/>
          </w:tcPr>
          <w:p w14:paraId="389B713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21.3</w:t>
            </w:r>
          </w:p>
        </w:tc>
        <w:tc>
          <w:tcPr>
            <w:tcW w:w="1000" w:type="dxa"/>
            <w:tcBorders>
              <w:top w:val="nil"/>
              <w:left w:val="nil"/>
              <w:bottom w:val="nil"/>
              <w:right w:val="nil"/>
            </w:tcBorders>
            <w:shd w:val="clear" w:color="auto" w:fill="auto"/>
            <w:noWrap/>
            <w:vAlign w:val="bottom"/>
            <w:hideMark/>
          </w:tcPr>
          <w:p w14:paraId="3E53EE3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175.6</w:t>
            </w:r>
          </w:p>
        </w:tc>
      </w:tr>
      <w:tr w:rsidR="00F26016" w:rsidRPr="00F26016" w14:paraId="3264583F" w14:textId="77777777" w:rsidTr="00F26016">
        <w:trPr>
          <w:trHeight w:val="300"/>
        </w:trPr>
        <w:tc>
          <w:tcPr>
            <w:tcW w:w="1140" w:type="dxa"/>
            <w:tcBorders>
              <w:top w:val="nil"/>
              <w:left w:val="nil"/>
              <w:bottom w:val="nil"/>
              <w:right w:val="nil"/>
            </w:tcBorders>
            <w:shd w:val="clear" w:color="auto" w:fill="auto"/>
            <w:noWrap/>
            <w:hideMark/>
          </w:tcPr>
          <w:p w14:paraId="1D5159D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79</w:t>
            </w:r>
          </w:p>
        </w:tc>
        <w:tc>
          <w:tcPr>
            <w:tcW w:w="1200" w:type="dxa"/>
            <w:tcBorders>
              <w:top w:val="nil"/>
              <w:left w:val="nil"/>
              <w:bottom w:val="nil"/>
              <w:right w:val="nil"/>
            </w:tcBorders>
            <w:shd w:val="clear" w:color="auto" w:fill="auto"/>
            <w:noWrap/>
            <w:hideMark/>
          </w:tcPr>
          <w:p w14:paraId="54F124B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421B3C0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29D9C7E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22D7DFF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4EB6B1E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51D4FD0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72FCFD1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6E874B7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8.6</w:t>
            </w:r>
          </w:p>
        </w:tc>
        <w:tc>
          <w:tcPr>
            <w:tcW w:w="920" w:type="dxa"/>
            <w:tcBorders>
              <w:top w:val="nil"/>
              <w:left w:val="nil"/>
              <w:bottom w:val="nil"/>
              <w:right w:val="nil"/>
            </w:tcBorders>
            <w:shd w:val="clear" w:color="auto" w:fill="auto"/>
            <w:noWrap/>
            <w:vAlign w:val="bottom"/>
            <w:hideMark/>
          </w:tcPr>
          <w:p w14:paraId="5767709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56.5</w:t>
            </w:r>
          </w:p>
        </w:tc>
        <w:tc>
          <w:tcPr>
            <w:tcW w:w="741" w:type="dxa"/>
            <w:tcBorders>
              <w:top w:val="nil"/>
              <w:left w:val="nil"/>
              <w:bottom w:val="nil"/>
              <w:right w:val="nil"/>
            </w:tcBorders>
            <w:shd w:val="clear" w:color="auto" w:fill="auto"/>
            <w:noWrap/>
            <w:vAlign w:val="bottom"/>
            <w:hideMark/>
          </w:tcPr>
          <w:p w14:paraId="3657590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10.2</w:t>
            </w:r>
          </w:p>
        </w:tc>
        <w:tc>
          <w:tcPr>
            <w:tcW w:w="785" w:type="dxa"/>
            <w:tcBorders>
              <w:top w:val="nil"/>
              <w:left w:val="nil"/>
              <w:bottom w:val="nil"/>
              <w:right w:val="nil"/>
            </w:tcBorders>
            <w:shd w:val="clear" w:color="auto" w:fill="auto"/>
            <w:noWrap/>
            <w:vAlign w:val="bottom"/>
            <w:hideMark/>
          </w:tcPr>
          <w:p w14:paraId="4FFE306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27.3</w:t>
            </w:r>
          </w:p>
        </w:tc>
        <w:tc>
          <w:tcPr>
            <w:tcW w:w="732" w:type="dxa"/>
            <w:tcBorders>
              <w:top w:val="nil"/>
              <w:left w:val="nil"/>
              <w:bottom w:val="nil"/>
              <w:right w:val="nil"/>
            </w:tcBorders>
            <w:shd w:val="clear" w:color="auto" w:fill="auto"/>
            <w:noWrap/>
            <w:vAlign w:val="bottom"/>
            <w:hideMark/>
          </w:tcPr>
          <w:p w14:paraId="65941D0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99.4</w:t>
            </w:r>
          </w:p>
        </w:tc>
        <w:tc>
          <w:tcPr>
            <w:tcW w:w="860" w:type="dxa"/>
            <w:tcBorders>
              <w:top w:val="nil"/>
              <w:left w:val="nil"/>
              <w:bottom w:val="nil"/>
              <w:right w:val="nil"/>
            </w:tcBorders>
            <w:shd w:val="clear" w:color="auto" w:fill="auto"/>
            <w:noWrap/>
            <w:vAlign w:val="bottom"/>
            <w:hideMark/>
          </w:tcPr>
          <w:p w14:paraId="7E2BBE6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83.0</w:t>
            </w:r>
          </w:p>
        </w:tc>
        <w:tc>
          <w:tcPr>
            <w:tcW w:w="960" w:type="dxa"/>
            <w:tcBorders>
              <w:top w:val="nil"/>
              <w:left w:val="nil"/>
              <w:bottom w:val="nil"/>
              <w:right w:val="nil"/>
            </w:tcBorders>
            <w:shd w:val="clear" w:color="auto" w:fill="auto"/>
            <w:noWrap/>
            <w:vAlign w:val="bottom"/>
            <w:hideMark/>
          </w:tcPr>
          <w:p w14:paraId="6F33B20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15.6</w:t>
            </w:r>
          </w:p>
        </w:tc>
        <w:tc>
          <w:tcPr>
            <w:tcW w:w="689" w:type="dxa"/>
            <w:tcBorders>
              <w:top w:val="nil"/>
              <w:left w:val="nil"/>
              <w:bottom w:val="nil"/>
              <w:right w:val="nil"/>
            </w:tcBorders>
            <w:shd w:val="clear" w:color="auto" w:fill="auto"/>
            <w:noWrap/>
            <w:vAlign w:val="bottom"/>
            <w:hideMark/>
          </w:tcPr>
          <w:p w14:paraId="2D42B80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62.1</w:t>
            </w:r>
          </w:p>
        </w:tc>
        <w:tc>
          <w:tcPr>
            <w:tcW w:w="1000" w:type="dxa"/>
            <w:tcBorders>
              <w:top w:val="nil"/>
              <w:left w:val="nil"/>
              <w:bottom w:val="nil"/>
              <w:right w:val="nil"/>
            </w:tcBorders>
            <w:shd w:val="clear" w:color="auto" w:fill="auto"/>
            <w:noWrap/>
            <w:vAlign w:val="bottom"/>
            <w:hideMark/>
          </w:tcPr>
          <w:p w14:paraId="739B930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138.5</w:t>
            </w:r>
          </w:p>
        </w:tc>
      </w:tr>
      <w:tr w:rsidR="00F26016" w:rsidRPr="00F26016" w14:paraId="14D1499A" w14:textId="77777777" w:rsidTr="00F26016">
        <w:trPr>
          <w:trHeight w:val="300"/>
        </w:trPr>
        <w:tc>
          <w:tcPr>
            <w:tcW w:w="1140" w:type="dxa"/>
            <w:tcBorders>
              <w:top w:val="nil"/>
              <w:left w:val="nil"/>
              <w:bottom w:val="nil"/>
              <w:right w:val="nil"/>
            </w:tcBorders>
            <w:shd w:val="clear" w:color="auto" w:fill="auto"/>
            <w:noWrap/>
            <w:hideMark/>
          </w:tcPr>
          <w:p w14:paraId="4E9A478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79</w:t>
            </w:r>
          </w:p>
        </w:tc>
        <w:tc>
          <w:tcPr>
            <w:tcW w:w="1200" w:type="dxa"/>
            <w:tcBorders>
              <w:top w:val="nil"/>
              <w:left w:val="nil"/>
              <w:bottom w:val="nil"/>
              <w:right w:val="nil"/>
            </w:tcBorders>
            <w:shd w:val="clear" w:color="auto" w:fill="auto"/>
            <w:noWrap/>
            <w:hideMark/>
          </w:tcPr>
          <w:p w14:paraId="0FB6A2F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6C96BBE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6DB3E63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2993762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19290D4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56EF962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4060B1A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588B6EA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48.5</w:t>
            </w:r>
          </w:p>
        </w:tc>
        <w:tc>
          <w:tcPr>
            <w:tcW w:w="920" w:type="dxa"/>
            <w:tcBorders>
              <w:top w:val="nil"/>
              <w:left w:val="nil"/>
              <w:bottom w:val="nil"/>
              <w:right w:val="nil"/>
            </w:tcBorders>
            <w:shd w:val="clear" w:color="auto" w:fill="auto"/>
            <w:noWrap/>
            <w:vAlign w:val="bottom"/>
            <w:hideMark/>
          </w:tcPr>
          <w:p w14:paraId="78214F4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186.9</w:t>
            </w:r>
          </w:p>
        </w:tc>
        <w:tc>
          <w:tcPr>
            <w:tcW w:w="741" w:type="dxa"/>
            <w:tcBorders>
              <w:top w:val="nil"/>
              <w:left w:val="nil"/>
              <w:bottom w:val="nil"/>
              <w:right w:val="nil"/>
            </w:tcBorders>
            <w:shd w:val="clear" w:color="auto" w:fill="auto"/>
            <w:noWrap/>
            <w:vAlign w:val="bottom"/>
            <w:hideMark/>
          </w:tcPr>
          <w:p w14:paraId="30EBBA6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120.9</w:t>
            </w:r>
          </w:p>
        </w:tc>
        <w:tc>
          <w:tcPr>
            <w:tcW w:w="785" w:type="dxa"/>
            <w:tcBorders>
              <w:top w:val="nil"/>
              <w:left w:val="nil"/>
              <w:bottom w:val="nil"/>
              <w:right w:val="nil"/>
            </w:tcBorders>
            <w:shd w:val="clear" w:color="auto" w:fill="auto"/>
            <w:noWrap/>
            <w:vAlign w:val="bottom"/>
            <w:hideMark/>
          </w:tcPr>
          <w:p w14:paraId="5E5BBAD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85.5</w:t>
            </w:r>
          </w:p>
        </w:tc>
        <w:tc>
          <w:tcPr>
            <w:tcW w:w="732" w:type="dxa"/>
            <w:tcBorders>
              <w:top w:val="nil"/>
              <w:left w:val="nil"/>
              <w:bottom w:val="nil"/>
              <w:right w:val="nil"/>
            </w:tcBorders>
            <w:shd w:val="clear" w:color="auto" w:fill="auto"/>
            <w:noWrap/>
            <w:vAlign w:val="bottom"/>
            <w:hideMark/>
          </w:tcPr>
          <w:p w14:paraId="001BC2B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37.1</w:t>
            </w:r>
          </w:p>
        </w:tc>
        <w:tc>
          <w:tcPr>
            <w:tcW w:w="860" w:type="dxa"/>
            <w:tcBorders>
              <w:top w:val="nil"/>
              <w:left w:val="nil"/>
              <w:bottom w:val="nil"/>
              <w:right w:val="nil"/>
            </w:tcBorders>
            <w:shd w:val="clear" w:color="auto" w:fill="auto"/>
            <w:noWrap/>
            <w:vAlign w:val="bottom"/>
            <w:hideMark/>
          </w:tcPr>
          <w:p w14:paraId="440AB76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316.1</w:t>
            </w:r>
          </w:p>
        </w:tc>
        <w:tc>
          <w:tcPr>
            <w:tcW w:w="960" w:type="dxa"/>
            <w:tcBorders>
              <w:top w:val="nil"/>
              <w:left w:val="nil"/>
              <w:bottom w:val="nil"/>
              <w:right w:val="nil"/>
            </w:tcBorders>
            <w:shd w:val="clear" w:color="auto" w:fill="auto"/>
            <w:noWrap/>
            <w:vAlign w:val="bottom"/>
            <w:hideMark/>
          </w:tcPr>
          <w:p w14:paraId="6A2BF0F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82.9</w:t>
            </w:r>
          </w:p>
        </w:tc>
        <w:tc>
          <w:tcPr>
            <w:tcW w:w="689" w:type="dxa"/>
            <w:tcBorders>
              <w:top w:val="nil"/>
              <w:left w:val="nil"/>
              <w:bottom w:val="nil"/>
              <w:right w:val="nil"/>
            </w:tcBorders>
            <w:shd w:val="clear" w:color="auto" w:fill="auto"/>
            <w:noWrap/>
            <w:vAlign w:val="bottom"/>
            <w:hideMark/>
          </w:tcPr>
          <w:p w14:paraId="32C7510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18.9</w:t>
            </w:r>
          </w:p>
        </w:tc>
        <w:tc>
          <w:tcPr>
            <w:tcW w:w="1000" w:type="dxa"/>
            <w:tcBorders>
              <w:top w:val="nil"/>
              <w:left w:val="nil"/>
              <w:bottom w:val="nil"/>
              <w:right w:val="nil"/>
            </w:tcBorders>
            <w:shd w:val="clear" w:color="auto" w:fill="auto"/>
            <w:noWrap/>
            <w:vAlign w:val="bottom"/>
            <w:hideMark/>
          </w:tcPr>
          <w:p w14:paraId="237D311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97.5</w:t>
            </w:r>
          </w:p>
        </w:tc>
      </w:tr>
      <w:tr w:rsidR="00F26016" w:rsidRPr="00F26016" w14:paraId="38B730F2" w14:textId="77777777" w:rsidTr="00F26016">
        <w:trPr>
          <w:trHeight w:val="300"/>
        </w:trPr>
        <w:tc>
          <w:tcPr>
            <w:tcW w:w="1140" w:type="dxa"/>
            <w:tcBorders>
              <w:top w:val="nil"/>
              <w:left w:val="nil"/>
              <w:bottom w:val="nil"/>
              <w:right w:val="nil"/>
            </w:tcBorders>
            <w:shd w:val="clear" w:color="auto" w:fill="auto"/>
            <w:noWrap/>
            <w:hideMark/>
          </w:tcPr>
          <w:p w14:paraId="3C01514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86</w:t>
            </w:r>
          </w:p>
        </w:tc>
        <w:tc>
          <w:tcPr>
            <w:tcW w:w="1200" w:type="dxa"/>
            <w:tcBorders>
              <w:top w:val="nil"/>
              <w:left w:val="nil"/>
              <w:bottom w:val="nil"/>
              <w:right w:val="nil"/>
            </w:tcBorders>
            <w:shd w:val="clear" w:color="auto" w:fill="auto"/>
            <w:noWrap/>
            <w:hideMark/>
          </w:tcPr>
          <w:p w14:paraId="1998748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08BA2C9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694C76E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3579D5D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1E0E01E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1A6C08D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3D9BAE4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18794D3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210.2</w:t>
            </w:r>
          </w:p>
        </w:tc>
        <w:tc>
          <w:tcPr>
            <w:tcW w:w="920" w:type="dxa"/>
            <w:tcBorders>
              <w:top w:val="nil"/>
              <w:left w:val="nil"/>
              <w:bottom w:val="nil"/>
              <w:right w:val="nil"/>
            </w:tcBorders>
            <w:shd w:val="clear" w:color="auto" w:fill="auto"/>
            <w:noWrap/>
            <w:vAlign w:val="bottom"/>
            <w:hideMark/>
          </w:tcPr>
          <w:p w14:paraId="0093B05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27.2</w:t>
            </w:r>
          </w:p>
        </w:tc>
        <w:tc>
          <w:tcPr>
            <w:tcW w:w="741" w:type="dxa"/>
            <w:tcBorders>
              <w:top w:val="nil"/>
              <w:left w:val="nil"/>
              <w:bottom w:val="nil"/>
              <w:right w:val="nil"/>
            </w:tcBorders>
            <w:shd w:val="clear" w:color="auto" w:fill="auto"/>
            <w:noWrap/>
            <w:vAlign w:val="bottom"/>
            <w:hideMark/>
          </w:tcPr>
          <w:p w14:paraId="3CDFC08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33.5</w:t>
            </w:r>
          </w:p>
        </w:tc>
        <w:tc>
          <w:tcPr>
            <w:tcW w:w="785" w:type="dxa"/>
            <w:tcBorders>
              <w:top w:val="nil"/>
              <w:left w:val="nil"/>
              <w:bottom w:val="nil"/>
              <w:right w:val="nil"/>
            </w:tcBorders>
            <w:shd w:val="clear" w:color="auto" w:fill="auto"/>
            <w:noWrap/>
            <w:vAlign w:val="bottom"/>
            <w:hideMark/>
          </w:tcPr>
          <w:p w14:paraId="6EEA089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23.4</w:t>
            </w:r>
          </w:p>
        </w:tc>
        <w:tc>
          <w:tcPr>
            <w:tcW w:w="732" w:type="dxa"/>
            <w:tcBorders>
              <w:top w:val="nil"/>
              <w:left w:val="nil"/>
              <w:bottom w:val="nil"/>
              <w:right w:val="nil"/>
            </w:tcBorders>
            <w:shd w:val="clear" w:color="auto" w:fill="auto"/>
            <w:noWrap/>
            <w:vAlign w:val="bottom"/>
            <w:hideMark/>
          </w:tcPr>
          <w:p w14:paraId="2358260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1100.3</w:t>
            </w:r>
          </w:p>
        </w:tc>
        <w:tc>
          <w:tcPr>
            <w:tcW w:w="860" w:type="dxa"/>
            <w:tcBorders>
              <w:top w:val="nil"/>
              <w:left w:val="nil"/>
              <w:bottom w:val="nil"/>
              <w:right w:val="nil"/>
            </w:tcBorders>
            <w:shd w:val="clear" w:color="auto" w:fill="auto"/>
            <w:noWrap/>
            <w:vAlign w:val="bottom"/>
            <w:hideMark/>
          </w:tcPr>
          <w:p w14:paraId="07B6C12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44.7</w:t>
            </w:r>
          </w:p>
        </w:tc>
        <w:tc>
          <w:tcPr>
            <w:tcW w:w="960" w:type="dxa"/>
            <w:tcBorders>
              <w:top w:val="nil"/>
              <w:left w:val="nil"/>
              <w:bottom w:val="nil"/>
              <w:right w:val="nil"/>
            </w:tcBorders>
            <w:shd w:val="clear" w:color="auto" w:fill="auto"/>
            <w:noWrap/>
            <w:vAlign w:val="bottom"/>
            <w:hideMark/>
          </w:tcPr>
          <w:p w14:paraId="091D491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191.8</w:t>
            </w:r>
          </w:p>
        </w:tc>
        <w:tc>
          <w:tcPr>
            <w:tcW w:w="689" w:type="dxa"/>
            <w:tcBorders>
              <w:top w:val="nil"/>
              <w:left w:val="nil"/>
              <w:bottom w:val="nil"/>
              <w:right w:val="nil"/>
            </w:tcBorders>
            <w:shd w:val="clear" w:color="auto" w:fill="auto"/>
            <w:noWrap/>
            <w:vAlign w:val="bottom"/>
            <w:hideMark/>
          </w:tcPr>
          <w:p w14:paraId="4388DEB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280.4</w:t>
            </w:r>
          </w:p>
        </w:tc>
        <w:tc>
          <w:tcPr>
            <w:tcW w:w="1000" w:type="dxa"/>
            <w:tcBorders>
              <w:top w:val="nil"/>
              <w:left w:val="nil"/>
              <w:bottom w:val="nil"/>
              <w:right w:val="nil"/>
            </w:tcBorders>
            <w:shd w:val="clear" w:color="auto" w:fill="auto"/>
            <w:noWrap/>
            <w:vAlign w:val="bottom"/>
            <w:hideMark/>
          </w:tcPr>
          <w:p w14:paraId="74D55F5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210.2</w:t>
            </w:r>
          </w:p>
        </w:tc>
      </w:tr>
      <w:tr w:rsidR="00F26016" w:rsidRPr="00F26016" w14:paraId="78DB1DD7" w14:textId="77777777" w:rsidTr="00F26016">
        <w:trPr>
          <w:trHeight w:val="300"/>
        </w:trPr>
        <w:tc>
          <w:tcPr>
            <w:tcW w:w="1140" w:type="dxa"/>
            <w:tcBorders>
              <w:top w:val="nil"/>
              <w:left w:val="nil"/>
              <w:bottom w:val="nil"/>
              <w:right w:val="nil"/>
            </w:tcBorders>
            <w:shd w:val="clear" w:color="auto" w:fill="auto"/>
            <w:noWrap/>
            <w:hideMark/>
          </w:tcPr>
          <w:p w14:paraId="66DD917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86</w:t>
            </w:r>
          </w:p>
        </w:tc>
        <w:tc>
          <w:tcPr>
            <w:tcW w:w="1200" w:type="dxa"/>
            <w:tcBorders>
              <w:top w:val="nil"/>
              <w:left w:val="nil"/>
              <w:bottom w:val="nil"/>
              <w:right w:val="nil"/>
            </w:tcBorders>
            <w:shd w:val="clear" w:color="auto" w:fill="auto"/>
            <w:noWrap/>
            <w:hideMark/>
          </w:tcPr>
          <w:p w14:paraId="5D23B05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3D3004F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763A728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3B47C0B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4AB8FE1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35F817B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09B18D4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7B85F4E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11.8</w:t>
            </w:r>
          </w:p>
        </w:tc>
        <w:tc>
          <w:tcPr>
            <w:tcW w:w="920" w:type="dxa"/>
            <w:tcBorders>
              <w:top w:val="nil"/>
              <w:left w:val="nil"/>
              <w:bottom w:val="nil"/>
              <w:right w:val="nil"/>
            </w:tcBorders>
            <w:shd w:val="clear" w:color="auto" w:fill="auto"/>
            <w:noWrap/>
            <w:vAlign w:val="bottom"/>
            <w:hideMark/>
          </w:tcPr>
          <w:p w14:paraId="5D10EB0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8.9</w:t>
            </w:r>
          </w:p>
        </w:tc>
        <w:tc>
          <w:tcPr>
            <w:tcW w:w="741" w:type="dxa"/>
            <w:tcBorders>
              <w:top w:val="nil"/>
              <w:left w:val="nil"/>
              <w:bottom w:val="nil"/>
              <w:right w:val="nil"/>
            </w:tcBorders>
            <w:shd w:val="clear" w:color="auto" w:fill="auto"/>
            <w:noWrap/>
            <w:vAlign w:val="bottom"/>
            <w:hideMark/>
          </w:tcPr>
          <w:p w14:paraId="6D16474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10.7</w:t>
            </w:r>
          </w:p>
        </w:tc>
        <w:tc>
          <w:tcPr>
            <w:tcW w:w="785" w:type="dxa"/>
            <w:tcBorders>
              <w:top w:val="nil"/>
              <w:left w:val="nil"/>
              <w:bottom w:val="nil"/>
              <w:right w:val="nil"/>
            </w:tcBorders>
            <w:shd w:val="clear" w:color="auto" w:fill="auto"/>
            <w:noWrap/>
            <w:vAlign w:val="bottom"/>
            <w:hideMark/>
          </w:tcPr>
          <w:p w14:paraId="0AB9952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27.3</w:t>
            </w:r>
          </w:p>
        </w:tc>
        <w:tc>
          <w:tcPr>
            <w:tcW w:w="732" w:type="dxa"/>
            <w:tcBorders>
              <w:top w:val="nil"/>
              <w:left w:val="nil"/>
              <w:bottom w:val="nil"/>
              <w:right w:val="nil"/>
            </w:tcBorders>
            <w:shd w:val="clear" w:color="auto" w:fill="auto"/>
            <w:noWrap/>
            <w:vAlign w:val="bottom"/>
            <w:hideMark/>
          </w:tcPr>
          <w:p w14:paraId="0C9B1C7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66.6</w:t>
            </w:r>
          </w:p>
        </w:tc>
        <w:tc>
          <w:tcPr>
            <w:tcW w:w="860" w:type="dxa"/>
            <w:tcBorders>
              <w:top w:val="nil"/>
              <w:left w:val="nil"/>
              <w:bottom w:val="nil"/>
              <w:right w:val="nil"/>
            </w:tcBorders>
            <w:shd w:val="clear" w:color="auto" w:fill="auto"/>
            <w:noWrap/>
            <w:vAlign w:val="bottom"/>
            <w:hideMark/>
          </w:tcPr>
          <w:p w14:paraId="35A0807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14.4</w:t>
            </w:r>
          </w:p>
        </w:tc>
        <w:tc>
          <w:tcPr>
            <w:tcW w:w="960" w:type="dxa"/>
            <w:tcBorders>
              <w:top w:val="nil"/>
              <w:left w:val="nil"/>
              <w:bottom w:val="nil"/>
              <w:right w:val="nil"/>
            </w:tcBorders>
            <w:shd w:val="clear" w:color="auto" w:fill="auto"/>
            <w:noWrap/>
            <w:vAlign w:val="bottom"/>
            <w:hideMark/>
          </w:tcPr>
          <w:p w14:paraId="696C15C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51.8</w:t>
            </w:r>
          </w:p>
        </w:tc>
        <w:tc>
          <w:tcPr>
            <w:tcW w:w="689" w:type="dxa"/>
            <w:tcBorders>
              <w:top w:val="nil"/>
              <w:left w:val="nil"/>
              <w:bottom w:val="nil"/>
              <w:right w:val="nil"/>
            </w:tcBorders>
            <w:shd w:val="clear" w:color="auto" w:fill="auto"/>
            <w:noWrap/>
            <w:vAlign w:val="bottom"/>
            <w:hideMark/>
          </w:tcPr>
          <w:p w14:paraId="728CBCB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507.3</w:t>
            </w:r>
          </w:p>
        </w:tc>
        <w:tc>
          <w:tcPr>
            <w:tcW w:w="1000" w:type="dxa"/>
            <w:tcBorders>
              <w:top w:val="nil"/>
              <w:left w:val="nil"/>
              <w:bottom w:val="nil"/>
              <w:right w:val="nil"/>
            </w:tcBorders>
            <w:shd w:val="clear" w:color="auto" w:fill="auto"/>
            <w:noWrap/>
            <w:vAlign w:val="bottom"/>
            <w:hideMark/>
          </w:tcPr>
          <w:p w14:paraId="1C30027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134.9</w:t>
            </w:r>
          </w:p>
        </w:tc>
      </w:tr>
      <w:tr w:rsidR="00F26016" w:rsidRPr="00F26016" w14:paraId="1D8B163E" w14:textId="77777777" w:rsidTr="00F26016">
        <w:trPr>
          <w:trHeight w:val="300"/>
        </w:trPr>
        <w:tc>
          <w:tcPr>
            <w:tcW w:w="1140" w:type="dxa"/>
            <w:tcBorders>
              <w:top w:val="nil"/>
              <w:left w:val="nil"/>
              <w:bottom w:val="nil"/>
              <w:right w:val="nil"/>
            </w:tcBorders>
            <w:shd w:val="clear" w:color="auto" w:fill="auto"/>
            <w:noWrap/>
            <w:hideMark/>
          </w:tcPr>
          <w:p w14:paraId="0914AB0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86</w:t>
            </w:r>
          </w:p>
        </w:tc>
        <w:tc>
          <w:tcPr>
            <w:tcW w:w="1200" w:type="dxa"/>
            <w:tcBorders>
              <w:top w:val="nil"/>
              <w:left w:val="nil"/>
              <w:bottom w:val="nil"/>
              <w:right w:val="nil"/>
            </w:tcBorders>
            <w:shd w:val="clear" w:color="auto" w:fill="auto"/>
            <w:noWrap/>
            <w:hideMark/>
          </w:tcPr>
          <w:p w14:paraId="78F30BE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1F1D8D1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4BBB81D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73716CB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6165D27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1A47516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3D09DAA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3E15AEB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99.8</w:t>
            </w:r>
          </w:p>
        </w:tc>
        <w:tc>
          <w:tcPr>
            <w:tcW w:w="920" w:type="dxa"/>
            <w:tcBorders>
              <w:top w:val="nil"/>
              <w:left w:val="nil"/>
              <w:bottom w:val="nil"/>
              <w:right w:val="nil"/>
            </w:tcBorders>
            <w:shd w:val="clear" w:color="auto" w:fill="auto"/>
            <w:noWrap/>
            <w:vAlign w:val="bottom"/>
            <w:hideMark/>
          </w:tcPr>
          <w:p w14:paraId="60DC032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29.6</w:t>
            </w:r>
          </w:p>
        </w:tc>
        <w:tc>
          <w:tcPr>
            <w:tcW w:w="741" w:type="dxa"/>
            <w:tcBorders>
              <w:top w:val="nil"/>
              <w:left w:val="nil"/>
              <w:bottom w:val="nil"/>
              <w:right w:val="nil"/>
            </w:tcBorders>
            <w:shd w:val="clear" w:color="auto" w:fill="auto"/>
            <w:noWrap/>
            <w:vAlign w:val="bottom"/>
            <w:hideMark/>
          </w:tcPr>
          <w:p w14:paraId="7372189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244.9</w:t>
            </w:r>
          </w:p>
        </w:tc>
        <w:tc>
          <w:tcPr>
            <w:tcW w:w="785" w:type="dxa"/>
            <w:tcBorders>
              <w:top w:val="nil"/>
              <w:left w:val="nil"/>
              <w:bottom w:val="nil"/>
              <w:right w:val="nil"/>
            </w:tcBorders>
            <w:shd w:val="clear" w:color="auto" w:fill="auto"/>
            <w:noWrap/>
            <w:vAlign w:val="bottom"/>
            <w:hideMark/>
          </w:tcPr>
          <w:p w14:paraId="7B25DA0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179.7</w:t>
            </w:r>
          </w:p>
        </w:tc>
        <w:tc>
          <w:tcPr>
            <w:tcW w:w="732" w:type="dxa"/>
            <w:tcBorders>
              <w:top w:val="nil"/>
              <w:left w:val="nil"/>
              <w:bottom w:val="nil"/>
              <w:right w:val="nil"/>
            </w:tcBorders>
            <w:shd w:val="clear" w:color="auto" w:fill="auto"/>
            <w:noWrap/>
            <w:vAlign w:val="bottom"/>
            <w:hideMark/>
          </w:tcPr>
          <w:p w14:paraId="762B215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220.4</w:t>
            </w:r>
          </w:p>
        </w:tc>
        <w:tc>
          <w:tcPr>
            <w:tcW w:w="860" w:type="dxa"/>
            <w:tcBorders>
              <w:top w:val="nil"/>
              <w:left w:val="nil"/>
              <w:bottom w:val="nil"/>
              <w:right w:val="nil"/>
            </w:tcBorders>
            <w:shd w:val="clear" w:color="auto" w:fill="auto"/>
            <w:noWrap/>
            <w:vAlign w:val="bottom"/>
            <w:hideMark/>
          </w:tcPr>
          <w:p w14:paraId="6FAA700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114.5</w:t>
            </w:r>
          </w:p>
        </w:tc>
        <w:tc>
          <w:tcPr>
            <w:tcW w:w="960" w:type="dxa"/>
            <w:tcBorders>
              <w:top w:val="nil"/>
              <w:left w:val="nil"/>
              <w:bottom w:val="nil"/>
              <w:right w:val="nil"/>
            </w:tcBorders>
            <w:shd w:val="clear" w:color="auto" w:fill="auto"/>
            <w:noWrap/>
            <w:vAlign w:val="bottom"/>
            <w:hideMark/>
          </w:tcPr>
          <w:p w14:paraId="7899892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374.8</w:t>
            </w:r>
          </w:p>
        </w:tc>
        <w:tc>
          <w:tcPr>
            <w:tcW w:w="689" w:type="dxa"/>
            <w:tcBorders>
              <w:top w:val="nil"/>
              <w:left w:val="nil"/>
              <w:bottom w:val="nil"/>
              <w:right w:val="nil"/>
            </w:tcBorders>
            <w:shd w:val="clear" w:color="auto" w:fill="auto"/>
            <w:noWrap/>
            <w:vAlign w:val="bottom"/>
            <w:hideMark/>
          </w:tcPr>
          <w:p w14:paraId="352F5C5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994.3</w:t>
            </w:r>
          </w:p>
        </w:tc>
        <w:tc>
          <w:tcPr>
            <w:tcW w:w="1000" w:type="dxa"/>
            <w:tcBorders>
              <w:top w:val="nil"/>
              <w:left w:val="nil"/>
              <w:bottom w:val="nil"/>
              <w:right w:val="nil"/>
            </w:tcBorders>
            <w:shd w:val="clear" w:color="auto" w:fill="auto"/>
            <w:noWrap/>
            <w:vAlign w:val="bottom"/>
            <w:hideMark/>
          </w:tcPr>
          <w:p w14:paraId="74F6078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127.3</w:t>
            </w:r>
          </w:p>
        </w:tc>
      </w:tr>
      <w:tr w:rsidR="00F26016" w:rsidRPr="00F26016" w14:paraId="45766301" w14:textId="77777777" w:rsidTr="00F26016">
        <w:trPr>
          <w:trHeight w:val="300"/>
        </w:trPr>
        <w:tc>
          <w:tcPr>
            <w:tcW w:w="1140" w:type="dxa"/>
            <w:tcBorders>
              <w:top w:val="nil"/>
              <w:left w:val="nil"/>
              <w:bottom w:val="nil"/>
              <w:right w:val="nil"/>
            </w:tcBorders>
            <w:shd w:val="clear" w:color="auto" w:fill="auto"/>
            <w:noWrap/>
            <w:hideMark/>
          </w:tcPr>
          <w:p w14:paraId="7BE1007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90</w:t>
            </w:r>
          </w:p>
        </w:tc>
        <w:tc>
          <w:tcPr>
            <w:tcW w:w="1200" w:type="dxa"/>
            <w:tcBorders>
              <w:top w:val="nil"/>
              <w:left w:val="nil"/>
              <w:bottom w:val="nil"/>
              <w:right w:val="nil"/>
            </w:tcBorders>
            <w:shd w:val="clear" w:color="auto" w:fill="auto"/>
            <w:noWrap/>
            <w:hideMark/>
          </w:tcPr>
          <w:p w14:paraId="01DCD5E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10073A7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005AB38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32A56F9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0FB8081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221B671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104DFC0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1ACA4DE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23.3</w:t>
            </w:r>
          </w:p>
        </w:tc>
        <w:tc>
          <w:tcPr>
            <w:tcW w:w="920" w:type="dxa"/>
            <w:tcBorders>
              <w:top w:val="nil"/>
              <w:left w:val="nil"/>
              <w:bottom w:val="nil"/>
              <w:right w:val="nil"/>
            </w:tcBorders>
            <w:shd w:val="clear" w:color="auto" w:fill="auto"/>
            <w:noWrap/>
            <w:vAlign w:val="bottom"/>
            <w:hideMark/>
          </w:tcPr>
          <w:p w14:paraId="5E1B0A4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741" w:type="dxa"/>
            <w:tcBorders>
              <w:top w:val="nil"/>
              <w:left w:val="nil"/>
              <w:bottom w:val="nil"/>
              <w:right w:val="nil"/>
            </w:tcBorders>
            <w:shd w:val="clear" w:color="auto" w:fill="auto"/>
            <w:noWrap/>
            <w:vAlign w:val="bottom"/>
            <w:hideMark/>
          </w:tcPr>
          <w:p w14:paraId="4E65451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22.7</w:t>
            </w:r>
          </w:p>
        </w:tc>
        <w:tc>
          <w:tcPr>
            <w:tcW w:w="785" w:type="dxa"/>
            <w:tcBorders>
              <w:top w:val="nil"/>
              <w:left w:val="nil"/>
              <w:bottom w:val="nil"/>
              <w:right w:val="nil"/>
            </w:tcBorders>
            <w:shd w:val="clear" w:color="auto" w:fill="auto"/>
            <w:noWrap/>
            <w:vAlign w:val="bottom"/>
            <w:hideMark/>
          </w:tcPr>
          <w:p w14:paraId="1E1774C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16.6</w:t>
            </w:r>
          </w:p>
        </w:tc>
        <w:tc>
          <w:tcPr>
            <w:tcW w:w="732" w:type="dxa"/>
            <w:tcBorders>
              <w:top w:val="nil"/>
              <w:left w:val="nil"/>
              <w:bottom w:val="nil"/>
              <w:right w:val="nil"/>
            </w:tcBorders>
            <w:shd w:val="clear" w:color="auto" w:fill="auto"/>
            <w:noWrap/>
            <w:vAlign w:val="bottom"/>
            <w:hideMark/>
          </w:tcPr>
          <w:p w14:paraId="04E76A0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206.1</w:t>
            </w:r>
          </w:p>
        </w:tc>
        <w:tc>
          <w:tcPr>
            <w:tcW w:w="860" w:type="dxa"/>
            <w:tcBorders>
              <w:top w:val="nil"/>
              <w:left w:val="nil"/>
              <w:bottom w:val="nil"/>
              <w:right w:val="nil"/>
            </w:tcBorders>
            <w:shd w:val="clear" w:color="auto" w:fill="auto"/>
            <w:noWrap/>
            <w:vAlign w:val="bottom"/>
            <w:hideMark/>
          </w:tcPr>
          <w:p w14:paraId="3CDA8A4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15.9</w:t>
            </w:r>
          </w:p>
        </w:tc>
        <w:tc>
          <w:tcPr>
            <w:tcW w:w="960" w:type="dxa"/>
            <w:tcBorders>
              <w:top w:val="nil"/>
              <w:left w:val="nil"/>
              <w:bottom w:val="nil"/>
              <w:right w:val="nil"/>
            </w:tcBorders>
            <w:shd w:val="clear" w:color="auto" w:fill="auto"/>
            <w:noWrap/>
            <w:vAlign w:val="bottom"/>
            <w:hideMark/>
          </w:tcPr>
          <w:p w14:paraId="26F8489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78.6</w:t>
            </w:r>
          </w:p>
        </w:tc>
        <w:tc>
          <w:tcPr>
            <w:tcW w:w="689" w:type="dxa"/>
            <w:tcBorders>
              <w:top w:val="nil"/>
              <w:left w:val="nil"/>
              <w:bottom w:val="nil"/>
              <w:right w:val="nil"/>
            </w:tcBorders>
            <w:shd w:val="clear" w:color="auto" w:fill="auto"/>
            <w:noWrap/>
            <w:vAlign w:val="bottom"/>
            <w:hideMark/>
          </w:tcPr>
          <w:p w14:paraId="1E05D7E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38.2</w:t>
            </w:r>
          </w:p>
        </w:tc>
        <w:tc>
          <w:tcPr>
            <w:tcW w:w="1000" w:type="dxa"/>
            <w:tcBorders>
              <w:top w:val="nil"/>
              <w:left w:val="nil"/>
              <w:bottom w:val="nil"/>
              <w:right w:val="nil"/>
            </w:tcBorders>
            <w:shd w:val="clear" w:color="auto" w:fill="auto"/>
            <w:noWrap/>
            <w:vAlign w:val="bottom"/>
            <w:hideMark/>
          </w:tcPr>
          <w:p w14:paraId="61383C8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209.8</w:t>
            </w:r>
          </w:p>
        </w:tc>
      </w:tr>
      <w:tr w:rsidR="00F26016" w:rsidRPr="00F26016" w14:paraId="04732651" w14:textId="77777777" w:rsidTr="00F26016">
        <w:trPr>
          <w:trHeight w:val="300"/>
        </w:trPr>
        <w:tc>
          <w:tcPr>
            <w:tcW w:w="1140" w:type="dxa"/>
            <w:tcBorders>
              <w:top w:val="nil"/>
              <w:left w:val="nil"/>
              <w:bottom w:val="nil"/>
              <w:right w:val="nil"/>
            </w:tcBorders>
            <w:shd w:val="clear" w:color="auto" w:fill="auto"/>
            <w:noWrap/>
            <w:hideMark/>
          </w:tcPr>
          <w:p w14:paraId="69C0E90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90</w:t>
            </w:r>
          </w:p>
        </w:tc>
        <w:tc>
          <w:tcPr>
            <w:tcW w:w="1200" w:type="dxa"/>
            <w:tcBorders>
              <w:top w:val="nil"/>
              <w:left w:val="nil"/>
              <w:bottom w:val="nil"/>
              <w:right w:val="nil"/>
            </w:tcBorders>
            <w:shd w:val="clear" w:color="auto" w:fill="auto"/>
            <w:noWrap/>
            <w:hideMark/>
          </w:tcPr>
          <w:p w14:paraId="28B9100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5EA7DB5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6897794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16150B6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40639AD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48378F2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167AD63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0178745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7.9</w:t>
            </w:r>
          </w:p>
        </w:tc>
        <w:tc>
          <w:tcPr>
            <w:tcW w:w="920" w:type="dxa"/>
            <w:tcBorders>
              <w:top w:val="nil"/>
              <w:left w:val="nil"/>
              <w:bottom w:val="nil"/>
              <w:right w:val="nil"/>
            </w:tcBorders>
            <w:shd w:val="clear" w:color="auto" w:fill="auto"/>
            <w:noWrap/>
            <w:vAlign w:val="bottom"/>
            <w:hideMark/>
          </w:tcPr>
          <w:p w14:paraId="0513F33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18.2</w:t>
            </w:r>
          </w:p>
        </w:tc>
        <w:tc>
          <w:tcPr>
            <w:tcW w:w="741" w:type="dxa"/>
            <w:tcBorders>
              <w:top w:val="nil"/>
              <w:left w:val="nil"/>
              <w:bottom w:val="nil"/>
              <w:right w:val="nil"/>
            </w:tcBorders>
            <w:shd w:val="clear" w:color="auto" w:fill="auto"/>
            <w:noWrap/>
            <w:vAlign w:val="bottom"/>
            <w:hideMark/>
          </w:tcPr>
          <w:p w14:paraId="6966550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6.4</w:t>
            </w:r>
          </w:p>
        </w:tc>
        <w:tc>
          <w:tcPr>
            <w:tcW w:w="785" w:type="dxa"/>
            <w:tcBorders>
              <w:top w:val="nil"/>
              <w:left w:val="nil"/>
              <w:bottom w:val="nil"/>
              <w:right w:val="nil"/>
            </w:tcBorders>
            <w:shd w:val="clear" w:color="auto" w:fill="auto"/>
            <w:noWrap/>
            <w:vAlign w:val="bottom"/>
            <w:hideMark/>
          </w:tcPr>
          <w:p w14:paraId="15D7EC6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18.7</w:t>
            </w:r>
          </w:p>
        </w:tc>
        <w:tc>
          <w:tcPr>
            <w:tcW w:w="732" w:type="dxa"/>
            <w:tcBorders>
              <w:top w:val="nil"/>
              <w:left w:val="nil"/>
              <w:bottom w:val="nil"/>
              <w:right w:val="nil"/>
            </w:tcBorders>
            <w:shd w:val="clear" w:color="auto" w:fill="auto"/>
            <w:noWrap/>
            <w:vAlign w:val="bottom"/>
            <w:hideMark/>
          </w:tcPr>
          <w:p w14:paraId="1794E84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86.5</w:t>
            </w:r>
          </w:p>
        </w:tc>
        <w:tc>
          <w:tcPr>
            <w:tcW w:w="860" w:type="dxa"/>
            <w:tcBorders>
              <w:top w:val="nil"/>
              <w:left w:val="nil"/>
              <w:bottom w:val="nil"/>
              <w:right w:val="nil"/>
            </w:tcBorders>
            <w:shd w:val="clear" w:color="auto" w:fill="auto"/>
            <w:noWrap/>
            <w:vAlign w:val="bottom"/>
            <w:hideMark/>
          </w:tcPr>
          <w:p w14:paraId="469F18B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13.5</w:t>
            </w:r>
          </w:p>
        </w:tc>
        <w:tc>
          <w:tcPr>
            <w:tcW w:w="960" w:type="dxa"/>
            <w:tcBorders>
              <w:top w:val="nil"/>
              <w:left w:val="nil"/>
              <w:bottom w:val="nil"/>
              <w:right w:val="nil"/>
            </w:tcBorders>
            <w:shd w:val="clear" w:color="auto" w:fill="auto"/>
            <w:noWrap/>
            <w:vAlign w:val="bottom"/>
            <w:hideMark/>
          </w:tcPr>
          <w:p w14:paraId="6083540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33.9</w:t>
            </w:r>
          </w:p>
        </w:tc>
        <w:tc>
          <w:tcPr>
            <w:tcW w:w="689" w:type="dxa"/>
            <w:tcBorders>
              <w:top w:val="nil"/>
              <w:left w:val="nil"/>
              <w:bottom w:val="nil"/>
              <w:right w:val="nil"/>
            </w:tcBorders>
            <w:shd w:val="clear" w:color="auto" w:fill="auto"/>
            <w:noWrap/>
            <w:vAlign w:val="bottom"/>
            <w:hideMark/>
          </w:tcPr>
          <w:p w14:paraId="293AA76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168.6</w:t>
            </w:r>
          </w:p>
        </w:tc>
        <w:tc>
          <w:tcPr>
            <w:tcW w:w="1000" w:type="dxa"/>
            <w:tcBorders>
              <w:top w:val="nil"/>
              <w:left w:val="nil"/>
              <w:bottom w:val="nil"/>
              <w:right w:val="nil"/>
            </w:tcBorders>
            <w:shd w:val="clear" w:color="auto" w:fill="auto"/>
            <w:noWrap/>
            <w:vAlign w:val="bottom"/>
            <w:hideMark/>
          </w:tcPr>
          <w:p w14:paraId="4A3593C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127.7</w:t>
            </w:r>
          </w:p>
        </w:tc>
      </w:tr>
      <w:tr w:rsidR="00F26016" w:rsidRPr="00F26016" w14:paraId="6F0255E5" w14:textId="77777777" w:rsidTr="00F26016">
        <w:trPr>
          <w:trHeight w:val="300"/>
        </w:trPr>
        <w:tc>
          <w:tcPr>
            <w:tcW w:w="1140" w:type="dxa"/>
            <w:tcBorders>
              <w:top w:val="nil"/>
              <w:left w:val="nil"/>
              <w:bottom w:val="nil"/>
              <w:right w:val="nil"/>
            </w:tcBorders>
            <w:shd w:val="clear" w:color="auto" w:fill="auto"/>
            <w:noWrap/>
            <w:hideMark/>
          </w:tcPr>
          <w:p w14:paraId="5091AFE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90</w:t>
            </w:r>
          </w:p>
        </w:tc>
        <w:tc>
          <w:tcPr>
            <w:tcW w:w="1200" w:type="dxa"/>
            <w:tcBorders>
              <w:top w:val="nil"/>
              <w:left w:val="nil"/>
              <w:bottom w:val="nil"/>
              <w:right w:val="nil"/>
            </w:tcBorders>
            <w:shd w:val="clear" w:color="auto" w:fill="auto"/>
            <w:noWrap/>
            <w:hideMark/>
          </w:tcPr>
          <w:p w14:paraId="0016909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7CB55F2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5510F9E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0750993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3A13B67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214ADB8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4FD39E2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04674A8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35.7</w:t>
            </w:r>
          </w:p>
        </w:tc>
        <w:tc>
          <w:tcPr>
            <w:tcW w:w="920" w:type="dxa"/>
            <w:tcBorders>
              <w:top w:val="nil"/>
              <w:left w:val="nil"/>
              <w:bottom w:val="nil"/>
              <w:right w:val="nil"/>
            </w:tcBorders>
            <w:shd w:val="clear" w:color="auto" w:fill="auto"/>
            <w:noWrap/>
            <w:vAlign w:val="bottom"/>
            <w:hideMark/>
          </w:tcPr>
          <w:p w14:paraId="09A23F3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57.7</w:t>
            </w:r>
          </w:p>
        </w:tc>
        <w:tc>
          <w:tcPr>
            <w:tcW w:w="741" w:type="dxa"/>
            <w:tcBorders>
              <w:top w:val="nil"/>
              <w:left w:val="nil"/>
              <w:bottom w:val="nil"/>
              <w:right w:val="nil"/>
            </w:tcBorders>
            <w:shd w:val="clear" w:color="auto" w:fill="auto"/>
            <w:noWrap/>
            <w:vAlign w:val="bottom"/>
            <w:hideMark/>
          </w:tcPr>
          <w:p w14:paraId="3060AAC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178.4</w:t>
            </w:r>
          </w:p>
        </w:tc>
        <w:tc>
          <w:tcPr>
            <w:tcW w:w="785" w:type="dxa"/>
            <w:tcBorders>
              <w:top w:val="nil"/>
              <w:left w:val="nil"/>
              <w:bottom w:val="nil"/>
              <w:right w:val="nil"/>
            </w:tcBorders>
            <w:shd w:val="clear" w:color="auto" w:fill="auto"/>
            <w:noWrap/>
            <w:vAlign w:val="bottom"/>
            <w:hideMark/>
          </w:tcPr>
          <w:p w14:paraId="07836C4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136.0</w:t>
            </w:r>
          </w:p>
        </w:tc>
        <w:tc>
          <w:tcPr>
            <w:tcW w:w="732" w:type="dxa"/>
            <w:tcBorders>
              <w:top w:val="nil"/>
              <w:left w:val="nil"/>
              <w:bottom w:val="nil"/>
              <w:right w:val="nil"/>
            </w:tcBorders>
            <w:shd w:val="clear" w:color="auto" w:fill="auto"/>
            <w:noWrap/>
            <w:vAlign w:val="bottom"/>
            <w:hideMark/>
          </w:tcPr>
          <w:p w14:paraId="57DEBD0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204.4</w:t>
            </w:r>
          </w:p>
        </w:tc>
        <w:tc>
          <w:tcPr>
            <w:tcW w:w="860" w:type="dxa"/>
            <w:tcBorders>
              <w:top w:val="nil"/>
              <w:left w:val="nil"/>
              <w:bottom w:val="nil"/>
              <w:right w:val="nil"/>
            </w:tcBorders>
            <w:shd w:val="clear" w:color="auto" w:fill="auto"/>
            <w:noWrap/>
            <w:vAlign w:val="bottom"/>
            <w:hideMark/>
          </w:tcPr>
          <w:p w14:paraId="1706CDC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72.5</w:t>
            </w:r>
          </w:p>
        </w:tc>
        <w:tc>
          <w:tcPr>
            <w:tcW w:w="960" w:type="dxa"/>
            <w:tcBorders>
              <w:top w:val="nil"/>
              <w:left w:val="nil"/>
              <w:bottom w:val="nil"/>
              <w:right w:val="nil"/>
            </w:tcBorders>
            <w:shd w:val="clear" w:color="auto" w:fill="auto"/>
            <w:noWrap/>
            <w:vAlign w:val="bottom"/>
            <w:hideMark/>
          </w:tcPr>
          <w:p w14:paraId="7B11E88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206.9</w:t>
            </w:r>
          </w:p>
        </w:tc>
        <w:tc>
          <w:tcPr>
            <w:tcW w:w="689" w:type="dxa"/>
            <w:tcBorders>
              <w:top w:val="nil"/>
              <w:left w:val="nil"/>
              <w:bottom w:val="nil"/>
              <w:right w:val="nil"/>
            </w:tcBorders>
            <w:shd w:val="clear" w:color="auto" w:fill="auto"/>
            <w:noWrap/>
            <w:vAlign w:val="bottom"/>
            <w:hideMark/>
          </w:tcPr>
          <w:p w14:paraId="791309B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207.4</w:t>
            </w:r>
          </w:p>
        </w:tc>
        <w:tc>
          <w:tcPr>
            <w:tcW w:w="1000" w:type="dxa"/>
            <w:tcBorders>
              <w:top w:val="nil"/>
              <w:left w:val="nil"/>
              <w:bottom w:val="nil"/>
              <w:right w:val="nil"/>
            </w:tcBorders>
            <w:shd w:val="clear" w:color="auto" w:fill="auto"/>
            <w:noWrap/>
            <w:vAlign w:val="bottom"/>
            <w:hideMark/>
          </w:tcPr>
          <w:p w14:paraId="6A69919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125.1</w:t>
            </w:r>
          </w:p>
        </w:tc>
      </w:tr>
      <w:tr w:rsidR="00F26016" w:rsidRPr="00F26016" w14:paraId="6C2CC1BC" w14:textId="77777777" w:rsidTr="00F26016">
        <w:trPr>
          <w:trHeight w:val="300"/>
        </w:trPr>
        <w:tc>
          <w:tcPr>
            <w:tcW w:w="1140" w:type="dxa"/>
            <w:tcBorders>
              <w:top w:val="nil"/>
              <w:left w:val="nil"/>
              <w:bottom w:val="nil"/>
              <w:right w:val="nil"/>
            </w:tcBorders>
            <w:shd w:val="clear" w:color="auto" w:fill="auto"/>
            <w:noWrap/>
            <w:hideMark/>
          </w:tcPr>
          <w:p w14:paraId="47A6137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91</w:t>
            </w:r>
          </w:p>
        </w:tc>
        <w:tc>
          <w:tcPr>
            <w:tcW w:w="1200" w:type="dxa"/>
            <w:tcBorders>
              <w:top w:val="nil"/>
              <w:left w:val="nil"/>
              <w:bottom w:val="nil"/>
              <w:right w:val="nil"/>
            </w:tcBorders>
            <w:shd w:val="clear" w:color="auto" w:fill="auto"/>
            <w:noWrap/>
            <w:hideMark/>
          </w:tcPr>
          <w:p w14:paraId="4944F3E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754E9A1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63798F9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4987433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652B66C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4D11F40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44CB51F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471424A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47.3</w:t>
            </w:r>
          </w:p>
        </w:tc>
        <w:tc>
          <w:tcPr>
            <w:tcW w:w="920" w:type="dxa"/>
            <w:tcBorders>
              <w:top w:val="nil"/>
              <w:left w:val="nil"/>
              <w:bottom w:val="nil"/>
              <w:right w:val="nil"/>
            </w:tcBorders>
            <w:shd w:val="clear" w:color="auto" w:fill="auto"/>
            <w:noWrap/>
            <w:vAlign w:val="bottom"/>
            <w:hideMark/>
          </w:tcPr>
          <w:p w14:paraId="6ACF162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11.6</w:t>
            </w:r>
          </w:p>
        </w:tc>
        <w:tc>
          <w:tcPr>
            <w:tcW w:w="741" w:type="dxa"/>
            <w:tcBorders>
              <w:top w:val="nil"/>
              <w:left w:val="nil"/>
              <w:bottom w:val="nil"/>
              <w:right w:val="nil"/>
            </w:tcBorders>
            <w:shd w:val="clear" w:color="auto" w:fill="auto"/>
            <w:noWrap/>
            <w:vAlign w:val="bottom"/>
            <w:hideMark/>
          </w:tcPr>
          <w:p w14:paraId="259196D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27.4</w:t>
            </w:r>
          </w:p>
        </w:tc>
        <w:tc>
          <w:tcPr>
            <w:tcW w:w="785" w:type="dxa"/>
            <w:tcBorders>
              <w:top w:val="nil"/>
              <w:left w:val="nil"/>
              <w:bottom w:val="nil"/>
              <w:right w:val="nil"/>
            </w:tcBorders>
            <w:shd w:val="clear" w:color="auto" w:fill="auto"/>
            <w:noWrap/>
            <w:vAlign w:val="bottom"/>
            <w:hideMark/>
          </w:tcPr>
          <w:p w14:paraId="5D5439E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23.9</w:t>
            </w:r>
          </w:p>
        </w:tc>
        <w:tc>
          <w:tcPr>
            <w:tcW w:w="732" w:type="dxa"/>
            <w:tcBorders>
              <w:top w:val="nil"/>
              <w:left w:val="nil"/>
              <w:bottom w:val="nil"/>
              <w:right w:val="nil"/>
            </w:tcBorders>
            <w:shd w:val="clear" w:color="auto" w:fill="auto"/>
            <w:noWrap/>
            <w:vAlign w:val="bottom"/>
            <w:hideMark/>
          </w:tcPr>
          <w:p w14:paraId="033F1D0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247.5</w:t>
            </w:r>
          </w:p>
        </w:tc>
        <w:tc>
          <w:tcPr>
            <w:tcW w:w="860" w:type="dxa"/>
            <w:tcBorders>
              <w:top w:val="nil"/>
              <w:left w:val="nil"/>
              <w:bottom w:val="nil"/>
              <w:right w:val="nil"/>
            </w:tcBorders>
            <w:shd w:val="clear" w:color="auto" w:fill="auto"/>
            <w:noWrap/>
            <w:vAlign w:val="bottom"/>
            <w:hideMark/>
          </w:tcPr>
          <w:p w14:paraId="274A616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37.3</w:t>
            </w:r>
          </w:p>
        </w:tc>
        <w:tc>
          <w:tcPr>
            <w:tcW w:w="960" w:type="dxa"/>
            <w:tcBorders>
              <w:top w:val="nil"/>
              <w:left w:val="nil"/>
              <w:bottom w:val="nil"/>
              <w:right w:val="nil"/>
            </w:tcBorders>
            <w:shd w:val="clear" w:color="auto" w:fill="auto"/>
            <w:noWrap/>
            <w:vAlign w:val="bottom"/>
            <w:hideMark/>
          </w:tcPr>
          <w:p w14:paraId="6B87728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90.8</w:t>
            </w:r>
          </w:p>
        </w:tc>
        <w:tc>
          <w:tcPr>
            <w:tcW w:w="689" w:type="dxa"/>
            <w:tcBorders>
              <w:top w:val="nil"/>
              <w:left w:val="nil"/>
              <w:bottom w:val="nil"/>
              <w:right w:val="nil"/>
            </w:tcBorders>
            <w:shd w:val="clear" w:color="auto" w:fill="auto"/>
            <w:noWrap/>
            <w:vAlign w:val="bottom"/>
            <w:hideMark/>
          </w:tcPr>
          <w:p w14:paraId="46427CA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92.5</w:t>
            </w:r>
          </w:p>
        </w:tc>
        <w:tc>
          <w:tcPr>
            <w:tcW w:w="1000" w:type="dxa"/>
            <w:tcBorders>
              <w:top w:val="nil"/>
              <w:left w:val="nil"/>
              <w:bottom w:val="nil"/>
              <w:right w:val="nil"/>
            </w:tcBorders>
            <w:shd w:val="clear" w:color="auto" w:fill="auto"/>
            <w:noWrap/>
            <w:vAlign w:val="bottom"/>
            <w:hideMark/>
          </w:tcPr>
          <w:p w14:paraId="7FB55FE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206.7</w:t>
            </w:r>
          </w:p>
        </w:tc>
      </w:tr>
      <w:tr w:rsidR="00F26016" w:rsidRPr="00F26016" w14:paraId="7D9D6AE5" w14:textId="77777777" w:rsidTr="00F26016">
        <w:trPr>
          <w:trHeight w:val="300"/>
        </w:trPr>
        <w:tc>
          <w:tcPr>
            <w:tcW w:w="1140" w:type="dxa"/>
            <w:tcBorders>
              <w:top w:val="nil"/>
              <w:left w:val="nil"/>
              <w:bottom w:val="nil"/>
              <w:right w:val="nil"/>
            </w:tcBorders>
            <w:shd w:val="clear" w:color="auto" w:fill="auto"/>
            <w:noWrap/>
            <w:hideMark/>
          </w:tcPr>
          <w:p w14:paraId="0C1138B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91</w:t>
            </w:r>
          </w:p>
        </w:tc>
        <w:tc>
          <w:tcPr>
            <w:tcW w:w="1200" w:type="dxa"/>
            <w:tcBorders>
              <w:top w:val="nil"/>
              <w:left w:val="nil"/>
              <w:bottom w:val="nil"/>
              <w:right w:val="nil"/>
            </w:tcBorders>
            <w:shd w:val="clear" w:color="auto" w:fill="auto"/>
            <w:noWrap/>
            <w:hideMark/>
          </w:tcPr>
          <w:p w14:paraId="0BB9A23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6B90FAB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33EFE79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1593ADD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5D802CB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193FBFF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3DB3767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28D56F8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6.6</w:t>
            </w:r>
          </w:p>
        </w:tc>
        <w:tc>
          <w:tcPr>
            <w:tcW w:w="920" w:type="dxa"/>
            <w:tcBorders>
              <w:top w:val="nil"/>
              <w:left w:val="nil"/>
              <w:bottom w:val="nil"/>
              <w:right w:val="nil"/>
            </w:tcBorders>
            <w:shd w:val="clear" w:color="auto" w:fill="auto"/>
            <w:noWrap/>
            <w:vAlign w:val="bottom"/>
            <w:hideMark/>
          </w:tcPr>
          <w:p w14:paraId="1F23766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14.8</w:t>
            </w:r>
          </w:p>
        </w:tc>
        <w:tc>
          <w:tcPr>
            <w:tcW w:w="741" w:type="dxa"/>
            <w:tcBorders>
              <w:top w:val="nil"/>
              <w:left w:val="nil"/>
              <w:bottom w:val="nil"/>
              <w:right w:val="nil"/>
            </w:tcBorders>
            <w:shd w:val="clear" w:color="auto" w:fill="auto"/>
            <w:noWrap/>
            <w:vAlign w:val="bottom"/>
            <w:hideMark/>
          </w:tcPr>
          <w:p w14:paraId="2E819B9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11.9</w:t>
            </w:r>
          </w:p>
        </w:tc>
        <w:tc>
          <w:tcPr>
            <w:tcW w:w="785" w:type="dxa"/>
            <w:tcBorders>
              <w:top w:val="nil"/>
              <w:left w:val="nil"/>
              <w:bottom w:val="nil"/>
              <w:right w:val="nil"/>
            </w:tcBorders>
            <w:shd w:val="clear" w:color="auto" w:fill="auto"/>
            <w:noWrap/>
            <w:vAlign w:val="bottom"/>
            <w:hideMark/>
          </w:tcPr>
          <w:p w14:paraId="3D3AD1B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32.7</w:t>
            </w:r>
          </w:p>
        </w:tc>
        <w:tc>
          <w:tcPr>
            <w:tcW w:w="732" w:type="dxa"/>
            <w:tcBorders>
              <w:top w:val="nil"/>
              <w:left w:val="nil"/>
              <w:bottom w:val="nil"/>
              <w:right w:val="nil"/>
            </w:tcBorders>
            <w:shd w:val="clear" w:color="auto" w:fill="auto"/>
            <w:noWrap/>
            <w:vAlign w:val="bottom"/>
            <w:hideMark/>
          </w:tcPr>
          <w:p w14:paraId="148C158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58.4</w:t>
            </w:r>
          </w:p>
        </w:tc>
        <w:tc>
          <w:tcPr>
            <w:tcW w:w="860" w:type="dxa"/>
            <w:tcBorders>
              <w:top w:val="nil"/>
              <w:left w:val="nil"/>
              <w:bottom w:val="nil"/>
              <w:right w:val="nil"/>
            </w:tcBorders>
            <w:shd w:val="clear" w:color="auto" w:fill="auto"/>
            <w:noWrap/>
            <w:vAlign w:val="bottom"/>
            <w:hideMark/>
          </w:tcPr>
          <w:p w14:paraId="5D2195E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20.7</w:t>
            </w:r>
          </w:p>
        </w:tc>
        <w:tc>
          <w:tcPr>
            <w:tcW w:w="960" w:type="dxa"/>
            <w:tcBorders>
              <w:top w:val="nil"/>
              <w:left w:val="nil"/>
              <w:bottom w:val="nil"/>
              <w:right w:val="nil"/>
            </w:tcBorders>
            <w:shd w:val="clear" w:color="auto" w:fill="auto"/>
            <w:noWrap/>
            <w:vAlign w:val="bottom"/>
            <w:hideMark/>
          </w:tcPr>
          <w:p w14:paraId="6C81C1C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37.3</w:t>
            </w:r>
          </w:p>
        </w:tc>
        <w:tc>
          <w:tcPr>
            <w:tcW w:w="689" w:type="dxa"/>
            <w:tcBorders>
              <w:top w:val="nil"/>
              <w:left w:val="nil"/>
              <w:bottom w:val="nil"/>
              <w:right w:val="nil"/>
            </w:tcBorders>
            <w:shd w:val="clear" w:color="auto" w:fill="auto"/>
            <w:noWrap/>
            <w:vAlign w:val="bottom"/>
            <w:hideMark/>
          </w:tcPr>
          <w:p w14:paraId="48F39B8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697.8</w:t>
            </w:r>
          </w:p>
        </w:tc>
        <w:tc>
          <w:tcPr>
            <w:tcW w:w="1000" w:type="dxa"/>
            <w:tcBorders>
              <w:top w:val="nil"/>
              <w:left w:val="nil"/>
              <w:bottom w:val="nil"/>
              <w:right w:val="nil"/>
            </w:tcBorders>
            <w:shd w:val="clear" w:color="auto" w:fill="auto"/>
            <w:noWrap/>
            <w:vAlign w:val="bottom"/>
            <w:hideMark/>
          </w:tcPr>
          <w:p w14:paraId="44A15DE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140.7</w:t>
            </w:r>
          </w:p>
        </w:tc>
      </w:tr>
      <w:tr w:rsidR="00F26016" w:rsidRPr="00F26016" w14:paraId="5E55E033" w14:textId="77777777" w:rsidTr="00F26016">
        <w:trPr>
          <w:trHeight w:val="300"/>
        </w:trPr>
        <w:tc>
          <w:tcPr>
            <w:tcW w:w="1140" w:type="dxa"/>
            <w:tcBorders>
              <w:top w:val="nil"/>
              <w:left w:val="nil"/>
              <w:bottom w:val="nil"/>
              <w:right w:val="nil"/>
            </w:tcBorders>
            <w:shd w:val="clear" w:color="auto" w:fill="auto"/>
            <w:noWrap/>
            <w:hideMark/>
          </w:tcPr>
          <w:p w14:paraId="1B1AC19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91</w:t>
            </w:r>
          </w:p>
        </w:tc>
        <w:tc>
          <w:tcPr>
            <w:tcW w:w="1200" w:type="dxa"/>
            <w:tcBorders>
              <w:top w:val="nil"/>
              <w:left w:val="nil"/>
              <w:bottom w:val="nil"/>
              <w:right w:val="nil"/>
            </w:tcBorders>
            <w:shd w:val="clear" w:color="auto" w:fill="auto"/>
            <w:noWrap/>
            <w:hideMark/>
          </w:tcPr>
          <w:p w14:paraId="6C807A3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17DD861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286D1E3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7D2C9D8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33A4792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47C85B5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6C648C0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685C61D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50.6</w:t>
            </w:r>
          </w:p>
        </w:tc>
        <w:tc>
          <w:tcPr>
            <w:tcW w:w="920" w:type="dxa"/>
            <w:tcBorders>
              <w:top w:val="nil"/>
              <w:left w:val="nil"/>
              <w:bottom w:val="nil"/>
              <w:right w:val="nil"/>
            </w:tcBorders>
            <w:shd w:val="clear" w:color="auto" w:fill="auto"/>
            <w:noWrap/>
            <w:vAlign w:val="bottom"/>
            <w:hideMark/>
          </w:tcPr>
          <w:p w14:paraId="3B23A1E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50.4</w:t>
            </w:r>
          </w:p>
        </w:tc>
        <w:tc>
          <w:tcPr>
            <w:tcW w:w="741" w:type="dxa"/>
            <w:tcBorders>
              <w:top w:val="nil"/>
              <w:left w:val="nil"/>
              <w:bottom w:val="nil"/>
              <w:right w:val="nil"/>
            </w:tcBorders>
            <w:shd w:val="clear" w:color="auto" w:fill="auto"/>
            <w:noWrap/>
            <w:vAlign w:val="bottom"/>
            <w:hideMark/>
          </w:tcPr>
          <w:p w14:paraId="6107A28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179.0</w:t>
            </w:r>
          </w:p>
        </w:tc>
        <w:tc>
          <w:tcPr>
            <w:tcW w:w="785" w:type="dxa"/>
            <w:tcBorders>
              <w:top w:val="nil"/>
              <w:left w:val="nil"/>
              <w:bottom w:val="nil"/>
              <w:right w:val="nil"/>
            </w:tcBorders>
            <w:shd w:val="clear" w:color="auto" w:fill="auto"/>
            <w:noWrap/>
            <w:vAlign w:val="bottom"/>
            <w:hideMark/>
          </w:tcPr>
          <w:p w14:paraId="7CF27C3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154.7</w:t>
            </w:r>
          </w:p>
        </w:tc>
        <w:tc>
          <w:tcPr>
            <w:tcW w:w="732" w:type="dxa"/>
            <w:tcBorders>
              <w:top w:val="nil"/>
              <w:left w:val="nil"/>
              <w:bottom w:val="nil"/>
              <w:right w:val="nil"/>
            </w:tcBorders>
            <w:shd w:val="clear" w:color="auto" w:fill="auto"/>
            <w:noWrap/>
            <w:vAlign w:val="bottom"/>
            <w:hideMark/>
          </w:tcPr>
          <w:p w14:paraId="7D952BA3" w14:textId="77777777" w:rsidR="00F26016" w:rsidRPr="00F26016" w:rsidRDefault="00F26016" w:rsidP="00F26016">
            <w:pPr>
              <w:rPr>
                <w:rFonts w:ascii="Calibri" w:eastAsia="Times New Roman" w:hAnsi="Calibri" w:cs="Times New Roman"/>
                <w:color w:val="000000"/>
                <w:sz w:val="16"/>
                <w:szCs w:val="16"/>
              </w:rPr>
            </w:pPr>
          </w:p>
        </w:tc>
        <w:tc>
          <w:tcPr>
            <w:tcW w:w="860" w:type="dxa"/>
            <w:tcBorders>
              <w:top w:val="nil"/>
              <w:left w:val="nil"/>
              <w:bottom w:val="nil"/>
              <w:right w:val="nil"/>
            </w:tcBorders>
            <w:shd w:val="clear" w:color="auto" w:fill="auto"/>
            <w:noWrap/>
            <w:vAlign w:val="bottom"/>
            <w:hideMark/>
          </w:tcPr>
          <w:p w14:paraId="5EB8199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82.3</w:t>
            </w:r>
          </w:p>
        </w:tc>
        <w:tc>
          <w:tcPr>
            <w:tcW w:w="960" w:type="dxa"/>
            <w:tcBorders>
              <w:top w:val="nil"/>
              <w:left w:val="nil"/>
              <w:bottom w:val="nil"/>
              <w:right w:val="nil"/>
            </w:tcBorders>
            <w:shd w:val="clear" w:color="auto" w:fill="auto"/>
            <w:noWrap/>
            <w:vAlign w:val="bottom"/>
            <w:hideMark/>
          </w:tcPr>
          <w:p w14:paraId="57BB1FD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208.7</w:t>
            </w:r>
          </w:p>
        </w:tc>
        <w:tc>
          <w:tcPr>
            <w:tcW w:w="689" w:type="dxa"/>
            <w:tcBorders>
              <w:top w:val="nil"/>
              <w:left w:val="nil"/>
              <w:bottom w:val="nil"/>
              <w:right w:val="nil"/>
            </w:tcBorders>
            <w:shd w:val="clear" w:color="auto" w:fill="auto"/>
            <w:noWrap/>
            <w:vAlign w:val="bottom"/>
            <w:hideMark/>
          </w:tcPr>
          <w:p w14:paraId="40C1F88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465.7</w:t>
            </w:r>
          </w:p>
        </w:tc>
        <w:tc>
          <w:tcPr>
            <w:tcW w:w="1000" w:type="dxa"/>
            <w:tcBorders>
              <w:top w:val="nil"/>
              <w:left w:val="nil"/>
              <w:bottom w:val="nil"/>
              <w:right w:val="nil"/>
            </w:tcBorders>
            <w:shd w:val="clear" w:color="auto" w:fill="auto"/>
            <w:noWrap/>
            <w:vAlign w:val="bottom"/>
            <w:hideMark/>
          </w:tcPr>
          <w:p w14:paraId="6C679F4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131.8</w:t>
            </w:r>
          </w:p>
        </w:tc>
      </w:tr>
      <w:tr w:rsidR="00F26016" w:rsidRPr="00F26016" w14:paraId="46163C4D" w14:textId="77777777" w:rsidTr="00F26016">
        <w:trPr>
          <w:trHeight w:val="300"/>
        </w:trPr>
        <w:tc>
          <w:tcPr>
            <w:tcW w:w="1140" w:type="dxa"/>
            <w:tcBorders>
              <w:top w:val="nil"/>
              <w:left w:val="nil"/>
              <w:bottom w:val="nil"/>
              <w:right w:val="nil"/>
            </w:tcBorders>
            <w:shd w:val="clear" w:color="auto" w:fill="auto"/>
            <w:noWrap/>
            <w:hideMark/>
          </w:tcPr>
          <w:p w14:paraId="1F86DEF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92</w:t>
            </w:r>
          </w:p>
        </w:tc>
        <w:tc>
          <w:tcPr>
            <w:tcW w:w="1200" w:type="dxa"/>
            <w:tcBorders>
              <w:top w:val="nil"/>
              <w:left w:val="nil"/>
              <w:bottom w:val="nil"/>
              <w:right w:val="nil"/>
            </w:tcBorders>
            <w:shd w:val="clear" w:color="auto" w:fill="auto"/>
            <w:noWrap/>
            <w:hideMark/>
          </w:tcPr>
          <w:p w14:paraId="14248CC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5939D9C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1B65851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20AE666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5D9AF14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1C2720A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241CD48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01111BE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26.1</w:t>
            </w:r>
          </w:p>
        </w:tc>
        <w:tc>
          <w:tcPr>
            <w:tcW w:w="920" w:type="dxa"/>
            <w:tcBorders>
              <w:top w:val="nil"/>
              <w:left w:val="nil"/>
              <w:bottom w:val="nil"/>
              <w:right w:val="nil"/>
            </w:tcBorders>
            <w:shd w:val="clear" w:color="auto" w:fill="auto"/>
            <w:noWrap/>
            <w:vAlign w:val="bottom"/>
            <w:hideMark/>
          </w:tcPr>
          <w:p w14:paraId="08691C6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5.0</w:t>
            </w:r>
          </w:p>
        </w:tc>
        <w:tc>
          <w:tcPr>
            <w:tcW w:w="741" w:type="dxa"/>
            <w:tcBorders>
              <w:top w:val="nil"/>
              <w:left w:val="nil"/>
              <w:bottom w:val="nil"/>
              <w:right w:val="nil"/>
            </w:tcBorders>
            <w:shd w:val="clear" w:color="auto" w:fill="auto"/>
            <w:noWrap/>
            <w:vAlign w:val="bottom"/>
            <w:hideMark/>
          </w:tcPr>
          <w:p w14:paraId="4372817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20.9</w:t>
            </w:r>
          </w:p>
        </w:tc>
        <w:tc>
          <w:tcPr>
            <w:tcW w:w="785" w:type="dxa"/>
            <w:tcBorders>
              <w:top w:val="nil"/>
              <w:left w:val="nil"/>
              <w:bottom w:val="nil"/>
              <w:right w:val="nil"/>
            </w:tcBorders>
            <w:shd w:val="clear" w:color="auto" w:fill="auto"/>
            <w:noWrap/>
            <w:vAlign w:val="bottom"/>
            <w:hideMark/>
          </w:tcPr>
          <w:p w14:paraId="1ADCA6F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13.1</w:t>
            </w:r>
          </w:p>
        </w:tc>
        <w:tc>
          <w:tcPr>
            <w:tcW w:w="732" w:type="dxa"/>
            <w:tcBorders>
              <w:top w:val="nil"/>
              <w:left w:val="nil"/>
              <w:bottom w:val="nil"/>
              <w:right w:val="nil"/>
            </w:tcBorders>
            <w:shd w:val="clear" w:color="auto" w:fill="auto"/>
            <w:noWrap/>
            <w:vAlign w:val="bottom"/>
            <w:hideMark/>
          </w:tcPr>
          <w:p w14:paraId="1DFE9B9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166.0</w:t>
            </w:r>
          </w:p>
        </w:tc>
        <w:tc>
          <w:tcPr>
            <w:tcW w:w="860" w:type="dxa"/>
            <w:tcBorders>
              <w:top w:val="nil"/>
              <w:left w:val="nil"/>
              <w:bottom w:val="nil"/>
              <w:right w:val="nil"/>
            </w:tcBorders>
            <w:shd w:val="clear" w:color="auto" w:fill="auto"/>
            <w:noWrap/>
            <w:vAlign w:val="bottom"/>
            <w:hideMark/>
          </w:tcPr>
          <w:p w14:paraId="4BA3B05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12.9</w:t>
            </w:r>
          </w:p>
        </w:tc>
        <w:tc>
          <w:tcPr>
            <w:tcW w:w="960" w:type="dxa"/>
            <w:tcBorders>
              <w:top w:val="nil"/>
              <w:left w:val="nil"/>
              <w:bottom w:val="nil"/>
              <w:right w:val="nil"/>
            </w:tcBorders>
            <w:shd w:val="clear" w:color="auto" w:fill="auto"/>
            <w:noWrap/>
            <w:vAlign w:val="bottom"/>
            <w:hideMark/>
          </w:tcPr>
          <w:p w14:paraId="61B1EF0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86.9</w:t>
            </w:r>
          </w:p>
        </w:tc>
        <w:tc>
          <w:tcPr>
            <w:tcW w:w="689" w:type="dxa"/>
            <w:tcBorders>
              <w:top w:val="nil"/>
              <w:left w:val="nil"/>
              <w:bottom w:val="nil"/>
              <w:right w:val="nil"/>
            </w:tcBorders>
            <w:shd w:val="clear" w:color="auto" w:fill="auto"/>
            <w:noWrap/>
            <w:vAlign w:val="bottom"/>
            <w:hideMark/>
          </w:tcPr>
          <w:p w14:paraId="022C849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31.0</w:t>
            </w:r>
          </w:p>
        </w:tc>
        <w:tc>
          <w:tcPr>
            <w:tcW w:w="1000" w:type="dxa"/>
            <w:tcBorders>
              <w:top w:val="nil"/>
              <w:left w:val="nil"/>
              <w:bottom w:val="nil"/>
              <w:right w:val="nil"/>
            </w:tcBorders>
            <w:shd w:val="clear" w:color="auto" w:fill="auto"/>
            <w:noWrap/>
            <w:vAlign w:val="bottom"/>
            <w:hideMark/>
          </w:tcPr>
          <w:p w14:paraId="00E7578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220.6</w:t>
            </w:r>
          </w:p>
        </w:tc>
      </w:tr>
      <w:tr w:rsidR="00F26016" w:rsidRPr="00F26016" w14:paraId="0BC6EB5F" w14:textId="77777777" w:rsidTr="00F26016">
        <w:trPr>
          <w:trHeight w:val="300"/>
        </w:trPr>
        <w:tc>
          <w:tcPr>
            <w:tcW w:w="1140" w:type="dxa"/>
            <w:tcBorders>
              <w:top w:val="nil"/>
              <w:left w:val="nil"/>
              <w:bottom w:val="nil"/>
              <w:right w:val="nil"/>
            </w:tcBorders>
            <w:shd w:val="clear" w:color="auto" w:fill="auto"/>
            <w:noWrap/>
            <w:hideMark/>
          </w:tcPr>
          <w:p w14:paraId="5E14276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92</w:t>
            </w:r>
          </w:p>
        </w:tc>
        <w:tc>
          <w:tcPr>
            <w:tcW w:w="1200" w:type="dxa"/>
            <w:tcBorders>
              <w:top w:val="nil"/>
              <w:left w:val="nil"/>
              <w:bottom w:val="nil"/>
              <w:right w:val="nil"/>
            </w:tcBorders>
            <w:shd w:val="clear" w:color="auto" w:fill="auto"/>
            <w:noWrap/>
            <w:hideMark/>
          </w:tcPr>
          <w:p w14:paraId="4638E54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0FBF96A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440251D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280982A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0FE66F0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163E2D0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6A51EB9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63C8B4D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4.2</w:t>
            </w:r>
          </w:p>
        </w:tc>
        <w:tc>
          <w:tcPr>
            <w:tcW w:w="920" w:type="dxa"/>
            <w:tcBorders>
              <w:top w:val="nil"/>
              <w:left w:val="nil"/>
              <w:bottom w:val="nil"/>
              <w:right w:val="nil"/>
            </w:tcBorders>
            <w:shd w:val="clear" w:color="auto" w:fill="auto"/>
            <w:noWrap/>
            <w:vAlign w:val="bottom"/>
            <w:hideMark/>
          </w:tcPr>
          <w:p w14:paraId="25CF390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12.5</w:t>
            </w:r>
          </w:p>
        </w:tc>
        <w:tc>
          <w:tcPr>
            <w:tcW w:w="741" w:type="dxa"/>
            <w:tcBorders>
              <w:top w:val="nil"/>
              <w:left w:val="nil"/>
              <w:bottom w:val="nil"/>
              <w:right w:val="nil"/>
            </w:tcBorders>
            <w:shd w:val="clear" w:color="auto" w:fill="auto"/>
            <w:noWrap/>
            <w:vAlign w:val="bottom"/>
            <w:hideMark/>
          </w:tcPr>
          <w:p w14:paraId="19CCC5D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7.5</w:t>
            </w:r>
          </w:p>
        </w:tc>
        <w:tc>
          <w:tcPr>
            <w:tcW w:w="785" w:type="dxa"/>
            <w:tcBorders>
              <w:top w:val="nil"/>
              <w:left w:val="nil"/>
              <w:bottom w:val="nil"/>
              <w:right w:val="nil"/>
            </w:tcBorders>
            <w:shd w:val="clear" w:color="auto" w:fill="auto"/>
            <w:noWrap/>
            <w:vAlign w:val="bottom"/>
            <w:hideMark/>
          </w:tcPr>
          <w:p w14:paraId="5FCDED2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18.3</w:t>
            </w:r>
          </w:p>
        </w:tc>
        <w:tc>
          <w:tcPr>
            <w:tcW w:w="732" w:type="dxa"/>
            <w:tcBorders>
              <w:top w:val="nil"/>
              <w:left w:val="nil"/>
              <w:bottom w:val="nil"/>
              <w:right w:val="nil"/>
            </w:tcBorders>
            <w:shd w:val="clear" w:color="auto" w:fill="auto"/>
            <w:noWrap/>
            <w:vAlign w:val="bottom"/>
            <w:hideMark/>
          </w:tcPr>
          <w:p w14:paraId="7A10695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62.7</w:t>
            </w:r>
          </w:p>
        </w:tc>
        <w:tc>
          <w:tcPr>
            <w:tcW w:w="860" w:type="dxa"/>
            <w:tcBorders>
              <w:top w:val="nil"/>
              <w:left w:val="nil"/>
              <w:bottom w:val="nil"/>
              <w:right w:val="nil"/>
            </w:tcBorders>
            <w:shd w:val="clear" w:color="auto" w:fill="auto"/>
            <w:noWrap/>
            <w:vAlign w:val="bottom"/>
            <w:hideMark/>
          </w:tcPr>
          <w:p w14:paraId="62A5AC2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7.9</w:t>
            </w:r>
          </w:p>
        </w:tc>
        <w:tc>
          <w:tcPr>
            <w:tcW w:w="960" w:type="dxa"/>
            <w:tcBorders>
              <w:top w:val="nil"/>
              <w:left w:val="nil"/>
              <w:bottom w:val="nil"/>
              <w:right w:val="nil"/>
            </w:tcBorders>
            <w:shd w:val="clear" w:color="auto" w:fill="auto"/>
            <w:noWrap/>
            <w:vAlign w:val="bottom"/>
            <w:hideMark/>
          </w:tcPr>
          <w:p w14:paraId="08C96E7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52.1</w:t>
            </w:r>
          </w:p>
        </w:tc>
        <w:tc>
          <w:tcPr>
            <w:tcW w:w="689" w:type="dxa"/>
            <w:tcBorders>
              <w:top w:val="nil"/>
              <w:left w:val="nil"/>
              <w:bottom w:val="nil"/>
              <w:right w:val="nil"/>
            </w:tcBorders>
            <w:shd w:val="clear" w:color="auto" w:fill="auto"/>
            <w:noWrap/>
            <w:vAlign w:val="bottom"/>
            <w:hideMark/>
          </w:tcPr>
          <w:p w14:paraId="32A09EF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257.5</w:t>
            </w:r>
          </w:p>
        </w:tc>
        <w:tc>
          <w:tcPr>
            <w:tcW w:w="1000" w:type="dxa"/>
            <w:tcBorders>
              <w:top w:val="nil"/>
              <w:left w:val="nil"/>
              <w:bottom w:val="nil"/>
              <w:right w:val="nil"/>
            </w:tcBorders>
            <w:shd w:val="clear" w:color="auto" w:fill="auto"/>
            <w:noWrap/>
            <w:vAlign w:val="bottom"/>
            <w:hideMark/>
          </w:tcPr>
          <w:p w14:paraId="56FEE5E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136.1</w:t>
            </w:r>
          </w:p>
        </w:tc>
      </w:tr>
      <w:tr w:rsidR="00F26016" w:rsidRPr="00F26016" w14:paraId="15EB4AD2" w14:textId="77777777" w:rsidTr="00F26016">
        <w:trPr>
          <w:trHeight w:val="300"/>
        </w:trPr>
        <w:tc>
          <w:tcPr>
            <w:tcW w:w="1140" w:type="dxa"/>
            <w:tcBorders>
              <w:top w:val="nil"/>
              <w:left w:val="nil"/>
              <w:bottom w:val="nil"/>
              <w:right w:val="nil"/>
            </w:tcBorders>
            <w:shd w:val="clear" w:color="auto" w:fill="auto"/>
            <w:noWrap/>
            <w:hideMark/>
          </w:tcPr>
          <w:p w14:paraId="6940592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92</w:t>
            </w:r>
          </w:p>
        </w:tc>
        <w:tc>
          <w:tcPr>
            <w:tcW w:w="1200" w:type="dxa"/>
            <w:tcBorders>
              <w:top w:val="nil"/>
              <w:left w:val="nil"/>
              <w:bottom w:val="nil"/>
              <w:right w:val="nil"/>
            </w:tcBorders>
            <w:shd w:val="clear" w:color="auto" w:fill="auto"/>
            <w:noWrap/>
            <w:hideMark/>
          </w:tcPr>
          <w:p w14:paraId="64A9FFF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68CE9BA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59360A1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092F007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6B306C8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3BBF63F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386A98C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6C73DDE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32.7</w:t>
            </w:r>
          </w:p>
        </w:tc>
        <w:tc>
          <w:tcPr>
            <w:tcW w:w="920" w:type="dxa"/>
            <w:tcBorders>
              <w:top w:val="nil"/>
              <w:left w:val="nil"/>
              <w:bottom w:val="nil"/>
              <w:right w:val="nil"/>
            </w:tcBorders>
            <w:shd w:val="clear" w:color="auto" w:fill="auto"/>
            <w:noWrap/>
            <w:vAlign w:val="bottom"/>
            <w:hideMark/>
          </w:tcPr>
          <w:p w14:paraId="341528C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30.7</w:t>
            </w:r>
          </w:p>
        </w:tc>
        <w:tc>
          <w:tcPr>
            <w:tcW w:w="741" w:type="dxa"/>
            <w:tcBorders>
              <w:top w:val="nil"/>
              <w:left w:val="nil"/>
              <w:bottom w:val="nil"/>
              <w:right w:val="nil"/>
            </w:tcBorders>
            <w:shd w:val="clear" w:color="auto" w:fill="auto"/>
            <w:noWrap/>
            <w:vAlign w:val="bottom"/>
            <w:hideMark/>
          </w:tcPr>
          <w:p w14:paraId="2AC970B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153.1</w:t>
            </w:r>
          </w:p>
        </w:tc>
        <w:tc>
          <w:tcPr>
            <w:tcW w:w="785" w:type="dxa"/>
            <w:tcBorders>
              <w:top w:val="nil"/>
              <w:left w:val="nil"/>
              <w:bottom w:val="nil"/>
              <w:right w:val="nil"/>
            </w:tcBorders>
            <w:shd w:val="clear" w:color="auto" w:fill="auto"/>
            <w:noWrap/>
            <w:vAlign w:val="bottom"/>
            <w:hideMark/>
          </w:tcPr>
          <w:p w14:paraId="0CF61F4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105.5</w:t>
            </w:r>
          </w:p>
        </w:tc>
        <w:tc>
          <w:tcPr>
            <w:tcW w:w="732" w:type="dxa"/>
            <w:tcBorders>
              <w:top w:val="nil"/>
              <w:left w:val="nil"/>
              <w:bottom w:val="nil"/>
              <w:right w:val="nil"/>
            </w:tcBorders>
            <w:shd w:val="clear" w:color="auto" w:fill="auto"/>
            <w:noWrap/>
            <w:vAlign w:val="bottom"/>
            <w:hideMark/>
          </w:tcPr>
          <w:p w14:paraId="591BD2B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21.8</w:t>
            </w:r>
          </w:p>
        </w:tc>
        <w:tc>
          <w:tcPr>
            <w:tcW w:w="860" w:type="dxa"/>
            <w:tcBorders>
              <w:top w:val="nil"/>
              <w:left w:val="nil"/>
              <w:bottom w:val="nil"/>
              <w:right w:val="nil"/>
            </w:tcBorders>
            <w:shd w:val="clear" w:color="auto" w:fill="auto"/>
            <w:noWrap/>
            <w:vAlign w:val="bottom"/>
            <w:hideMark/>
          </w:tcPr>
          <w:p w14:paraId="1B6FBF7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41.5</w:t>
            </w:r>
          </w:p>
        </w:tc>
        <w:tc>
          <w:tcPr>
            <w:tcW w:w="960" w:type="dxa"/>
            <w:tcBorders>
              <w:top w:val="nil"/>
              <w:left w:val="nil"/>
              <w:bottom w:val="nil"/>
              <w:right w:val="nil"/>
            </w:tcBorders>
            <w:shd w:val="clear" w:color="auto" w:fill="auto"/>
            <w:noWrap/>
            <w:vAlign w:val="bottom"/>
            <w:hideMark/>
          </w:tcPr>
          <w:p w14:paraId="29107A1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234.7</w:t>
            </w:r>
          </w:p>
        </w:tc>
        <w:tc>
          <w:tcPr>
            <w:tcW w:w="689" w:type="dxa"/>
            <w:tcBorders>
              <w:top w:val="nil"/>
              <w:left w:val="nil"/>
              <w:bottom w:val="nil"/>
              <w:right w:val="nil"/>
            </w:tcBorders>
            <w:shd w:val="clear" w:color="auto" w:fill="auto"/>
            <w:noWrap/>
            <w:vAlign w:val="bottom"/>
            <w:hideMark/>
          </w:tcPr>
          <w:p w14:paraId="7829947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584.4</w:t>
            </w:r>
          </w:p>
        </w:tc>
        <w:tc>
          <w:tcPr>
            <w:tcW w:w="1000" w:type="dxa"/>
            <w:tcBorders>
              <w:top w:val="nil"/>
              <w:left w:val="nil"/>
              <w:bottom w:val="nil"/>
              <w:right w:val="nil"/>
            </w:tcBorders>
            <w:shd w:val="clear" w:color="auto" w:fill="auto"/>
            <w:noWrap/>
            <w:vAlign w:val="bottom"/>
            <w:hideMark/>
          </w:tcPr>
          <w:p w14:paraId="6E322CB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130.1</w:t>
            </w:r>
          </w:p>
        </w:tc>
      </w:tr>
      <w:tr w:rsidR="00F26016" w:rsidRPr="00F26016" w14:paraId="73546D67" w14:textId="77777777" w:rsidTr="00F26016">
        <w:trPr>
          <w:trHeight w:val="300"/>
        </w:trPr>
        <w:tc>
          <w:tcPr>
            <w:tcW w:w="1140" w:type="dxa"/>
            <w:tcBorders>
              <w:top w:val="nil"/>
              <w:left w:val="nil"/>
              <w:bottom w:val="nil"/>
              <w:right w:val="nil"/>
            </w:tcBorders>
            <w:shd w:val="clear" w:color="auto" w:fill="auto"/>
            <w:noWrap/>
            <w:hideMark/>
          </w:tcPr>
          <w:p w14:paraId="7EA20D0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93</w:t>
            </w:r>
          </w:p>
        </w:tc>
        <w:tc>
          <w:tcPr>
            <w:tcW w:w="1200" w:type="dxa"/>
            <w:tcBorders>
              <w:top w:val="nil"/>
              <w:left w:val="nil"/>
              <w:bottom w:val="nil"/>
              <w:right w:val="nil"/>
            </w:tcBorders>
            <w:shd w:val="clear" w:color="auto" w:fill="auto"/>
            <w:noWrap/>
            <w:hideMark/>
          </w:tcPr>
          <w:p w14:paraId="29DA2B2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31B6ECD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51A97E6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6E62FE0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66B8066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3CDA1ED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16DE094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5F15D2B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102.5</w:t>
            </w:r>
          </w:p>
        </w:tc>
        <w:tc>
          <w:tcPr>
            <w:tcW w:w="920" w:type="dxa"/>
            <w:tcBorders>
              <w:top w:val="nil"/>
              <w:left w:val="nil"/>
              <w:bottom w:val="nil"/>
              <w:right w:val="nil"/>
            </w:tcBorders>
            <w:shd w:val="clear" w:color="auto" w:fill="auto"/>
            <w:noWrap/>
            <w:vAlign w:val="bottom"/>
            <w:hideMark/>
          </w:tcPr>
          <w:p w14:paraId="6341709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18.2</w:t>
            </w:r>
          </w:p>
        </w:tc>
        <w:tc>
          <w:tcPr>
            <w:tcW w:w="741" w:type="dxa"/>
            <w:tcBorders>
              <w:top w:val="nil"/>
              <w:left w:val="nil"/>
              <w:bottom w:val="nil"/>
              <w:right w:val="nil"/>
            </w:tcBorders>
            <w:shd w:val="clear" w:color="auto" w:fill="auto"/>
            <w:noWrap/>
            <w:vAlign w:val="bottom"/>
            <w:hideMark/>
          </w:tcPr>
          <w:p w14:paraId="608A822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41.4</w:t>
            </w:r>
          </w:p>
        </w:tc>
        <w:tc>
          <w:tcPr>
            <w:tcW w:w="785" w:type="dxa"/>
            <w:tcBorders>
              <w:top w:val="nil"/>
              <w:left w:val="nil"/>
              <w:bottom w:val="nil"/>
              <w:right w:val="nil"/>
            </w:tcBorders>
            <w:shd w:val="clear" w:color="auto" w:fill="auto"/>
            <w:noWrap/>
            <w:vAlign w:val="bottom"/>
            <w:hideMark/>
          </w:tcPr>
          <w:p w14:paraId="3CB06F8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28.4</w:t>
            </w:r>
          </w:p>
        </w:tc>
        <w:tc>
          <w:tcPr>
            <w:tcW w:w="732" w:type="dxa"/>
            <w:tcBorders>
              <w:top w:val="nil"/>
              <w:left w:val="nil"/>
              <w:bottom w:val="nil"/>
              <w:right w:val="nil"/>
            </w:tcBorders>
            <w:shd w:val="clear" w:color="auto" w:fill="auto"/>
            <w:noWrap/>
            <w:vAlign w:val="bottom"/>
            <w:hideMark/>
          </w:tcPr>
          <w:p w14:paraId="57B2976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893.4</w:t>
            </w:r>
          </w:p>
        </w:tc>
        <w:tc>
          <w:tcPr>
            <w:tcW w:w="860" w:type="dxa"/>
            <w:tcBorders>
              <w:top w:val="nil"/>
              <w:left w:val="nil"/>
              <w:bottom w:val="nil"/>
              <w:right w:val="nil"/>
            </w:tcBorders>
            <w:shd w:val="clear" w:color="auto" w:fill="auto"/>
            <w:noWrap/>
            <w:vAlign w:val="bottom"/>
            <w:hideMark/>
          </w:tcPr>
          <w:p w14:paraId="7968428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34.5</w:t>
            </w:r>
          </w:p>
        </w:tc>
        <w:tc>
          <w:tcPr>
            <w:tcW w:w="960" w:type="dxa"/>
            <w:tcBorders>
              <w:top w:val="nil"/>
              <w:left w:val="nil"/>
              <w:bottom w:val="nil"/>
              <w:right w:val="nil"/>
            </w:tcBorders>
            <w:shd w:val="clear" w:color="auto" w:fill="auto"/>
            <w:noWrap/>
            <w:vAlign w:val="bottom"/>
            <w:hideMark/>
          </w:tcPr>
          <w:p w14:paraId="2FCE3B7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86.7</w:t>
            </w:r>
          </w:p>
        </w:tc>
        <w:tc>
          <w:tcPr>
            <w:tcW w:w="689" w:type="dxa"/>
            <w:tcBorders>
              <w:top w:val="nil"/>
              <w:left w:val="nil"/>
              <w:bottom w:val="nil"/>
              <w:right w:val="nil"/>
            </w:tcBorders>
            <w:shd w:val="clear" w:color="auto" w:fill="auto"/>
            <w:noWrap/>
            <w:vAlign w:val="bottom"/>
            <w:hideMark/>
          </w:tcPr>
          <w:p w14:paraId="15CD3EF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90.4</w:t>
            </w:r>
          </w:p>
        </w:tc>
        <w:tc>
          <w:tcPr>
            <w:tcW w:w="1000" w:type="dxa"/>
            <w:tcBorders>
              <w:top w:val="nil"/>
              <w:left w:val="nil"/>
              <w:bottom w:val="nil"/>
              <w:right w:val="nil"/>
            </w:tcBorders>
            <w:shd w:val="clear" w:color="auto" w:fill="auto"/>
            <w:noWrap/>
            <w:vAlign w:val="bottom"/>
            <w:hideMark/>
          </w:tcPr>
          <w:p w14:paraId="7DF6778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227.6</w:t>
            </w:r>
          </w:p>
        </w:tc>
      </w:tr>
      <w:tr w:rsidR="00F26016" w:rsidRPr="00F26016" w14:paraId="3FD67726" w14:textId="77777777" w:rsidTr="00F26016">
        <w:trPr>
          <w:trHeight w:val="300"/>
        </w:trPr>
        <w:tc>
          <w:tcPr>
            <w:tcW w:w="1140" w:type="dxa"/>
            <w:tcBorders>
              <w:top w:val="nil"/>
              <w:left w:val="nil"/>
              <w:bottom w:val="nil"/>
              <w:right w:val="nil"/>
            </w:tcBorders>
            <w:shd w:val="clear" w:color="auto" w:fill="auto"/>
            <w:noWrap/>
            <w:hideMark/>
          </w:tcPr>
          <w:p w14:paraId="08F5EFE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93</w:t>
            </w:r>
          </w:p>
        </w:tc>
        <w:tc>
          <w:tcPr>
            <w:tcW w:w="1200" w:type="dxa"/>
            <w:tcBorders>
              <w:top w:val="nil"/>
              <w:left w:val="nil"/>
              <w:bottom w:val="nil"/>
              <w:right w:val="nil"/>
            </w:tcBorders>
            <w:shd w:val="clear" w:color="auto" w:fill="auto"/>
            <w:noWrap/>
            <w:hideMark/>
          </w:tcPr>
          <w:p w14:paraId="5E00F82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663E14A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76ABA5A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320001F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45574C9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41225F7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5EB49EC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523B6C7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3.6</w:t>
            </w:r>
          </w:p>
        </w:tc>
        <w:tc>
          <w:tcPr>
            <w:tcW w:w="920" w:type="dxa"/>
            <w:tcBorders>
              <w:top w:val="nil"/>
              <w:left w:val="nil"/>
              <w:bottom w:val="nil"/>
              <w:right w:val="nil"/>
            </w:tcBorders>
            <w:shd w:val="clear" w:color="auto" w:fill="auto"/>
            <w:noWrap/>
            <w:vAlign w:val="bottom"/>
            <w:hideMark/>
          </w:tcPr>
          <w:p w14:paraId="4CBCF1F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31.8</w:t>
            </w:r>
          </w:p>
        </w:tc>
        <w:tc>
          <w:tcPr>
            <w:tcW w:w="741" w:type="dxa"/>
            <w:tcBorders>
              <w:top w:val="nil"/>
              <w:left w:val="nil"/>
              <w:bottom w:val="nil"/>
              <w:right w:val="nil"/>
            </w:tcBorders>
            <w:shd w:val="clear" w:color="auto" w:fill="auto"/>
            <w:noWrap/>
            <w:vAlign w:val="bottom"/>
            <w:hideMark/>
          </w:tcPr>
          <w:p w14:paraId="079B575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9.6</w:t>
            </w:r>
          </w:p>
        </w:tc>
        <w:tc>
          <w:tcPr>
            <w:tcW w:w="785" w:type="dxa"/>
            <w:tcBorders>
              <w:top w:val="nil"/>
              <w:left w:val="nil"/>
              <w:bottom w:val="nil"/>
              <w:right w:val="nil"/>
            </w:tcBorders>
            <w:shd w:val="clear" w:color="auto" w:fill="auto"/>
            <w:noWrap/>
            <w:vAlign w:val="bottom"/>
            <w:hideMark/>
          </w:tcPr>
          <w:p w14:paraId="6D7175F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23.9</w:t>
            </w:r>
          </w:p>
        </w:tc>
        <w:tc>
          <w:tcPr>
            <w:tcW w:w="732" w:type="dxa"/>
            <w:tcBorders>
              <w:top w:val="nil"/>
              <w:left w:val="nil"/>
              <w:bottom w:val="nil"/>
              <w:right w:val="nil"/>
            </w:tcBorders>
            <w:shd w:val="clear" w:color="auto" w:fill="auto"/>
            <w:noWrap/>
            <w:vAlign w:val="bottom"/>
            <w:hideMark/>
          </w:tcPr>
          <w:p w14:paraId="34C6B59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120.2</w:t>
            </w:r>
          </w:p>
        </w:tc>
        <w:tc>
          <w:tcPr>
            <w:tcW w:w="860" w:type="dxa"/>
            <w:tcBorders>
              <w:top w:val="nil"/>
              <w:left w:val="nil"/>
              <w:bottom w:val="nil"/>
              <w:right w:val="nil"/>
            </w:tcBorders>
            <w:shd w:val="clear" w:color="auto" w:fill="auto"/>
            <w:noWrap/>
            <w:vAlign w:val="bottom"/>
            <w:hideMark/>
          </w:tcPr>
          <w:p w14:paraId="4631DC5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12.9</w:t>
            </w:r>
          </w:p>
        </w:tc>
        <w:tc>
          <w:tcPr>
            <w:tcW w:w="960" w:type="dxa"/>
            <w:tcBorders>
              <w:top w:val="nil"/>
              <w:left w:val="nil"/>
              <w:bottom w:val="nil"/>
              <w:right w:val="nil"/>
            </w:tcBorders>
            <w:shd w:val="clear" w:color="auto" w:fill="auto"/>
            <w:noWrap/>
            <w:vAlign w:val="bottom"/>
            <w:hideMark/>
          </w:tcPr>
          <w:p w14:paraId="01DED81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52.4</w:t>
            </w:r>
          </w:p>
        </w:tc>
        <w:tc>
          <w:tcPr>
            <w:tcW w:w="689" w:type="dxa"/>
            <w:tcBorders>
              <w:top w:val="nil"/>
              <w:left w:val="nil"/>
              <w:bottom w:val="nil"/>
              <w:right w:val="nil"/>
            </w:tcBorders>
            <w:shd w:val="clear" w:color="auto" w:fill="auto"/>
            <w:noWrap/>
            <w:vAlign w:val="bottom"/>
            <w:hideMark/>
          </w:tcPr>
          <w:p w14:paraId="5D13AB3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244.7</w:t>
            </w:r>
          </w:p>
        </w:tc>
        <w:tc>
          <w:tcPr>
            <w:tcW w:w="1000" w:type="dxa"/>
            <w:tcBorders>
              <w:top w:val="nil"/>
              <w:left w:val="nil"/>
              <w:bottom w:val="nil"/>
              <w:right w:val="nil"/>
            </w:tcBorders>
            <w:shd w:val="clear" w:color="auto" w:fill="auto"/>
            <w:noWrap/>
            <w:vAlign w:val="bottom"/>
            <w:hideMark/>
          </w:tcPr>
          <w:p w14:paraId="569C28C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139.4</w:t>
            </w:r>
          </w:p>
        </w:tc>
      </w:tr>
      <w:tr w:rsidR="00F26016" w:rsidRPr="00F26016" w14:paraId="3C0F75F6" w14:textId="77777777" w:rsidTr="00F26016">
        <w:trPr>
          <w:trHeight w:val="300"/>
        </w:trPr>
        <w:tc>
          <w:tcPr>
            <w:tcW w:w="1140" w:type="dxa"/>
            <w:tcBorders>
              <w:top w:val="nil"/>
              <w:left w:val="nil"/>
              <w:bottom w:val="nil"/>
              <w:right w:val="nil"/>
            </w:tcBorders>
            <w:shd w:val="clear" w:color="auto" w:fill="auto"/>
            <w:noWrap/>
            <w:hideMark/>
          </w:tcPr>
          <w:p w14:paraId="21A5C08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93</w:t>
            </w:r>
          </w:p>
        </w:tc>
        <w:tc>
          <w:tcPr>
            <w:tcW w:w="1200" w:type="dxa"/>
            <w:tcBorders>
              <w:top w:val="nil"/>
              <w:left w:val="nil"/>
              <w:bottom w:val="nil"/>
              <w:right w:val="nil"/>
            </w:tcBorders>
            <w:shd w:val="clear" w:color="auto" w:fill="auto"/>
            <w:noWrap/>
            <w:hideMark/>
          </w:tcPr>
          <w:p w14:paraId="6ED6C43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40326A6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6928544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4B35C20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6861035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6CC941E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7FF1D79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7BE991C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64.6</w:t>
            </w:r>
          </w:p>
        </w:tc>
        <w:tc>
          <w:tcPr>
            <w:tcW w:w="920" w:type="dxa"/>
            <w:tcBorders>
              <w:top w:val="nil"/>
              <w:left w:val="nil"/>
              <w:bottom w:val="nil"/>
              <w:right w:val="nil"/>
            </w:tcBorders>
            <w:shd w:val="clear" w:color="auto" w:fill="auto"/>
            <w:noWrap/>
            <w:vAlign w:val="bottom"/>
            <w:hideMark/>
          </w:tcPr>
          <w:p w14:paraId="4A896C5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42.5</w:t>
            </w:r>
          </w:p>
        </w:tc>
        <w:tc>
          <w:tcPr>
            <w:tcW w:w="741" w:type="dxa"/>
            <w:tcBorders>
              <w:top w:val="nil"/>
              <w:left w:val="nil"/>
              <w:bottom w:val="nil"/>
              <w:right w:val="nil"/>
            </w:tcBorders>
            <w:shd w:val="clear" w:color="auto" w:fill="auto"/>
            <w:noWrap/>
            <w:vAlign w:val="bottom"/>
            <w:hideMark/>
          </w:tcPr>
          <w:p w14:paraId="150ED7C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221.9</w:t>
            </w:r>
          </w:p>
        </w:tc>
        <w:tc>
          <w:tcPr>
            <w:tcW w:w="785" w:type="dxa"/>
            <w:tcBorders>
              <w:top w:val="nil"/>
              <w:left w:val="nil"/>
              <w:bottom w:val="nil"/>
              <w:right w:val="nil"/>
            </w:tcBorders>
            <w:shd w:val="clear" w:color="auto" w:fill="auto"/>
            <w:noWrap/>
            <w:vAlign w:val="bottom"/>
            <w:hideMark/>
          </w:tcPr>
          <w:p w14:paraId="75786BF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129.7</w:t>
            </w:r>
          </w:p>
        </w:tc>
        <w:tc>
          <w:tcPr>
            <w:tcW w:w="732" w:type="dxa"/>
            <w:tcBorders>
              <w:top w:val="nil"/>
              <w:left w:val="nil"/>
              <w:bottom w:val="nil"/>
              <w:right w:val="nil"/>
            </w:tcBorders>
            <w:shd w:val="clear" w:color="auto" w:fill="auto"/>
            <w:noWrap/>
            <w:vAlign w:val="bottom"/>
            <w:hideMark/>
          </w:tcPr>
          <w:p w14:paraId="27D1F26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76.6</w:t>
            </w:r>
          </w:p>
        </w:tc>
        <w:tc>
          <w:tcPr>
            <w:tcW w:w="860" w:type="dxa"/>
            <w:tcBorders>
              <w:top w:val="nil"/>
              <w:left w:val="nil"/>
              <w:bottom w:val="nil"/>
              <w:right w:val="nil"/>
            </w:tcBorders>
            <w:shd w:val="clear" w:color="auto" w:fill="auto"/>
            <w:noWrap/>
            <w:vAlign w:val="bottom"/>
            <w:hideMark/>
          </w:tcPr>
          <w:p w14:paraId="3C4D9BB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78.4</w:t>
            </w:r>
          </w:p>
        </w:tc>
        <w:tc>
          <w:tcPr>
            <w:tcW w:w="960" w:type="dxa"/>
            <w:tcBorders>
              <w:top w:val="nil"/>
              <w:left w:val="nil"/>
              <w:bottom w:val="nil"/>
              <w:right w:val="nil"/>
            </w:tcBorders>
            <w:shd w:val="clear" w:color="auto" w:fill="auto"/>
            <w:noWrap/>
            <w:vAlign w:val="bottom"/>
            <w:hideMark/>
          </w:tcPr>
          <w:p w14:paraId="085B485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211.7</w:t>
            </w:r>
          </w:p>
        </w:tc>
        <w:tc>
          <w:tcPr>
            <w:tcW w:w="689" w:type="dxa"/>
            <w:tcBorders>
              <w:top w:val="nil"/>
              <w:left w:val="nil"/>
              <w:bottom w:val="nil"/>
              <w:right w:val="nil"/>
            </w:tcBorders>
            <w:shd w:val="clear" w:color="auto" w:fill="auto"/>
            <w:noWrap/>
            <w:vAlign w:val="bottom"/>
            <w:hideMark/>
          </w:tcPr>
          <w:p w14:paraId="30F4214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663.1</w:t>
            </w:r>
          </w:p>
        </w:tc>
        <w:tc>
          <w:tcPr>
            <w:tcW w:w="1000" w:type="dxa"/>
            <w:tcBorders>
              <w:top w:val="nil"/>
              <w:left w:val="nil"/>
              <w:bottom w:val="nil"/>
              <w:right w:val="nil"/>
            </w:tcBorders>
            <w:shd w:val="clear" w:color="auto" w:fill="auto"/>
            <w:noWrap/>
            <w:vAlign w:val="bottom"/>
            <w:hideMark/>
          </w:tcPr>
          <w:p w14:paraId="20AD868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121.4</w:t>
            </w:r>
          </w:p>
        </w:tc>
      </w:tr>
      <w:tr w:rsidR="00F26016" w:rsidRPr="00F26016" w14:paraId="5973B199" w14:textId="77777777" w:rsidTr="00F26016">
        <w:trPr>
          <w:trHeight w:val="300"/>
        </w:trPr>
        <w:tc>
          <w:tcPr>
            <w:tcW w:w="1140" w:type="dxa"/>
            <w:tcBorders>
              <w:top w:val="nil"/>
              <w:left w:val="nil"/>
              <w:bottom w:val="nil"/>
              <w:right w:val="nil"/>
            </w:tcBorders>
            <w:shd w:val="clear" w:color="auto" w:fill="auto"/>
            <w:noWrap/>
            <w:hideMark/>
          </w:tcPr>
          <w:p w14:paraId="382D34A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94</w:t>
            </w:r>
          </w:p>
        </w:tc>
        <w:tc>
          <w:tcPr>
            <w:tcW w:w="1200" w:type="dxa"/>
            <w:tcBorders>
              <w:top w:val="nil"/>
              <w:left w:val="nil"/>
              <w:bottom w:val="nil"/>
              <w:right w:val="nil"/>
            </w:tcBorders>
            <w:shd w:val="clear" w:color="auto" w:fill="auto"/>
            <w:noWrap/>
            <w:hideMark/>
          </w:tcPr>
          <w:p w14:paraId="394B010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0D725EA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77A5031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1074FAA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72BFA17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3CA24E2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399D658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664C64F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48.9</w:t>
            </w:r>
          </w:p>
        </w:tc>
        <w:tc>
          <w:tcPr>
            <w:tcW w:w="920" w:type="dxa"/>
            <w:tcBorders>
              <w:top w:val="nil"/>
              <w:left w:val="nil"/>
              <w:bottom w:val="nil"/>
              <w:right w:val="nil"/>
            </w:tcBorders>
            <w:shd w:val="clear" w:color="auto" w:fill="auto"/>
            <w:noWrap/>
            <w:vAlign w:val="bottom"/>
            <w:hideMark/>
          </w:tcPr>
          <w:p w14:paraId="1BCB87F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8.8</w:t>
            </w:r>
          </w:p>
        </w:tc>
        <w:tc>
          <w:tcPr>
            <w:tcW w:w="741" w:type="dxa"/>
            <w:tcBorders>
              <w:top w:val="nil"/>
              <w:left w:val="nil"/>
              <w:bottom w:val="nil"/>
              <w:right w:val="nil"/>
            </w:tcBorders>
            <w:shd w:val="clear" w:color="auto" w:fill="auto"/>
            <w:noWrap/>
            <w:vAlign w:val="bottom"/>
            <w:hideMark/>
          </w:tcPr>
          <w:p w14:paraId="6A2CF0B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19.8</w:t>
            </w:r>
          </w:p>
        </w:tc>
        <w:tc>
          <w:tcPr>
            <w:tcW w:w="785" w:type="dxa"/>
            <w:tcBorders>
              <w:top w:val="nil"/>
              <w:left w:val="nil"/>
              <w:bottom w:val="nil"/>
              <w:right w:val="nil"/>
            </w:tcBorders>
            <w:shd w:val="clear" w:color="auto" w:fill="auto"/>
            <w:noWrap/>
            <w:vAlign w:val="bottom"/>
            <w:hideMark/>
          </w:tcPr>
          <w:p w14:paraId="591A92D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21.2</w:t>
            </w:r>
          </w:p>
        </w:tc>
        <w:tc>
          <w:tcPr>
            <w:tcW w:w="732" w:type="dxa"/>
            <w:tcBorders>
              <w:top w:val="nil"/>
              <w:left w:val="nil"/>
              <w:bottom w:val="nil"/>
              <w:right w:val="nil"/>
            </w:tcBorders>
            <w:shd w:val="clear" w:color="auto" w:fill="auto"/>
            <w:noWrap/>
            <w:vAlign w:val="bottom"/>
            <w:hideMark/>
          </w:tcPr>
          <w:p w14:paraId="6B80021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259.5</w:t>
            </w:r>
          </w:p>
        </w:tc>
        <w:tc>
          <w:tcPr>
            <w:tcW w:w="860" w:type="dxa"/>
            <w:tcBorders>
              <w:top w:val="nil"/>
              <w:left w:val="nil"/>
              <w:bottom w:val="nil"/>
              <w:right w:val="nil"/>
            </w:tcBorders>
            <w:shd w:val="clear" w:color="auto" w:fill="auto"/>
            <w:noWrap/>
            <w:vAlign w:val="bottom"/>
            <w:hideMark/>
          </w:tcPr>
          <w:p w14:paraId="28DD313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23.8</w:t>
            </w:r>
          </w:p>
        </w:tc>
        <w:tc>
          <w:tcPr>
            <w:tcW w:w="960" w:type="dxa"/>
            <w:tcBorders>
              <w:top w:val="nil"/>
              <w:left w:val="nil"/>
              <w:bottom w:val="nil"/>
              <w:right w:val="nil"/>
            </w:tcBorders>
            <w:shd w:val="clear" w:color="auto" w:fill="auto"/>
            <w:noWrap/>
            <w:vAlign w:val="bottom"/>
            <w:hideMark/>
          </w:tcPr>
          <w:p w14:paraId="48B573A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85.8</w:t>
            </w:r>
          </w:p>
        </w:tc>
        <w:tc>
          <w:tcPr>
            <w:tcW w:w="689" w:type="dxa"/>
            <w:tcBorders>
              <w:top w:val="nil"/>
              <w:left w:val="nil"/>
              <w:bottom w:val="nil"/>
              <w:right w:val="nil"/>
            </w:tcBorders>
            <w:shd w:val="clear" w:color="auto" w:fill="auto"/>
            <w:noWrap/>
            <w:vAlign w:val="bottom"/>
            <w:hideMark/>
          </w:tcPr>
          <w:p w14:paraId="7423A13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161.7</w:t>
            </w:r>
          </w:p>
        </w:tc>
        <w:tc>
          <w:tcPr>
            <w:tcW w:w="1000" w:type="dxa"/>
            <w:tcBorders>
              <w:top w:val="nil"/>
              <w:left w:val="nil"/>
              <w:bottom w:val="nil"/>
              <w:right w:val="nil"/>
            </w:tcBorders>
            <w:shd w:val="clear" w:color="auto" w:fill="auto"/>
            <w:noWrap/>
            <w:vAlign w:val="bottom"/>
            <w:hideMark/>
          </w:tcPr>
          <w:p w14:paraId="15EDA8D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210.0</w:t>
            </w:r>
          </w:p>
        </w:tc>
      </w:tr>
      <w:tr w:rsidR="00F26016" w:rsidRPr="00F26016" w14:paraId="1440E5EC" w14:textId="77777777" w:rsidTr="00F26016">
        <w:trPr>
          <w:trHeight w:val="300"/>
        </w:trPr>
        <w:tc>
          <w:tcPr>
            <w:tcW w:w="1140" w:type="dxa"/>
            <w:tcBorders>
              <w:top w:val="nil"/>
              <w:left w:val="nil"/>
              <w:bottom w:val="nil"/>
              <w:right w:val="nil"/>
            </w:tcBorders>
            <w:shd w:val="clear" w:color="auto" w:fill="auto"/>
            <w:noWrap/>
            <w:hideMark/>
          </w:tcPr>
          <w:p w14:paraId="467124D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94</w:t>
            </w:r>
          </w:p>
        </w:tc>
        <w:tc>
          <w:tcPr>
            <w:tcW w:w="1200" w:type="dxa"/>
            <w:tcBorders>
              <w:top w:val="nil"/>
              <w:left w:val="nil"/>
              <w:bottom w:val="nil"/>
              <w:right w:val="nil"/>
            </w:tcBorders>
            <w:shd w:val="clear" w:color="auto" w:fill="auto"/>
            <w:noWrap/>
            <w:hideMark/>
          </w:tcPr>
          <w:p w14:paraId="7D9EC89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4F81E7B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45A39E1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30F5ACA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5BEE698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6452289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3EED1C6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2968521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7.0</w:t>
            </w:r>
          </w:p>
        </w:tc>
        <w:tc>
          <w:tcPr>
            <w:tcW w:w="920" w:type="dxa"/>
            <w:tcBorders>
              <w:top w:val="nil"/>
              <w:left w:val="nil"/>
              <w:bottom w:val="nil"/>
              <w:right w:val="nil"/>
            </w:tcBorders>
            <w:shd w:val="clear" w:color="auto" w:fill="auto"/>
            <w:noWrap/>
            <w:vAlign w:val="bottom"/>
            <w:hideMark/>
          </w:tcPr>
          <w:p w14:paraId="2221598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11.1</w:t>
            </w:r>
          </w:p>
        </w:tc>
        <w:tc>
          <w:tcPr>
            <w:tcW w:w="741" w:type="dxa"/>
            <w:tcBorders>
              <w:top w:val="nil"/>
              <w:left w:val="nil"/>
              <w:bottom w:val="nil"/>
              <w:right w:val="nil"/>
            </w:tcBorders>
            <w:shd w:val="clear" w:color="auto" w:fill="auto"/>
            <w:noWrap/>
            <w:vAlign w:val="bottom"/>
            <w:hideMark/>
          </w:tcPr>
          <w:p w14:paraId="7474537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11.2</w:t>
            </w:r>
          </w:p>
        </w:tc>
        <w:tc>
          <w:tcPr>
            <w:tcW w:w="785" w:type="dxa"/>
            <w:tcBorders>
              <w:top w:val="nil"/>
              <w:left w:val="nil"/>
              <w:bottom w:val="nil"/>
              <w:right w:val="nil"/>
            </w:tcBorders>
            <w:shd w:val="clear" w:color="auto" w:fill="auto"/>
            <w:noWrap/>
            <w:vAlign w:val="bottom"/>
            <w:hideMark/>
          </w:tcPr>
          <w:p w14:paraId="2DB35B7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30.5</w:t>
            </w:r>
          </w:p>
        </w:tc>
        <w:tc>
          <w:tcPr>
            <w:tcW w:w="732" w:type="dxa"/>
            <w:tcBorders>
              <w:top w:val="nil"/>
              <w:left w:val="nil"/>
              <w:bottom w:val="nil"/>
              <w:right w:val="nil"/>
            </w:tcBorders>
            <w:shd w:val="clear" w:color="auto" w:fill="auto"/>
            <w:noWrap/>
            <w:vAlign w:val="bottom"/>
            <w:hideMark/>
          </w:tcPr>
          <w:p w14:paraId="54C7DC1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65.2</w:t>
            </w:r>
          </w:p>
        </w:tc>
        <w:tc>
          <w:tcPr>
            <w:tcW w:w="860" w:type="dxa"/>
            <w:tcBorders>
              <w:top w:val="nil"/>
              <w:left w:val="nil"/>
              <w:bottom w:val="nil"/>
              <w:right w:val="nil"/>
            </w:tcBorders>
            <w:shd w:val="clear" w:color="auto" w:fill="auto"/>
            <w:noWrap/>
            <w:vAlign w:val="bottom"/>
            <w:hideMark/>
          </w:tcPr>
          <w:p w14:paraId="1253104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11.6</w:t>
            </w:r>
          </w:p>
        </w:tc>
        <w:tc>
          <w:tcPr>
            <w:tcW w:w="960" w:type="dxa"/>
            <w:tcBorders>
              <w:top w:val="nil"/>
              <w:left w:val="nil"/>
              <w:bottom w:val="nil"/>
              <w:right w:val="nil"/>
            </w:tcBorders>
            <w:shd w:val="clear" w:color="auto" w:fill="auto"/>
            <w:noWrap/>
            <w:vAlign w:val="bottom"/>
            <w:hideMark/>
          </w:tcPr>
          <w:p w14:paraId="17A38CC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35.3</w:t>
            </w:r>
          </w:p>
        </w:tc>
        <w:tc>
          <w:tcPr>
            <w:tcW w:w="689" w:type="dxa"/>
            <w:tcBorders>
              <w:top w:val="nil"/>
              <w:left w:val="nil"/>
              <w:bottom w:val="nil"/>
              <w:right w:val="nil"/>
            </w:tcBorders>
            <w:shd w:val="clear" w:color="auto" w:fill="auto"/>
            <w:noWrap/>
            <w:vAlign w:val="bottom"/>
            <w:hideMark/>
          </w:tcPr>
          <w:p w14:paraId="785C1E6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294.5</w:t>
            </w:r>
          </w:p>
        </w:tc>
        <w:tc>
          <w:tcPr>
            <w:tcW w:w="1000" w:type="dxa"/>
            <w:tcBorders>
              <w:top w:val="nil"/>
              <w:left w:val="nil"/>
              <w:bottom w:val="nil"/>
              <w:right w:val="nil"/>
            </w:tcBorders>
            <w:shd w:val="clear" w:color="auto" w:fill="auto"/>
            <w:noWrap/>
            <w:vAlign w:val="bottom"/>
            <w:hideMark/>
          </w:tcPr>
          <w:p w14:paraId="0107688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135.0</w:t>
            </w:r>
          </w:p>
        </w:tc>
      </w:tr>
      <w:tr w:rsidR="00F26016" w:rsidRPr="00F26016" w14:paraId="7A70F831" w14:textId="77777777" w:rsidTr="00F26016">
        <w:trPr>
          <w:trHeight w:val="300"/>
        </w:trPr>
        <w:tc>
          <w:tcPr>
            <w:tcW w:w="1140" w:type="dxa"/>
            <w:tcBorders>
              <w:top w:val="nil"/>
              <w:left w:val="nil"/>
              <w:bottom w:val="nil"/>
              <w:right w:val="nil"/>
            </w:tcBorders>
            <w:shd w:val="clear" w:color="auto" w:fill="auto"/>
            <w:noWrap/>
            <w:hideMark/>
          </w:tcPr>
          <w:p w14:paraId="18C1460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94</w:t>
            </w:r>
          </w:p>
        </w:tc>
        <w:tc>
          <w:tcPr>
            <w:tcW w:w="1200" w:type="dxa"/>
            <w:tcBorders>
              <w:top w:val="nil"/>
              <w:left w:val="nil"/>
              <w:bottom w:val="nil"/>
              <w:right w:val="nil"/>
            </w:tcBorders>
            <w:shd w:val="clear" w:color="auto" w:fill="auto"/>
            <w:noWrap/>
            <w:hideMark/>
          </w:tcPr>
          <w:p w14:paraId="49A8883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617DBBD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2F9C2F2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15CAA5C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1A472B6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37599D6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03F984F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166DCE5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46.4</w:t>
            </w:r>
          </w:p>
        </w:tc>
        <w:tc>
          <w:tcPr>
            <w:tcW w:w="920" w:type="dxa"/>
            <w:tcBorders>
              <w:top w:val="nil"/>
              <w:left w:val="nil"/>
              <w:bottom w:val="nil"/>
              <w:right w:val="nil"/>
            </w:tcBorders>
            <w:shd w:val="clear" w:color="auto" w:fill="auto"/>
            <w:noWrap/>
            <w:vAlign w:val="bottom"/>
            <w:hideMark/>
          </w:tcPr>
          <w:p w14:paraId="0D90DF2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41.6</w:t>
            </w:r>
          </w:p>
        </w:tc>
        <w:tc>
          <w:tcPr>
            <w:tcW w:w="741" w:type="dxa"/>
            <w:tcBorders>
              <w:top w:val="nil"/>
              <w:left w:val="nil"/>
              <w:bottom w:val="nil"/>
              <w:right w:val="nil"/>
            </w:tcBorders>
            <w:shd w:val="clear" w:color="auto" w:fill="auto"/>
            <w:noWrap/>
            <w:vAlign w:val="bottom"/>
            <w:hideMark/>
          </w:tcPr>
          <w:p w14:paraId="09CEB4D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174.3</w:t>
            </w:r>
          </w:p>
        </w:tc>
        <w:tc>
          <w:tcPr>
            <w:tcW w:w="785" w:type="dxa"/>
            <w:tcBorders>
              <w:top w:val="nil"/>
              <w:left w:val="nil"/>
              <w:bottom w:val="nil"/>
              <w:right w:val="nil"/>
            </w:tcBorders>
            <w:shd w:val="clear" w:color="auto" w:fill="auto"/>
            <w:noWrap/>
            <w:vAlign w:val="bottom"/>
            <w:hideMark/>
          </w:tcPr>
          <w:p w14:paraId="59FB65E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149.7</w:t>
            </w:r>
          </w:p>
        </w:tc>
        <w:tc>
          <w:tcPr>
            <w:tcW w:w="732" w:type="dxa"/>
            <w:tcBorders>
              <w:top w:val="nil"/>
              <w:left w:val="nil"/>
              <w:bottom w:val="nil"/>
              <w:right w:val="nil"/>
            </w:tcBorders>
            <w:shd w:val="clear" w:color="auto" w:fill="auto"/>
            <w:noWrap/>
            <w:vAlign w:val="bottom"/>
            <w:hideMark/>
          </w:tcPr>
          <w:p w14:paraId="1C804C2C" w14:textId="77777777" w:rsidR="00F26016" w:rsidRPr="00F26016" w:rsidRDefault="00F26016" w:rsidP="00F26016">
            <w:pPr>
              <w:rPr>
                <w:rFonts w:ascii="Calibri" w:eastAsia="Times New Roman" w:hAnsi="Calibri" w:cs="Times New Roman"/>
                <w:color w:val="000000"/>
                <w:sz w:val="16"/>
                <w:szCs w:val="16"/>
              </w:rPr>
            </w:pPr>
          </w:p>
        </w:tc>
        <w:tc>
          <w:tcPr>
            <w:tcW w:w="860" w:type="dxa"/>
            <w:tcBorders>
              <w:top w:val="nil"/>
              <w:left w:val="nil"/>
              <w:bottom w:val="nil"/>
              <w:right w:val="nil"/>
            </w:tcBorders>
            <w:shd w:val="clear" w:color="auto" w:fill="auto"/>
            <w:noWrap/>
            <w:vAlign w:val="bottom"/>
            <w:hideMark/>
          </w:tcPr>
          <w:p w14:paraId="00F6E8E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76.8</w:t>
            </w:r>
          </w:p>
        </w:tc>
        <w:tc>
          <w:tcPr>
            <w:tcW w:w="960" w:type="dxa"/>
            <w:tcBorders>
              <w:top w:val="nil"/>
              <w:left w:val="nil"/>
              <w:bottom w:val="nil"/>
              <w:right w:val="nil"/>
            </w:tcBorders>
            <w:shd w:val="clear" w:color="auto" w:fill="auto"/>
            <w:noWrap/>
            <w:vAlign w:val="bottom"/>
            <w:hideMark/>
          </w:tcPr>
          <w:p w14:paraId="1B51091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225.6</w:t>
            </w:r>
          </w:p>
        </w:tc>
        <w:tc>
          <w:tcPr>
            <w:tcW w:w="689" w:type="dxa"/>
            <w:tcBorders>
              <w:top w:val="nil"/>
              <w:left w:val="nil"/>
              <w:bottom w:val="nil"/>
              <w:right w:val="nil"/>
            </w:tcBorders>
            <w:shd w:val="clear" w:color="auto" w:fill="auto"/>
            <w:noWrap/>
            <w:vAlign w:val="bottom"/>
            <w:hideMark/>
          </w:tcPr>
          <w:p w14:paraId="0ED6427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509.0</w:t>
            </w:r>
          </w:p>
        </w:tc>
        <w:tc>
          <w:tcPr>
            <w:tcW w:w="1000" w:type="dxa"/>
            <w:tcBorders>
              <w:top w:val="nil"/>
              <w:left w:val="nil"/>
              <w:bottom w:val="nil"/>
              <w:right w:val="nil"/>
            </w:tcBorders>
            <w:shd w:val="clear" w:color="auto" w:fill="auto"/>
            <w:noWrap/>
            <w:vAlign w:val="bottom"/>
            <w:hideMark/>
          </w:tcPr>
          <w:p w14:paraId="4CBFF04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127.1</w:t>
            </w:r>
          </w:p>
        </w:tc>
      </w:tr>
      <w:tr w:rsidR="00F26016" w:rsidRPr="00F26016" w14:paraId="407BC7F6" w14:textId="77777777" w:rsidTr="00F26016">
        <w:trPr>
          <w:trHeight w:val="300"/>
        </w:trPr>
        <w:tc>
          <w:tcPr>
            <w:tcW w:w="1140" w:type="dxa"/>
            <w:tcBorders>
              <w:top w:val="nil"/>
              <w:left w:val="nil"/>
              <w:bottom w:val="nil"/>
              <w:right w:val="nil"/>
            </w:tcBorders>
            <w:shd w:val="clear" w:color="auto" w:fill="auto"/>
            <w:noWrap/>
            <w:hideMark/>
          </w:tcPr>
          <w:p w14:paraId="5AEE5AA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97</w:t>
            </w:r>
          </w:p>
        </w:tc>
        <w:tc>
          <w:tcPr>
            <w:tcW w:w="1200" w:type="dxa"/>
            <w:tcBorders>
              <w:top w:val="nil"/>
              <w:left w:val="nil"/>
              <w:bottom w:val="nil"/>
              <w:right w:val="nil"/>
            </w:tcBorders>
            <w:shd w:val="clear" w:color="auto" w:fill="auto"/>
            <w:noWrap/>
            <w:hideMark/>
          </w:tcPr>
          <w:p w14:paraId="05186D0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151C179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71C0BD9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0A3702C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7B71945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4F54622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7345A9D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5292524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43.7</w:t>
            </w:r>
          </w:p>
        </w:tc>
        <w:tc>
          <w:tcPr>
            <w:tcW w:w="920" w:type="dxa"/>
            <w:tcBorders>
              <w:top w:val="nil"/>
              <w:left w:val="nil"/>
              <w:bottom w:val="nil"/>
              <w:right w:val="nil"/>
            </w:tcBorders>
            <w:shd w:val="clear" w:color="auto" w:fill="auto"/>
            <w:noWrap/>
            <w:vAlign w:val="bottom"/>
            <w:hideMark/>
          </w:tcPr>
          <w:p w14:paraId="526A993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9.1</w:t>
            </w:r>
          </w:p>
        </w:tc>
        <w:tc>
          <w:tcPr>
            <w:tcW w:w="741" w:type="dxa"/>
            <w:tcBorders>
              <w:top w:val="nil"/>
              <w:left w:val="nil"/>
              <w:bottom w:val="nil"/>
              <w:right w:val="nil"/>
            </w:tcBorders>
            <w:shd w:val="clear" w:color="auto" w:fill="auto"/>
            <w:noWrap/>
            <w:vAlign w:val="bottom"/>
            <w:hideMark/>
          </w:tcPr>
          <w:p w14:paraId="5E84109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17.8</w:t>
            </w:r>
          </w:p>
        </w:tc>
        <w:tc>
          <w:tcPr>
            <w:tcW w:w="785" w:type="dxa"/>
            <w:tcBorders>
              <w:top w:val="nil"/>
              <w:left w:val="nil"/>
              <w:bottom w:val="nil"/>
              <w:right w:val="nil"/>
            </w:tcBorders>
            <w:shd w:val="clear" w:color="auto" w:fill="auto"/>
            <w:noWrap/>
            <w:vAlign w:val="bottom"/>
            <w:hideMark/>
          </w:tcPr>
          <w:p w14:paraId="0B7D739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13.7</w:t>
            </w:r>
          </w:p>
        </w:tc>
        <w:tc>
          <w:tcPr>
            <w:tcW w:w="732" w:type="dxa"/>
            <w:tcBorders>
              <w:top w:val="nil"/>
              <w:left w:val="nil"/>
              <w:bottom w:val="nil"/>
              <w:right w:val="nil"/>
            </w:tcBorders>
            <w:shd w:val="clear" w:color="auto" w:fill="auto"/>
            <w:noWrap/>
            <w:vAlign w:val="bottom"/>
            <w:hideMark/>
          </w:tcPr>
          <w:p w14:paraId="66C8D9B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167.4</w:t>
            </w:r>
          </w:p>
        </w:tc>
        <w:tc>
          <w:tcPr>
            <w:tcW w:w="860" w:type="dxa"/>
            <w:tcBorders>
              <w:top w:val="nil"/>
              <w:left w:val="nil"/>
              <w:bottom w:val="nil"/>
              <w:right w:val="nil"/>
            </w:tcBorders>
            <w:shd w:val="clear" w:color="auto" w:fill="auto"/>
            <w:noWrap/>
            <w:vAlign w:val="bottom"/>
            <w:hideMark/>
          </w:tcPr>
          <w:p w14:paraId="425574E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31.5</w:t>
            </w:r>
          </w:p>
        </w:tc>
        <w:tc>
          <w:tcPr>
            <w:tcW w:w="960" w:type="dxa"/>
            <w:tcBorders>
              <w:top w:val="nil"/>
              <w:left w:val="nil"/>
              <w:bottom w:val="nil"/>
              <w:right w:val="nil"/>
            </w:tcBorders>
            <w:shd w:val="clear" w:color="auto" w:fill="auto"/>
            <w:noWrap/>
            <w:vAlign w:val="bottom"/>
            <w:hideMark/>
          </w:tcPr>
          <w:p w14:paraId="6373CFC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91.1</w:t>
            </w:r>
          </w:p>
        </w:tc>
        <w:tc>
          <w:tcPr>
            <w:tcW w:w="689" w:type="dxa"/>
            <w:tcBorders>
              <w:top w:val="nil"/>
              <w:left w:val="nil"/>
              <w:bottom w:val="nil"/>
              <w:right w:val="nil"/>
            </w:tcBorders>
            <w:shd w:val="clear" w:color="auto" w:fill="auto"/>
            <w:noWrap/>
            <w:vAlign w:val="bottom"/>
            <w:hideMark/>
          </w:tcPr>
          <w:p w14:paraId="6CF73F7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379.0</w:t>
            </w:r>
          </w:p>
        </w:tc>
        <w:tc>
          <w:tcPr>
            <w:tcW w:w="1000" w:type="dxa"/>
            <w:tcBorders>
              <w:top w:val="nil"/>
              <w:left w:val="nil"/>
              <w:bottom w:val="nil"/>
              <w:right w:val="nil"/>
            </w:tcBorders>
            <w:shd w:val="clear" w:color="auto" w:fill="auto"/>
            <w:noWrap/>
            <w:vAlign w:val="bottom"/>
            <w:hideMark/>
          </w:tcPr>
          <w:p w14:paraId="644B86B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205.7</w:t>
            </w:r>
          </w:p>
        </w:tc>
      </w:tr>
      <w:tr w:rsidR="00F26016" w:rsidRPr="00F26016" w14:paraId="0663E2B2" w14:textId="77777777" w:rsidTr="00F26016">
        <w:trPr>
          <w:trHeight w:val="300"/>
        </w:trPr>
        <w:tc>
          <w:tcPr>
            <w:tcW w:w="1140" w:type="dxa"/>
            <w:tcBorders>
              <w:top w:val="nil"/>
              <w:left w:val="nil"/>
              <w:bottom w:val="nil"/>
              <w:right w:val="nil"/>
            </w:tcBorders>
            <w:shd w:val="clear" w:color="auto" w:fill="auto"/>
            <w:noWrap/>
            <w:hideMark/>
          </w:tcPr>
          <w:p w14:paraId="67B30C0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97</w:t>
            </w:r>
          </w:p>
        </w:tc>
        <w:tc>
          <w:tcPr>
            <w:tcW w:w="1200" w:type="dxa"/>
            <w:tcBorders>
              <w:top w:val="nil"/>
              <w:left w:val="nil"/>
              <w:bottom w:val="nil"/>
              <w:right w:val="nil"/>
            </w:tcBorders>
            <w:shd w:val="clear" w:color="auto" w:fill="auto"/>
            <w:noWrap/>
            <w:hideMark/>
          </w:tcPr>
          <w:p w14:paraId="5AE10BF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0695992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3421B93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0CCAA44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550E28D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1B40A3A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19D333A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5672774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9.3</w:t>
            </w:r>
          </w:p>
        </w:tc>
        <w:tc>
          <w:tcPr>
            <w:tcW w:w="920" w:type="dxa"/>
            <w:tcBorders>
              <w:top w:val="nil"/>
              <w:left w:val="nil"/>
              <w:bottom w:val="nil"/>
              <w:right w:val="nil"/>
            </w:tcBorders>
            <w:shd w:val="clear" w:color="auto" w:fill="auto"/>
            <w:noWrap/>
            <w:vAlign w:val="bottom"/>
            <w:hideMark/>
          </w:tcPr>
          <w:p w14:paraId="005682D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8.4</w:t>
            </w:r>
          </w:p>
        </w:tc>
        <w:tc>
          <w:tcPr>
            <w:tcW w:w="741" w:type="dxa"/>
            <w:tcBorders>
              <w:top w:val="nil"/>
              <w:left w:val="nil"/>
              <w:bottom w:val="nil"/>
              <w:right w:val="nil"/>
            </w:tcBorders>
            <w:shd w:val="clear" w:color="auto" w:fill="auto"/>
            <w:noWrap/>
            <w:vAlign w:val="bottom"/>
            <w:hideMark/>
          </w:tcPr>
          <w:p w14:paraId="11E60D6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8.0</w:t>
            </w:r>
          </w:p>
        </w:tc>
        <w:tc>
          <w:tcPr>
            <w:tcW w:w="785" w:type="dxa"/>
            <w:tcBorders>
              <w:top w:val="nil"/>
              <w:left w:val="nil"/>
              <w:bottom w:val="nil"/>
              <w:right w:val="nil"/>
            </w:tcBorders>
            <w:shd w:val="clear" w:color="auto" w:fill="auto"/>
            <w:noWrap/>
            <w:vAlign w:val="bottom"/>
            <w:hideMark/>
          </w:tcPr>
          <w:p w14:paraId="419C209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21.1</w:t>
            </w:r>
          </w:p>
        </w:tc>
        <w:tc>
          <w:tcPr>
            <w:tcW w:w="732" w:type="dxa"/>
            <w:tcBorders>
              <w:top w:val="nil"/>
              <w:left w:val="nil"/>
              <w:bottom w:val="nil"/>
              <w:right w:val="nil"/>
            </w:tcBorders>
            <w:shd w:val="clear" w:color="auto" w:fill="auto"/>
            <w:noWrap/>
            <w:vAlign w:val="bottom"/>
            <w:hideMark/>
          </w:tcPr>
          <w:p w14:paraId="1D9A838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51.4</w:t>
            </w:r>
          </w:p>
        </w:tc>
        <w:tc>
          <w:tcPr>
            <w:tcW w:w="860" w:type="dxa"/>
            <w:tcBorders>
              <w:top w:val="nil"/>
              <w:left w:val="nil"/>
              <w:bottom w:val="nil"/>
              <w:right w:val="nil"/>
            </w:tcBorders>
            <w:shd w:val="clear" w:color="auto" w:fill="auto"/>
            <w:noWrap/>
            <w:vAlign w:val="bottom"/>
            <w:hideMark/>
          </w:tcPr>
          <w:p w14:paraId="4BB55D3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10.2</w:t>
            </w:r>
          </w:p>
        </w:tc>
        <w:tc>
          <w:tcPr>
            <w:tcW w:w="960" w:type="dxa"/>
            <w:tcBorders>
              <w:top w:val="nil"/>
              <w:left w:val="nil"/>
              <w:bottom w:val="nil"/>
              <w:right w:val="nil"/>
            </w:tcBorders>
            <w:shd w:val="clear" w:color="auto" w:fill="auto"/>
            <w:noWrap/>
            <w:vAlign w:val="bottom"/>
            <w:hideMark/>
          </w:tcPr>
          <w:p w14:paraId="07C6BCA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45.4</w:t>
            </w:r>
          </w:p>
        </w:tc>
        <w:tc>
          <w:tcPr>
            <w:tcW w:w="689" w:type="dxa"/>
            <w:tcBorders>
              <w:top w:val="nil"/>
              <w:left w:val="nil"/>
              <w:bottom w:val="nil"/>
              <w:right w:val="nil"/>
            </w:tcBorders>
            <w:shd w:val="clear" w:color="auto" w:fill="auto"/>
            <w:noWrap/>
            <w:vAlign w:val="bottom"/>
            <w:hideMark/>
          </w:tcPr>
          <w:p w14:paraId="6E406E8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358.8</w:t>
            </w:r>
          </w:p>
        </w:tc>
        <w:tc>
          <w:tcPr>
            <w:tcW w:w="1000" w:type="dxa"/>
            <w:tcBorders>
              <w:top w:val="nil"/>
              <w:left w:val="nil"/>
              <w:bottom w:val="nil"/>
              <w:right w:val="nil"/>
            </w:tcBorders>
            <w:shd w:val="clear" w:color="auto" w:fill="auto"/>
            <w:noWrap/>
            <w:vAlign w:val="bottom"/>
            <w:hideMark/>
          </w:tcPr>
          <w:p w14:paraId="38DCB6F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136.8</w:t>
            </w:r>
          </w:p>
        </w:tc>
      </w:tr>
      <w:tr w:rsidR="00F26016" w:rsidRPr="00F26016" w14:paraId="62D9A4BE" w14:textId="77777777" w:rsidTr="00F26016">
        <w:trPr>
          <w:trHeight w:val="300"/>
        </w:trPr>
        <w:tc>
          <w:tcPr>
            <w:tcW w:w="1140" w:type="dxa"/>
            <w:tcBorders>
              <w:top w:val="nil"/>
              <w:left w:val="nil"/>
              <w:bottom w:val="nil"/>
              <w:right w:val="nil"/>
            </w:tcBorders>
            <w:shd w:val="clear" w:color="auto" w:fill="auto"/>
            <w:noWrap/>
            <w:hideMark/>
          </w:tcPr>
          <w:p w14:paraId="40FC8CA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97</w:t>
            </w:r>
          </w:p>
        </w:tc>
        <w:tc>
          <w:tcPr>
            <w:tcW w:w="1200" w:type="dxa"/>
            <w:tcBorders>
              <w:top w:val="nil"/>
              <w:left w:val="nil"/>
              <w:bottom w:val="nil"/>
              <w:right w:val="nil"/>
            </w:tcBorders>
            <w:shd w:val="clear" w:color="auto" w:fill="auto"/>
            <w:noWrap/>
            <w:hideMark/>
          </w:tcPr>
          <w:p w14:paraId="33AC88C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7D09322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64D5206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5F484E4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73F0E61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7BB805C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5DC376A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2EAB647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42.1</w:t>
            </w:r>
          </w:p>
        </w:tc>
        <w:tc>
          <w:tcPr>
            <w:tcW w:w="920" w:type="dxa"/>
            <w:tcBorders>
              <w:top w:val="nil"/>
              <w:left w:val="nil"/>
              <w:bottom w:val="nil"/>
              <w:right w:val="nil"/>
            </w:tcBorders>
            <w:shd w:val="clear" w:color="auto" w:fill="auto"/>
            <w:noWrap/>
            <w:vAlign w:val="bottom"/>
            <w:hideMark/>
          </w:tcPr>
          <w:p w14:paraId="00392E5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18.7</w:t>
            </w:r>
          </w:p>
        </w:tc>
        <w:tc>
          <w:tcPr>
            <w:tcW w:w="741" w:type="dxa"/>
            <w:tcBorders>
              <w:top w:val="nil"/>
              <w:left w:val="nil"/>
              <w:bottom w:val="nil"/>
              <w:right w:val="nil"/>
            </w:tcBorders>
            <w:shd w:val="clear" w:color="auto" w:fill="auto"/>
            <w:noWrap/>
            <w:vAlign w:val="bottom"/>
            <w:hideMark/>
          </w:tcPr>
          <w:p w14:paraId="2CB3EA5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132.7</w:t>
            </w:r>
          </w:p>
        </w:tc>
        <w:tc>
          <w:tcPr>
            <w:tcW w:w="785" w:type="dxa"/>
            <w:tcBorders>
              <w:top w:val="nil"/>
              <w:left w:val="nil"/>
              <w:bottom w:val="nil"/>
              <w:right w:val="nil"/>
            </w:tcBorders>
            <w:shd w:val="clear" w:color="auto" w:fill="auto"/>
            <w:noWrap/>
            <w:vAlign w:val="bottom"/>
            <w:hideMark/>
          </w:tcPr>
          <w:p w14:paraId="0D32F06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109.1</w:t>
            </w:r>
          </w:p>
        </w:tc>
        <w:tc>
          <w:tcPr>
            <w:tcW w:w="732" w:type="dxa"/>
            <w:tcBorders>
              <w:top w:val="nil"/>
              <w:left w:val="nil"/>
              <w:bottom w:val="nil"/>
              <w:right w:val="nil"/>
            </w:tcBorders>
            <w:shd w:val="clear" w:color="auto" w:fill="auto"/>
            <w:noWrap/>
            <w:vAlign w:val="bottom"/>
            <w:hideMark/>
          </w:tcPr>
          <w:p w14:paraId="763DF9A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33.3</w:t>
            </w:r>
          </w:p>
        </w:tc>
        <w:tc>
          <w:tcPr>
            <w:tcW w:w="860" w:type="dxa"/>
            <w:tcBorders>
              <w:top w:val="nil"/>
              <w:left w:val="nil"/>
              <w:bottom w:val="nil"/>
              <w:right w:val="nil"/>
            </w:tcBorders>
            <w:shd w:val="clear" w:color="auto" w:fill="auto"/>
            <w:noWrap/>
            <w:vAlign w:val="bottom"/>
            <w:hideMark/>
          </w:tcPr>
          <w:p w14:paraId="42A08CF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23.0</w:t>
            </w:r>
          </w:p>
        </w:tc>
        <w:tc>
          <w:tcPr>
            <w:tcW w:w="960" w:type="dxa"/>
            <w:tcBorders>
              <w:top w:val="nil"/>
              <w:left w:val="nil"/>
              <w:bottom w:val="nil"/>
              <w:right w:val="nil"/>
            </w:tcBorders>
            <w:shd w:val="clear" w:color="auto" w:fill="auto"/>
            <w:noWrap/>
            <w:vAlign w:val="bottom"/>
            <w:hideMark/>
          </w:tcPr>
          <w:p w14:paraId="244D744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264.8</w:t>
            </w:r>
          </w:p>
        </w:tc>
        <w:tc>
          <w:tcPr>
            <w:tcW w:w="689" w:type="dxa"/>
            <w:tcBorders>
              <w:top w:val="nil"/>
              <w:left w:val="nil"/>
              <w:bottom w:val="nil"/>
              <w:right w:val="nil"/>
            </w:tcBorders>
            <w:shd w:val="clear" w:color="auto" w:fill="auto"/>
            <w:noWrap/>
            <w:vAlign w:val="bottom"/>
            <w:hideMark/>
          </w:tcPr>
          <w:p w14:paraId="4A73256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1091.6</w:t>
            </w:r>
          </w:p>
        </w:tc>
        <w:tc>
          <w:tcPr>
            <w:tcW w:w="1000" w:type="dxa"/>
            <w:tcBorders>
              <w:top w:val="nil"/>
              <w:left w:val="nil"/>
              <w:bottom w:val="nil"/>
              <w:right w:val="nil"/>
            </w:tcBorders>
            <w:shd w:val="clear" w:color="auto" w:fill="auto"/>
            <w:noWrap/>
            <w:vAlign w:val="bottom"/>
            <w:hideMark/>
          </w:tcPr>
          <w:p w14:paraId="3E6FD20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125.4</w:t>
            </w:r>
          </w:p>
        </w:tc>
      </w:tr>
      <w:tr w:rsidR="00F26016" w:rsidRPr="00F26016" w14:paraId="2CD60AA2" w14:textId="77777777" w:rsidTr="00F26016">
        <w:trPr>
          <w:trHeight w:val="300"/>
        </w:trPr>
        <w:tc>
          <w:tcPr>
            <w:tcW w:w="1140" w:type="dxa"/>
            <w:tcBorders>
              <w:top w:val="nil"/>
              <w:left w:val="nil"/>
              <w:bottom w:val="nil"/>
              <w:right w:val="nil"/>
            </w:tcBorders>
            <w:shd w:val="clear" w:color="auto" w:fill="auto"/>
            <w:noWrap/>
            <w:hideMark/>
          </w:tcPr>
          <w:p w14:paraId="5292086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98</w:t>
            </w:r>
          </w:p>
        </w:tc>
        <w:tc>
          <w:tcPr>
            <w:tcW w:w="1200" w:type="dxa"/>
            <w:tcBorders>
              <w:top w:val="nil"/>
              <w:left w:val="nil"/>
              <w:bottom w:val="nil"/>
              <w:right w:val="nil"/>
            </w:tcBorders>
            <w:shd w:val="clear" w:color="auto" w:fill="auto"/>
            <w:noWrap/>
            <w:hideMark/>
          </w:tcPr>
          <w:p w14:paraId="475A440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6CF0486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5916C0C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58ED996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2E2411B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38C7690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5514EE1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w:t>
            </w:r>
          </w:p>
        </w:tc>
        <w:tc>
          <w:tcPr>
            <w:tcW w:w="660" w:type="dxa"/>
            <w:tcBorders>
              <w:top w:val="nil"/>
              <w:left w:val="nil"/>
              <w:bottom w:val="nil"/>
              <w:right w:val="nil"/>
            </w:tcBorders>
            <w:shd w:val="clear" w:color="auto" w:fill="auto"/>
            <w:noWrap/>
            <w:vAlign w:val="bottom"/>
            <w:hideMark/>
          </w:tcPr>
          <w:p w14:paraId="1EFE92D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77.1</w:t>
            </w:r>
          </w:p>
        </w:tc>
        <w:tc>
          <w:tcPr>
            <w:tcW w:w="920" w:type="dxa"/>
            <w:tcBorders>
              <w:top w:val="nil"/>
              <w:left w:val="nil"/>
              <w:bottom w:val="nil"/>
              <w:right w:val="nil"/>
            </w:tcBorders>
            <w:shd w:val="clear" w:color="auto" w:fill="auto"/>
            <w:noWrap/>
            <w:vAlign w:val="bottom"/>
            <w:hideMark/>
          </w:tcPr>
          <w:p w14:paraId="27541B9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10.0</w:t>
            </w:r>
          </w:p>
        </w:tc>
        <w:tc>
          <w:tcPr>
            <w:tcW w:w="741" w:type="dxa"/>
            <w:tcBorders>
              <w:top w:val="nil"/>
              <w:left w:val="nil"/>
              <w:bottom w:val="nil"/>
              <w:right w:val="nil"/>
            </w:tcBorders>
            <w:shd w:val="clear" w:color="auto" w:fill="auto"/>
            <w:noWrap/>
            <w:vAlign w:val="bottom"/>
            <w:hideMark/>
          </w:tcPr>
          <w:p w14:paraId="60B2853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29.1</w:t>
            </w:r>
          </w:p>
        </w:tc>
        <w:tc>
          <w:tcPr>
            <w:tcW w:w="785" w:type="dxa"/>
            <w:tcBorders>
              <w:top w:val="nil"/>
              <w:left w:val="nil"/>
              <w:bottom w:val="nil"/>
              <w:right w:val="nil"/>
            </w:tcBorders>
            <w:shd w:val="clear" w:color="auto" w:fill="auto"/>
            <w:noWrap/>
            <w:vAlign w:val="bottom"/>
            <w:hideMark/>
          </w:tcPr>
          <w:p w14:paraId="3BAE166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21.2</w:t>
            </w:r>
          </w:p>
        </w:tc>
        <w:tc>
          <w:tcPr>
            <w:tcW w:w="732" w:type="dxa"/>
            <w:tcBorders>
              <w:top w:val="nil"/>
              <w:left w:val="nil"/>
              <w:bottom w:val="nil"/>
              <w:right w:val="nil"/>
            </w:tcBorders>
            <w:shd w:val="clear" w:color="auto" w:fill="auto"/>
            <w:noWrap/>
            <w:vAlign w:val="bottom"/>
            <w:hideMark/>
          </w:tcPr>
          <w:p w14:paraId="209F465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799.4</w:t>
            </w:r>
          </w:p>
        </w:tc>
        <w:tc>
          <w:tcPr>
            <w:tcW w:w="860" w:type="dxa"/>
            <w:tcBorders>
              <w:top w:val="nil"/>
              <w:left w:val="nil"/>
              <w:bottom w:val="nil"/>
              <w:right w:val="nil"/>
            </w:tcBorders>
            <w:shd w:val="clear" w:color="auto" w:fill="auto"/>
            <w:noWrap/>
            <w:vAlign w:val="bottom"/>
            <w:hideMark/>
          </w:tcPr>
          <w:p w14:paraId="1959486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11.4</w:t>
            </w:r>
          </w:p>
        </w:tc>
        <w:tc>
          <w:tcPr>
            <w:tcW w:w="960" w:type="dxa"/>
            <w:tcBorders>
              <w:top w:val="nil"/>
              <w:left w:val="nil"/>
              <w:bottom w:val="nil"/>
              <w:right w:val="nil"/>
            </w:tcBorders>
            <w:shd w:val="clear" w:color="auto" w:fill="auto"/>
            <w:noWrap/>
            <w:vAlign w:val="bottom"/>
            <w:hideMark/>
          </w:tcPr>
          <w:p w14:paraId="113C3D8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97.3</w:t>
            </w:r>
          </w:p>
        </w:tc>
        <w:tc>
          <w:tcPr>
            <w:tcW w:w="689" w:type="dxa"/>
            <w:tcBorders>
              <w:top w:val="nil"/>
              <w:left w:val="nil"/>
              <w:bottom w:val="nil"/>
              <w:right w:val="nil"/>
            </w:tcBorders>
            <w:shd w:val="clear" w:color="auto" w:fill="auto"/>
            <w:noWrap/>
            <w:vAlign w:val="bottom"/>
            <w:hideMark/>
          </w:tcPr>
          <w:p w14:paraId="4F10A21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58.8</w:t>
            </w:r>
          </w:p>
        </w:tc>
        <w:tc>
          <w:tcPr>
            <w:tcW w:w="1000" w:type="dxa"/>
            <w:tcBorders>
              <w:top w:val="nil"/>
              <w:left w:val="nil"/>
              <w:bottom w:val="nil"/>
              <w:right w:val="nil"/>
            </w:tcBorders>
            <w:shd w:val="clear" w:color="auto" w:fill="auto"/>
            <w:noWrap/>
            <w:vAlign w:val="bottom"/>
            <w:hideMark/>
          </w:tcPr>
          <w:p w14:paraId="4C27C5A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234.7</w:t>
            </w:r>
          </w:p>
        </w:tc>
      </w:tr>
      <w:tr w:rsidR="00F26016" w:rsidRPr="00F26016" w14:paraId="3449CD37" w14:textId="77777777" w:rsidTr="00F26016">
        <w:trPr>
          <w:trHeight w:val="300"/>
        </w:trPr>
        <w:tc>
          <w:tcPr>
            <w:tcW w:w="1140" w:type="dxa"/>
            <w:tcBorders>
              <w:top w:val="nil"/>
              <w:left w:val="nil"/>
              <w:bottom w:val="nil"/>
              <w:right w:val="nil"/>
            </w:tcBorders>
            <w:shd w:val="clear" w:color="auto" w:fill="auto"/>
            <w:noWrap/>
            <w:hideMark/>
          </w:tcPr>
          <w:p w14:paraId="2A62AB7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98</w:t>
            </w:r>
          </w:p>
        </w:tc>
        <w:tc>
          <w:tcPr>
            <w:tcW w:w="1200" w:type="dxa"/>
            <w:tcBorders>
              <w:top w:val="nil"/>
              <w:left w:val="nil"/>
              <w:bottom w:val="nil"/>
              <w:right w:val="nil"/>
            </w:tcBorders>
            <w:shd w:val="clear" w:color="auto" w:fill="auto"/>
            <w:noWrap/>
            <w:hideMark/>
          </w:tcPr>
          <w:p w14:paraId="2658BA1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34E6DCB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17AF323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3725ABD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3B3D29D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347C2BA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1AA35EC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w:t>
            </w:r>
          </w:p>
        </w:tc>
        <w:tc>
          <w:tcPr>
            <w:tcW w:w="660" w:type="dxa"/>
            <w:tcBorders>
              <w:top w:val="nil"/>
              <w:left w:val="nil"/>
              <w:bottom w:val="nil"/>
              <w:right w:val="nil"/>
            </w:tcBorders>
            <w:shd w:val="clear" w:color="auto" w:fill="auto"/>
            <w:noWrap/>
            <w:vAlign w:val="bottom"/>
            <w:hideMark/>
          </w:tcPr>
          <w:p w14:paraId="0877486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920" w:type="dxa"/>
            <w:tcBorders>
              <w:top w:val="nil"/>
              <w:left w:val="nil"/>
              <w:bottom w:val="nil"/>
              <w:right w:val="nil"/>
            </w:tcBorders>
            <w:shd w:val="clear" w:color="auto" w:fill="auto"/>
            <w:noWrap/>
            <w:vAlign w:val="bottom"/>
            <w:hideMark/>
          </w:tcPr>
          <w:p w14:paraId="6321E1B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16.3</w:t>
            </w:r>
          </w:p>
        </w:tc>
        <w:tc>
          <w:tcPr>
            <w:tcW w:w="741" w:type="dxa"/>
            <w:tcBorders>
              <w:top w:val="nil"/>
              <w:left w:val="nil"/>
              <w:bottom w:val="nil"/>
              <w:right w:val="nil"/>
            </w:tcBorders>
            <w:shd w:val="clear" w:color="auto" w:fill="auto"/>
            <w:noWrap/>
            <w:vAlign w:val="bottom"/>
            <w:hideMark/>
          </w:tcPr>
          <w:p w14:paraId="25DD608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6.8</w:t>
            </w:r>
          </w:p>
        </w:tc>
        <w:tc>
          <w:tcPr>
            <w:tcW w:w="785" w:type="dxa"/>
            <w:tcBorders>
              <w:top w:val="nil"/>
              <w:left w:val="nil"/>
              <w:bottom w:val="nil"/>
              <w:right w:val="nil"/>
            </w:tcBorders>
            <w:shd w:val="clear" w:color="auto" w:fill="auto"/>
            <w:noWrap/>
            <w:vAlign w:val="bottom"/>
            <w:hideMark/>
          </w:tcPr>
          <w:p w14:paraId="38CD119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13.7</w:t>
            </w:r>
          </w:p>
        </w:tc>
        <w:tc>
          <w:tcPr>
            <w:tcW w:w="732" w:type="dxa"/>
            <w:tcBorders>
              <w:top w:val="nil"/>
              <w:left w:val="nil"/>
              <w:bottom w:val="nil"/>
              <w:right w:val="nil"/>
            </w:tcBorders>
            <w:shd w:val="clear" w:color="auto" w:fill="auto"/>
            <w:noWrap/>
            <w:vAlign w:val="bottom"/>
            <w:hideMark/>
          </w:tcPr>
          <w:p w14:paraId="2E28423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131.5</w:t>
            </w:r>
          </w:p>
        </w:tc>
        <w:tc>
          <w:tcPr>
            <w:tcW w:w="860" w:type="dxa"/>
            <w:tcBorders>
              <w:top w:val="nil"/>
              <w:left w:val="nil"/>
              <w:bottom w:val="nil"/>
              <w:right w:val="nil"/>
            </w:tcBorders>
            <w:shd w:val="clear" w:color="auto" w:fill="auto"/>
            <w:noWrap/>
            <w:vAlign w:val="bottom"/>
            <w:hideMark/>
          </w:tcPr>
          <w:p w14:paraId="5982187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w:t>
            </w:r>
          </w:p>
        </w:tc>
        <w:tc>
          <w:tcPr>
            <w:tcW w:w="960" w:type="dxa"/>
            <w:tcBorders>
              <w:top w:val="nil"/>
              <w:left w:val="nil"/>
              <w:bottom w:val="nil"/>
              <w:right w:val="nil"/>
            </w:tcBorders>
            <w:shd w:val="clear" w:color="auto" w:fill="auto"/>
            <w:noWrap/>
            <w:vAlign w:val="bottom"/>
            <w:hideMark/>
          </w:tcPr>
          <w:p w14:paraId="6EF091A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39.3</w:t>
            </w:r>
          </w:p>
        </w:tc>
        <w:tc>
          <w:tcPr>
            <w:tcW w:w="689" w:type="dxa"/>
            <w:tcBorders>
              <w:top w:val="nil"/>
              <w:left w:val="nil"/>
              <w:bottom w:val="nil"/>
              <w:right w:val="nil"/>
            </w:tcBorders>
            <w:shd w:val="clear" w:color="auto" w:fill="auto"/>
            <w:noWrap/>
            <w:vAlign w:val="bottom"/>
            <w:hideMark/>
          </w:tcPr>
          <w:p w14:paraId="1E115F8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245.6</w:t>
            </w:r>
          </w:p>
        </w:tc>
        <w:tc>
          <w:tcPr>
            <w:tcW w:w="1000" w:type="dxa"/>
            <w:tcBorders>
              <w:top w:val="nil"/>
              <w:left w:val="nil"/>
              <w:bottom w:val="nil"/>
              <w:right w:val="nil"/>
            </w:tcBorders>
            <w:shd w:val="clear" w:color="auto" w:fill="auto"/>
            <w:noWrap/>
            <w:vAlign w:val="bottom"/>
            <w:hideMark/>
          </w:tcPr>
          <w:p w14:paraId="1B8ABB8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111.8</w:t>
            </w:r>
          </w:p>
        </w:tc>
      </w:tr>
      <w:tr w:rsidR="00F26016" w:rsidRPr="00F26016" w14:paraId="615DF19F" w14:textId="77777777" w:rsidTr="00F26016">
        <w:trPr>
          <w:trHeight w:val="300"/>
        </w:trPr>
        <w:tc>
          <w:tcPr>
            <w:tcW w:w="1140" w:type="dxa"/>
            <w:tcBorders>
              <w:top w:val="nil"/>
              <w:left w:val="nil"/>
              <w:bottom w:val="nil"/>
              <w:right w:val="nil"/>
            </w:tcBorders>
            <w:shd w:val="clear" w:color="auto" w:fill="auto"/>
            <w:noWrap/>
            <w:hideMark/>
          </w:tcPr>
          <w:p w14:paraId="0E528B4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98</w:t>
            </w:r>
          </w:p>
        </w:tc>
        <w:tc>
          <w:tcPr>
            <w:tcW w:w="1200" w:type="dxa"/>
            <w:tcBorders>
              <w:top w:val="nil"/>
              <w:left w:val="nil"/>
              <w:bottom w:val="nil"/>
              <w:right w:val="nil"/>
            </w:tcBorders>
            <w:shd w:val="clear" w:color="auto" w:fill="auto"/>
            <w:noWrap/>
            <w:hideMark/>
          </w:tcPr>
          <w:p w14:paraId="0FB5E38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4FE6AFD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5FF4F0B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52C2C6D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1552E85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28A8415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59DEE05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w:t>
            </w:r>
          </w:p>
        </w:tc>
        <w:tc>
          <w:tcPr>
            <w:tcW w:w="660" w:type="dxa"/>
            <w:tcBorders>
              <w:top w:val="nil"/>
              <w:left w:val="nil"/>
              <w:bottom w:val="nil"/>
              <w:right w:val="nil"/>
            </w:tcBorders>
            <w:shd w:val="clear" w:color="auto" w:fill="auto"/>
            <w:noWrap/>
            <w:vAlign w:val="bottom"/>
            <w:hideMark/>
          </w:tcPr>
          <w:p w14:paraId="56509B7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51.5</w:t>
            </w:r>
          </w:p>
        </w:tc>
        <w:tc>
          <w:tcPr>
            <w:tcW w:w="920" w:type="dxa"/>
            <w:tcBorders>
              <w:top w:val="nil"/>
              <w:left w:val="nil"/>
              <w:bottom w:val="nil"/>
              <w:right w:val="nil"/>
            </w:tcBorders>
            <w:shd w:val="clear" w:color="auto" w:fill="auto"/>
            <w:noWrap/>
            <w:vAlign w:val="bottom"/>
            <w:hideMark/>
          </w:tcPr>
          <w:p w14:paraId="6D68A00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24.9</w:t>
            </w:r>
          </w:p>
        </w:tc>
        <w:tc>
          <w:tcPr>
            <w:tcW w:w="741" w:type="dxa"/>
            <w:tcBorders>
              <w:top w:val="nil"/>
              <w:left w:val="nil"/>
              <w:bottom w:val="nil"/>
              <w:right w:val="nil"/>
            </w:tcBorders>
            <w:shd w:val="clear" w:color="auto" w:fill="auto"/>
            <w:noWrap/>
            <w:vAlign w:val="bottom"/>
            <w:hideMark/>
          </w:tcPr>
          <w:p w14:paraId="61D04C8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227.7</w:t>
            </w:r>
          </w:p>
        </w:tc>
        <w:tc>
          <w:tcPr>
            <w:tcW w:w="785" w:type="dxa"/>
            <w:tcBorders>
              <w:top w:val="nil"/>
              <w:left w:val="nil"/>
              <w:bottom w:val="nil"/>
              <w:right w:val="nil"/>
            </w:tcBorders>
            <w:shd w:val="clear" w:color="auto" w:fill="auto"/>
            <w:noWrap/>
            <w:vAlign w:val="bottom"/>
            <w:hideMark/>
          </w:tcPr>
          <w:p w14:paraId="0F14364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125.5</w:t>
            </w:r>
          </w:p>
        </w:tc>
        <w:tc>
          <w:tcPr>
            <w:tcW w:w="732" w:type="dxa"/>
            <w:tcBorders>
              <w:top w:val="nil"/>
              <w:left w:val="nil"/>
              <w:bottom w:val="nil"/>
              <w:right w:val="nil"/>
            </w:tcBorders>
            <w:shd w:val="clear" w:color="auto" w:fill="auto"/>
            <w:noWrap/>
            <w:vAlign w:val="bottom"/>
            <w:hideMark/>
          </w:tcPr>
          <w:p w14:paraId="1573F35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116.1</w:t>
            </w:r>
          </w:p>
        </w:tc>
        <w:tc>
          <w:tcPr>
            <w:tcW w:w="860" w:type="dxa"/>
            <w:tcBorders>
              <w:top w:val="nil"/>
              <w:left w:val="nil"/>
              <w:bottom w:val="nil"/>
              <w:right w:val="nil"/>
            </w:tcBorders>
            <w:shd w:val="clear" w:color="auto" w:fill="auto"/>
            <w:noWrap/>
            <w:vAlign w:val="bottom"/>
            <w:hideMark/>
          </w:tcPr>
          <w:p w14:paraId="1C4B933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28.4</w:t>
            </w:r>
          </w:p>
        </w:tc>
        <w:tc>
          <w:tcPr>
            <w:tcW w:w="960" w:type="dxa"/>
            <w:tcBorders>
              <w:top w:val="nil"/>
              <w:left w:val="nil"/>
              <w:bottom w:val="nil"/>
              <w:right w:val="nil"/>
            </w:tcBorders>
            <w:shd w:val="clear" w:color="auto" w:fill="auto"/>
            <w:noWrap/>
            <w:vAlign w:val="bottom"/>
            <w:hideMark/>
          </w:tcPr>
          <w:p w14:paraId="1A5AB44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226.7</w:t>
            </w:r>
          </w:p>
        </w:tc>
        <w:tc>
          <w:tcPr>
            <w:tcW w:w="689" w:type="dxa"/>
            <w:tcBorders>
              <w:top w:val="nil"/>
              <w:left w:val="nil"/>
              <w:bottom w:val="nil"/>
              <w:right w:val="nil"/>
            </w:tcBorders>
            <w:shd w:val="clear" w:color="auto" w:fill="auto"/>
            <w:noWrap/>
            <w:vAlign w:val="bottom"/>
            <w:hideMark/>
          </w:tcPr>
          <w:p w14:paraId="24C34D8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664.9</w:t>
            </w:r>
          </w:p>
        </w:tc>
        <w:tc>
          <w:tcPr>
            <w:tcW w:w="1000" w:type="dxa"/>
            <w:tcBorders>
              <w:top w:val="nil"/>
              <w:left w:val="nil"/>
              <w:bottom w:val="nil"/>
              <w:right w:val="nil"/>
            </w:tcBorders>
            <w:shd w:val="clear" w:color="auto" w:fill="auto"/>
            <w:noWrap/>
            <w:vAlign w:val="bottom"/>
            <w:hideMark/>
          </w:tcPr>
          <w:p w14:paraId="73821B4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134.4</w:t>
            </w:r>
          </w:p>
        </w:tc>
      </w:tr>
      <w:tr w:rsidR="00F26016" w:rsidRPr="00F26016" w14:paraId="63CA4027" w14:textId="77777777" w:rsidTr="00F26016">
        <w:trPr>
          <w:trHeight w:val="300"/>
        </w:trPr>
        <w:tc>
          <w:tcPr>
            <w:tcW w:w="1140" w:type="dxa"/>
            <w:tcBorders>
              <w:top w:val="nil"/>
              <w:left w:val="nil"/>
              <w:bottom w:val="nil"/>
              <w:right w:val="nil"/>
            </w:tcBorders>
            <w:shd w:val="clear" w:color="auto" w:fill="auto"/>
            <w:noWrap/>
            <w:hideMark/>
          </w:tcPr>
          <w:p w14:paraId="6C0B57D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99</w:t>
            </w:r>
          </w:p>
        </w:tc>
        <w:tc>
          <w:tcPr>
            <w:tcW w:w="1200" w:type="dxa"/>
            <w:tcBorders>
              <w:top w:val="nil"/>
              <w:left w:val="nil"/>
              <w:bottom w:val="nil"/>
              <w:right w:val="nil"/>
            </w:tcBorders>
            <w:shd w:val="clear" w:color="auto" w:fill="auto"/>
            <w:noWrap/>
            <w:hideMark/>
          </w:tcPr>
          <w:p w14:paraId="0A35052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2F14932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435DDFB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035B365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5D403B1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04279D8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7ED2F20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w:t>
            </w:r>
          </w:p>
        </w:tc>
        <w:tc>
          <w:tcPr>
            <w:tcW w:w="660" w:type="dxa"/>
            <w:tcBorders>
              <w:top w:val="nil"/>
              <w:left w:val="nil"/>
              <w:bottom w:val="nil"/>
              <w:right w:val="nil"/>
            </w:tcBorders>
            <w:shd w:val="clear" w:color="auto" w:fill="auto"/>
            <w:noWrap/>
            <w:vAlign w:val="bottom"/>
            <w:hideMark/>
          </w:tcPr>
          <w:p w14:paraId="7D9CA46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28.3</w:t>
            </w:r>
          </w:p>
        </w:tc>
        <w:tc>
          <w:tcPr>
            <w:tcW w:w="920" w:type="dxa"/>
            <w:tcBorders>
              <w:top w:val="nil"/>
              <w:left w:val="nil"/>
              <w:bottom w:val="nil"/>
              <w:right w:val="nil"/>
            </w:tcBorders>
            <w:shd w:val="clear" w:color="auto" w:fill="auto"/>
            <w:noWrap/>
            <w:vAlign w:val="bottom"/>
            <w:hideMark/>
          </w:tcPr>
          <w:p w14:paraId="7D5CE35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3.6</w:t>
            </w:r>
          </w:p>
        </w:tc>
        <w:tc>
          <w:tcPr>
            <w:tcW w:w="741" w:type="dxa"/>
            <w:tcBorders>
              <w:top w:val="nil"/>
              <w:left w:val="nil"/>
              <w:bottom w:val="nil"/>
              <w:right w:val="nil"/>
            </w:tcBorders>
            <w:shd w:val="clear" w:color="auto" w:fill="auto"/>
            <w:noWrap/>
            <w:vAlign w:val="bottom"/>
            <w:hideMark/>
          </w:tcPr>
          <w:p w14:paraId="6F8AFA5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20.2</w:t>
            </w:r>
          </w:p>
        </w:tc>
        <w:tc>
          <w:tcPr>
            <w:tcW w:w="785" w:type="dxa"/>
            <w:tcBorders>
              <w:top w:val="nil"/>
              <w:left w:val="nil"/>
              <w:bottom w:val="nil"/>
              <w:right w:val="nil"/>
            </w:tcBorders>
            <w:shd w:val="clear" w:color="auto" w:fill="auto"/>
            <w:noWrap/>
            <w:vAlign w:val="bottom"/>
            <w:hideMark/>
          </w:tcPr>
          <w:p w14:paraId="41B2C52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14.5</w:t>
            </w:r>
          </w:p>
        </w:tc>
        <w:tc>
          <w:tcPr>
            <w:tcW w:w="732" w:type="dxa"/>
            <w:tcBorders>
              <w:top w:val="nil"/>
              <w:left w:val="nil"/>
              <w:bottom w:val="nil"/>
              <w:right w:val="nil"/>
            </w:tcBorders>
            <w:shd w:val="clear" w:color="auto" w:fill="auto"/>
            <w:noWrap/>
            <w:vAlign w:val="bottom"/>
            <w:hideMark/>
          </w:tcPr>
          <w:p w14:paraId="02434D0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93.7</w:t>
            </w:r>
          </w:p>
        </w:tc>
        <w:tc>
          <w:tcPr>
            <w:tcW w:w="860" w:type="dxa"/>
            <w:tcBorders>
              <w:top w:val="nil"/>
              <w:left w:val="nil"/>
              <w:bottom w:val="nil"/>
              <w:right w:val="nil"/>
            </w:tcBorders>
            <w:shd w:val="clear" w:color="auto" w:fill="auto"/>
            <w:noWrap/>
            <w:vAlign w:val="bottom"/>
            <w:hideMark/>
          </w:tcPr>
          <w:p w14:paraId="6AEDEA4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9.5</w:t>
            </w:r>
          </w:p>
        </w:tc>
        <w:tc>
          <w:tcPr>
            <w:tcW w:w="960" w:type="dxa"/>
            <w:tcBorders>
              <w:top w:val="nil"/>
              <w:left w:val="nil"/>
              <w:bottom w:val="nil"/>
              <w:right w:val="nil"/>
            </w:tcBorders>
            <w:shd w:val="clear" w:color="auto" w:fill="auto"/>
            <w:noWrap/>
            <w:vAlign w:val="bottom"/>
            <w:hideMark/>
          </w:tcPr>
          <w:p w14:paraId="44420B4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269.5</w:t>
            </w:r>
          </w:p>
        </w:tc>
        <w:tc>
          <w:tcPr>
            <w:tcW w:w="689" w:type="dxa"/>
            <w:tcBorders>
              <w:top w:val="nil"/>
              <w:left w:val="nil"/>
              <w:bottom w:val="nil"/>
              <w:right w:val="nil"/>
            </w:tcBorders>
            <w:shd w:val="clear" w:color="auto" w:fill="auto"/>
            <w:noWrap/>
            <w:vAlign w:val="bottom"/>
            <w:hideMark/>
          </w:tcPr>
          <w:p w14:paraId="34B8617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609.9</w:t>
            </w:r>
          </w:p>
        </w:tc>
        <w:tc>
          <w:tcPr>
            <w:tcW w:w="1000" w:type="dxa"/>
            <w:tcBorders>
              <w:top w:val="nil"/>
              <w:left w:val="nil"/>
              <w:bottom w:val="nil"/>
              <w:right w:val="nil"/>
            </w:tcBorders>
            <w:shd w:val="clear" w:color="auto" w:fill="auto"/>
            <w:noWrap/>
            <w:vAlign w:val="bottom"/>
            <w:hideMark/>
          </w:tcPr>
          <w:p w14:paraId="207FD99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194.6</w:t>
            </w:r>
          </w:p>
        </w:tc>
      </w:tr>
      <w:tr w:rsidR="00F26016" w:rsidRPr="00F26016" w14:paraId="0983A5BF" w14:textId="77777777" w:rsidTr="00F26016">
        <w:trPr>
          <w:trHeight w:val="300"/>
        </w:trPr>
        <w:tc>
          <w:tcPr>
            <w:tcW w:w="1140" w:type="dxa"/>
            <w:tcBorders>
              <w:top w:val="nil"/>
              <w:left w:val="nil"/>
              <w:bottom w:val="nil"/>
              <w:right w:val="nil"/>
            </w:tcBorders>
            <w:shd w:val="clear" w:color="auto" w:fill="auto"/>
            <w:noWrap/>
            <w:hideMark/>
          </w:tcPr>
          <w:p w14:paraId="610C060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99</w:t>
            </w:r>
          </w:p>
        </w:tc>
        <w:tc>
          <w:tcPr>
            <w:tcW w:w="1200" w:type="dxa"/>
            <w:tcBorders>
              <w:top w:val="nil"/>
              <w:left w:val="nil"/>
              <w:bottom w:val="nil"/>
              <w:right w:val="nil"/>
            </w:tcBorders>
            <w:shd w:val="clear" w:color="auto" w:fill="auto"/>
            <w:noWrap/>
            <w:hideMark/>
          </w:tcPr>
          <w:p w14:paraId="254F85D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76CF7B4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10B82BC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04744FE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7D2B20B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7A941D9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1F3F505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w:t>
            </w:r>
          </w:p>
        </w:tc>
        <w:tc>
          <w:tcPr>
            <w:tcW w:w="660" w:type="dxa"/>
            <w:tcBorders>
              <w:top w:val="nil"/>
              <w:left w:val="nil"/>
              <w:bottom w:val="nil"/>
              <w:right w:val="nil"/>
            </w:tcBorders>
            <w:shd w:val="clear" w:color="auto" w:fill="auto"/>
            <w:noWrap/>
            <w:vAlign w:val="bottom"/>
            <w:hideMark/>
          </w:tcPr>
          <w:p w14:paraId="5AF90B0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5.7</w:t>
            </w:r>
          </w:p>
        </w:tc>
        <w:tc>
          <w:tcPr>
            <w:tcW w:w="920" w:type="dxa"/>
            <w:tcBorders>
              <w:top w:val="nil"/>
              <w:left w:val="nil"/>
              <w:bottom w:val="nil"/>
              <w:right w:val="nil"/>
            </w:tcBorders>
            <w:shd w:val="clear" w:color="auto" w:fill="auto"/>
            <w:noWrap/>
            <w:vAlign w:val="bottom"/>
            <w:hideMark/>
          </w:tcPr>
          <w:p w14:paraId="1F287F4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7.8</w:t>
            </w:r>
          </w:p>
        </w:tc>
        <w:tc>
          <w:tcPr>
            <w:tcW w:w="741" w:type="dxa"/>
            <w:tcBorders>
              <w:top w:val="nil"/>
              <w:left w:val="nil"/>
              <w:bottom w:val="nil"/>
              <w:right w:val="nil"/>
            </w:tcBorders>
            <w:shd w:val="clear" w:color="auto" w:fill="auto"/>
            <w:noWrap/>
            <w:vAlign w:val="bottom"/>
            <w:hideMark/>
          </w:tcPr>
          <w:p w14:paraId="6FA6C28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8.4</w:t>
            </w:r>
          </w:p>
        </w:tc>
        <w:tc>
          <w:tcPr>
            <w:tcW w:w="785" w:type="dxa"/>
            <w:tcBorders>
              <w:top w:val="nil"/>
              <w:left w:val="nil"/>
              <w:bottom w:val="nil"/>
              <w:right w:val="nil"/>
            </w:tcBorders>
            <w:shd w:val="clear" w:color="auto" w:fill="auto"/>
            <w:noWrap/>
            <w:vAlign w:val="bottom"/>
            <w:hideMark/>
          </w:tcPr>
          <w:p w14:paraId="6B8237D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13.2</w:t>
            </w:r>
          </w:p>
        </w:tc>
        <w:tc>
          <w:tcPr>
            <w:tcW w:w="732" w:type="dxa"/>
            <w:tcBorders>
              <w:top w:val="nil"/>
              <w:left w:val="nil"/>
              <w:bottom w:val="nil"/>
              <w:right w:val="nil"/>
            </w:tcBorders>
            <w:shd w:val="clear" w:color="auto" w:fill="auto"/>
            <w:noWrap/>
            <w:vAlign w:val="bottom"/>
            <w:hideMark/>
          </w:tcPr>
          <w:p w14:paraId="7DA5424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41.9</w:t>
            </w:r>
          </w:p>
        </w:tc>
        <w:tc>
          <w:tcPr>
            <w:tcW w:w="860" w:type="dxa"/>
            <w:tcBorders>
              <w:top w:val="nil"/>
              <w:left w:val="nil"/>
              <w:bottom w:val="nil"/>
              <w:right w:val="nil"/>
            </w:tcBorders>
            <w:shd w:val="clear" w:color="auto" w:fill="auto"/>
            <w:noWrap/>
            <w:vAlign w:val="bottom"/>
            <w:hideMark/>
          </w:tcPr>
          <w:p w14:paraId="47ED1595" w14:textId="77777777" w:rsidR="00F26016" w:rsidRPr="00F26016" w:rsidRDefault="00F26016" w:rsidP="00F26016">
            <w:pPr>
              <w:rPr>
                <w:rFonts w:ascii="Calibri" w:eastAsia="Times New Roman" w:hAnsi="Calibri" w:cs="Times New Roman"/>
                <w:color w:val="000000"/>
                <w:sz w:val="16"/>
                <w:szCs w:val="16"/>
              </w:rPr>
            </w:pPr>
          </w:p>
        </w:tc>
        <w:tc>
          <w:tcPr>
            <w:tcW w:w="960" w:type="dxa"/>
            <w:tcBorders>
              <w:top w:val="nil"/>
              <w:left w:val="nil"/>
              <w:bottom w:val="nil"/>
              <w:right w:val="nil"/>
            </w:tcBorders>
            <w:shd w:val="clear" w:color="auto" w:fill="auto"/>
            <w:noWrap/>
            <w:vAlign w:val="bottom"/>
            <w:hideMark/>
          </w:tcPr>
          <w:p w14:paraId="6D61C2F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170.7</w:t>
            </w:r>
          </w:p>
        </w:tc>
        <w:tc>
          <w:tcPr>
            <w:tcW w:w="689" w:type="dxa"/>
            <w:tcBorders>
              <w:top w:val="nil"/>
              <w:left w:val="nil"/>
              <w:bottom w:val="nil"/>
              <w:right w:val="nil"/>
            </w:tcBorders>
            <w:shd w:val="clear" w:color="auto" w:fill="auto"/>
            <w:noWrap/>
            <w:vAlign w:val="bottom"/>
            <w:hideMark/>
          </w:tcPr>
          <w:p w14:paraId="5A81E67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551.9</w:t>
            </w:r>
          </w:p>
        </w:tc>
        <w:tc>
          <w:tcPr>
            <w:tcW w:w="1000" w:type="dxa"/>
            <w:tcBorders>
              <w:top w:val="nil"/>
              <w:left w:val="nil"/>
              <w:bottom w:val="nil"/>
              <w:right w:val="nil"/>
            </w:tcBorders>
            <w:shd w:val="clear" w:color="auto" w:fill="auto"/>
            <w:noWrap/>
            <w:vAlign w:val="bottom"/>
            <w:hideMark/>
          </w:tcPr>
          <w:p w14:paraId="4472F73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142.1</w:t>
            </w:r>
          </w:p>
        </w:tc>
      </w:tr>
      <w:tr w:rsidR="00F26016" w:rsidRPr="00F26016" w14:paraId="7837EDD4" w14:textId="77777777" w:rsidTr="00F26016">
        <w:trPr>
          <w:trHeight w:val="300"/>
        </w:trPr>
        <w:tc>
          <w:tcPr>
            <w:tcW w:w="1140" w:type="dxa"/>
            <w:tcBorders>
              <w:top w:val="nil"/>
              <w:left w:val="nil"/>
              <w:bottom w:val="nil"/>
              <w:right w:val="nil"/>
            </w:tcBorders>
            <w:shd w:val="clear" w:color="auto" w:fill="auto"/>
            <w:noWrap/>
            <w:hideMark/>
          </w:tcPr>
          <w:p w14:paraId="1A7A47E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99</w:t>
            </w:r>
          </w:p>
        </w:tc>
        <w:tc>
          <w:tcPr>
            <w:tcW w:w="1200" w:type="dxa"/>
            <w:tcBorders>
              <w:top w:val="nil"/>
              <w:left w:val="nil"/>
              <w:bottom w:val="nil"/>
              <w:right w:val="nil"/>
            </w:tcBorders>
            <w:shd w:val="clear" w:color="auto" w:fill="auto"/>
            <w:noWrap/>
            <w:hideMark/>
          </w:tcPr>
          <w:p w14:paraId="60257FF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19AB547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5CD521D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77810F0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2D2B318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6D18C12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69B76B6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w:t>
            </w:r>
          </w:p>
        </w:tc>
        <w:tc>
          <w:tcPr>
            <w:tcW w:w="660" w:type="dxa"/>
            <w:tcBorders>
              <w:top w:val="nil"/>
              <w:left w:val="nil"/>
              <w:bottom w:val="nil"/>
              <w:right w:val="nil"/>
            </w:tcBorders>
            <w:shd w:val="clear" w:color="auto" w:fill="auto"/>
            <w:noWrap/>
            <w:vAlign w:val="bottom"/>
            <w:hideMark/>
          </w:tcPr>
          <w:p w14:paraId="3C9F63A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34.2</w:t>
            </w:r>
          </w:p>
        </w:tc>
        <w:tc>
          <w:tcPr>
            <w:tcW w:w="920" w:type="dxa"/>
            <w:tcBorders>
              <w:top w:val="nil"/>
              <w:left w:val="nil"/>
              <w:bottom w:val="nil"/>
              <w:right w:val="nil"/>
            </w:tcBorders>
            <w:shd w:val="clear" w:color="auto" w:fill="auto"/>
            <w:noWrap/>
            <w:vAlign w:val="bottom"/>
            <w:hideMark/>
          </w:tcPr>
          <w:p w14:paraId="49BE910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27.4</w:t>
            </w:r>
          </w:p>
        </w:tc>
        <w:tc>
          <w:tcPr>
            <w:tcW w:w="741" w:type="dxa"/>
            <w:tcBorders>
              <w:top w:val="nil"/>
              <w:left w:val="nil"/>
              <w:bottom w:val="nil"/>
              <w:right w:val="nil"/>
            </w:tcBorders>
            <w:shd w:val="clear" w:color="auto" w:fill="auto"/>
            <w:noWrap/>
            <w:vAlign w:val="bottom"/>
            <w:hideMark/>
          </w:tcPr>
          <w:p w14:paraId="2ECD819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83.7</w:t>
            </w:r>
          </w:p>
        </w:tc>
        <w:tc>
          <w:tcPr>
            <w:tcW w:w="785" w:type="dxa"/>
            <w:tcBorders>
              <w:top w:val="nil"/>
              <w:left w:val="nil"/>
              <w:bottom w:val="nil"/>
              <w:right w:val="nil"/>
            </w:tcBorders>
            <w:shd w:val="clear" w:color="auto" w:fill="auto"/>
            <w:noWrap/>
            <w:vAlign w:val="bottom"/>
            <w:hideMark/>
          </w:tcPr>
          <w:p w14:paraId="1CF180D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64.9</w:t>
            </w:r>
          </w:p>
        </w:tc>
        <w:tc>
          <w:tcPr>
            <w:tcW w:w="732" w:type="dxa"/>
            <w:tcBorders>
              <w:top w:val="nil"/>
              <w:left w:val="nil"/>
              <w:bottom w:val="nil"/>
              <w:right w:val="nil"/>
            </w:tcBorders>
            <w:shd w:val="clear" w:color="auto" w:fill="auto"/>
            <w:noWrap/>
            <w:vAlign w:val="bottom"/>
            <w:hideMark/>
          </w:tcPr>
          <w:p w14:paraId="77E8325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24.8</w:t>
            </w:r>
          </w:p>
        </w:tc>
        <w:tc>
          <w:tcPr>
            <w:tcW w:w="860" w:type="dxa"/>
            <w:tcBorders>
              <w:top w:val="nil"/>
              <w:left w:val="nil"/>
              <w:bottom w:val="nil"/>
              <w:right w:val="nil"/>
            </w:tcBorders>
            <w:shd w:val="clear" w:color="auto" w:fill="auto"/>
            <w:noWrap/>
            <w:vAlign w:val="bottom"/>
            <w:hideMark/>
          </w:tcPr>
          <w:p w14:paraId="21DFE79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16.9</w:t>
            </w:r>
          </w:p>
        </w:tc>
        <w:tc>
          <w:tcPr>
            <w:tcW w:w="960" w:type="dxa"/>
            <w:tcBorders>
              <w:top w:val="nil"/>
              <w:left w:val="nil"/>
              <w:bottom w:val="nil"/>
              <w:right w:val="nil"/>
            </w:tcBorders>
            <w:shd w:val="clear" w:color="auto" w:fill="auto"/>
            <w:noWrap/>
            <w:vAlign w:val="bottom"/>
            <w:hideMark/>
          </w:tcPr>
          <w:p w14:paraId="25C5018C" w14:textId="77777777" w:rsidR="00F26016" w:rsidRPr="00F26016" w:rsidRDefault="00F26016" w:rsidP="00F26016">
            <w:pPr>
              <w:rPr>
                <w:rFonts w:ascii="Calibri" w:eastAsia="Times New Roman" w:hAnsi="Calibri" w:cs="Times New Roman"/>
                <w:color w:val="000000"/>
                <w:sz w:val="16"/>
                <w:szCs w:val="16"/>
              </w:rPr>
            </w:pPr>
          </w:p>
        </w:tc>
        <w:tc>
          <w:tcPr>
            <w:tcW w:w="689" w:type="dxa"/>
            <w:tcBorders>
              <w:top w:val="nil"/>
              <w:left w:val="nil"/>
              <w:bottom w:val="nil"/>
              <w:right w:val="nil"/>
            </w:tcBorders>
            <w:shd w:val="clear" w:color="auto" w:fill="auto"/>
            <w:noWrap/>
            <w:vAlign w:val="bottom"/>
            <w:hideMark/>
          </w:tcPr>
          <w:p w14:paraId="11D9225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1221.7</w:t>
            </w:r>
          </w:p>
        </w:tc>
        <w:tc>
          <w:tcPr>
            <w:tcW w:w="1000" w:type="dxa"/>
            <w:tcBorders>
              <w:top w:val="nil"/>
              <w:left w:val="nil"/>
              <w:bottom w:val="nil"/>
              <w:right w:val="nil"/>
            </w:tcBorders>
            <w:shd w:val="clear" w:color="auto" w:fill="auto"/>
            <w:noWrap/>
            <w:vAlign w:val="bottom"/>
            <w:hideMark/>
          </w:tcPr>
          <w:p w14:paraId="52072C3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131.3</w:t>
            </w:r>
          </w:p>
        </w:tc>
      </w:tr>
      <w:tr w:rsidR="00F26016" w:rsidRPr="00F26016" w14:paraId="3EACE0EC" w14:textId="77777777" w:rsidTr="00F26016">
        <w:trPr>
          <w:trHeight w:val="300"/>
        </w:trPr>
        <w:tc>
          <w:tcPr>
            <w:tcW w:w="1140" w:type="dxa"/>
            <w:tcBorders>
              <w:top w:val="nil"/>
              <w:left w:val="nil"/>
              <w:bottom w:val="nil"/>
              <w:right w:val="nil"/>
            </w:tcBorders>
            <w:shd w:val="clear" w:color="auto" w:fill="auto"/>
            <w:noWrap/>
            <w:hideMark/>
          </w:tcPr>
          <w:p w14:paraId="14ABD28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102</w:t>
            </w:r>
          </w:p>
        </w:tc>
        <w:tc>
          <w:tcPr>
            <w:tcW w:w="1200" w:type="dxa"/>
            <w:tcBorders>
              <w:top w:val="nil"/>
              <w:left w:val="nil"/>
              <w:bottom w:val="nil"/>
              <w:right w:val="nil"/>
            </w:tcBorders>
            <w:shd w:val="clear" w:color="auto" w:fill="auto"/>
            <w:noWrap/>
            <w:hideMark/>
          </w:tcPr>
          <w:p w14:paraId="1EB8704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24B7B7C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3711DCF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4356550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6209E0D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3002668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6724102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6D8C6A1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100.0</w:t>
            </w:r>
          </w:p>
        </w:tc>
        <w:tc>
          <w:tcPr>
            <w:tcW w:w="920" w:type="dxa"/>
            <w:tcBorders>
              <w:top w:val="nil"/>
              <w:left w:val="nil"/>
              <w:bottom w:val="nil"/>
              <w:right w:val="nil"/>
            </w:tcBorders>
            <w:shd w:val="clear" w:color="auto" w:fill="auto"/>
            <w:noWrap/>
            <w:vAlign w:val="bottom"/>
            <w:hideMark/>
          </w:tcPr>
          <w:p w14:paraId="3ECF61A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20.9</w:t>
            </w:r>
          </w:p>
        </w:tc>
        <w:tc>
          <w:tcPr>
            <w:tcW w:w="741" w:type="dxa"/>
            <w:tcBorders>
              <w:top w:val="nil"/>
              <w:left w:val="nil"/>
              <w:bottom w:val="nil"/>
              <w:right w:val="nil"/>
            </w:tcBorders>
            <w:shd w:val="clear" w:color="auto" w:fill="auto"/>
            <w:noWrap/>
            <w:vAlign w:val="bottom"/>
            <w:hideMark/>
          </w:tcPr>
          <w:p w14:paraId="34E2276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30.5</w:t>
            </w:r>
          </w:p>
        </w:tc>
        <w:tc>
          <w:tcPr>
            <w:tcW w:w="785" w:type="dxa"/>
            <w:tcBorders>
              <w:top w:val="nil"/>
              <w:left w:val="nil"/>
              <w:bottom w:val="nil"/>
              <w:right w:val="nil"/>
            </w:tcBorders>
            <w:shd w:val="clear" w:color="auto" w:fill="auto"/>
            <w:noWrap/>
            <w:vAlign w:val="bottom"/>
            <w:hideMark/>
          </w:tcPr>
          <w:p w14:paraId="630E44D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25.0</w:t>
            </w:r>
          </w:p>
        </w:tc>
        <w:tc>
          <w:tcPr>
            <w:tcW w:w="732" w:type="dxa"/>
            <w:tcBorders>
              <w:top w:val="nil"/>
              <w:left w:val="nil"/>
              <w:bottom w:val="nil"/>
              <w:right w:val="nil"/>
            </w:tcBorders>
            <w:shd w:val="clear" w:color="auto" w:fill="auto"/>
            <w:noWrap/>
            <w:vAlign w:val="bottom"/>
            <w:hideMark/>
          </w:tcPr>
          <w:p w14:paraId="35734B8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879.9</w:t>
            </w:r>
          </w:p>
        </w:tc>
        <w:tc>
          <w:tcPr>
            <w:tcW w:w="860" w:type="dxa"/>
            <w:tcBorders>
              <w:top w:val="nil"/>
              <w:left w:val="nil"/>
              <w:bottom w:val="nil"/>
              <w:right w:val="nil"/>
            </w:tcBorders>
            <w:shd w:val="clear" w:color="auto" w:fill="auto"/>
            <w:noWrap/>
            <w:vAlign w:val="bottom"/>
            <w:hideMark/>
          </w:tcPr>
          <w:p w14:paraId="2324B9E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w:t>
            </w:r>
          </w:p>
        </w:tc>
        <w:tc>
          <w:tcPr>
            <w:tcW w:w="960" w:type="dxa"/>
            <w:tcBorders>
              <w:top w:val="nil"/>
              <w:left w:val="nil"/>
              <w:bottom w:val="nil"/>
              <w:right w:val="nil"/>
            </w:tcBorders>
            <w:shd w:val="clear" w:color="auto" w:fill="auto"/>
            <w:noWrap/>
            <w:vAlign w:val="bottom"/>
            <w:hideMark/>
          </w:tcPr>
          <w:p w14:paraId="52FCC08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87.3</w:t>
            </w:r>
          </w:p>
        </w:tc>
        <w:tc>
          <w:tcPr>
            <w:tcW w:w="689" w:type="dxa"/>
            <w:tcBorders>
              <w:top w:val="nil"/>
              <w:left w:val="nil"/>
              <w:bottom w:val="nil"/>
              <w:right w:val="nil"/>
            </w:tcBorders>
            <w:shd w:val="clear" w:color="auto" w:fill="auto"/>
            <w:noWrap/>
            <w:vAlign w:val="bottom"/>
            <w:hideMark/>
          </w:tcPr>
          <w:p w14:paraId="45733E0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7.9</w:t>
            </w:r>
          </w:p>
        </w:tc>
        <w:tc>
          <w:tcPr>
            <w:tcW w:w="1000" w:type="dxa"/>
            <w:tcBorders>
              <w:top w:val="nil"/>
              <w:left w:val="nil"/>
              <w:bottom w:val="nil"/>
              <w:right w:val="nil"/>
            </w:tcBorders>
            <w:shd w:val="clear" w:color="auto" w:fill="auto"/>
            <w:noWrap/>
            <w:vAlign w:val="bottom"/>
            <w:hideMark/>
          </w:tcPr>
          <w:p w14:paraId="711E9E5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229.5</w:t>
            </w:r>
          </w:p>
        </w:tc>
      </w:tr>
      <w:tr w:rsidR="00F26016" w:rsidRPr="00F26016" w14:paraId="4C34B835" w14:textId="77777777" w:rsidTr="00F26016">
        <w:trPr>
          <w:trHeight w:val="300"/>
        </w:trPr>
        <w:tc>
          <w:tcPr>
            <w:tcW w:w="1140" w:type="dxa"/>
            <w:tcBorders>
              <w:top w:val="nil"/>
              <w:left w:val="nil"/>
              <w:bottom w:val="nil"/>
              <w:right w:val="nil"/>
            </w:tcBorders>
            <w:shd w:val="clear" w:color="auto" w:fill="auto"/>
            <w:noWrap/>
            <w:hideMark/>
          </w:tcPr>
          <w:p w14:paraId="093D808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102</w:t>
            </w:r>
          </w:p>
        </w:tc>
        <w:tc>
          <w:tcPr>
            <w:tcW w:w="1200" w:type="dxa"/>
            <w:tcBorders>
              <w:top w:val="nil"/>
              <w:left w:val="nil"/>
              <w:bottom w:val="nil"/>
              <w:right w:val="nil"/>
            </w:tcBorders>
            <w:shd w:val="clear" w:color="auto" w:fill="auto"/>
            <w:noWrap/>
            <w:hideMark/>
          </w:tcPr>
          <w:p w14:paraId="17775BE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590DAFF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7D248B0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7DF6150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6492BCF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6C68F5F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11B136E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5694606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7.4</w:t>
            </w:r>
          </w:p>
        </w:tc>
        <w:tc>
          <w:tcPr>
            <w:tcW w:w="920" w:type="dxa"/>
            <w:tcBorders>
              <w:top w:val="nil"/>
              <w:left w:val="nil"/>
              <w:bottom w:val="nil"/>
              <w:right w:val="nil"/>
            </w:tcBorders>
            <w:shd w:val="clear" w:color="auto" w:fill="auto"/>
            <w:noWrap/>
            <w:vAlign w:val="bottom"/>
            <w:hideMark/>
          </w:tcPr>
          <w:p w14:paraId="1542845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13.2</w:t>
            </w:r>
          </w:p>
        </w:tc>
        <w:tc>
          <w:tcPr>
            <w:tcW w:w="741" w:type="dxa"/>
            <w:tcBorders>
              <w:top w:val="nil"/>
              <w:left w:val="nil"/>
              <w:bottom w:val="nil"/>
              <w:right w:val="nil"/>
            </w:tcBorders>
            <w:shd w:val="clear" w:color="auto" w:fill="auto"/>
            <w:noWrap/>
            <w:vAlign w:val="bottom"/>
            <w:hideMark/>
          </w:tcPr>
          <w:p w14:paraId="33DBD74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7.3</w:t>
            </w:r>
          </w:p>
        </w:tc>
        <w:tc>
          <w:tcPr>
            <w:tcW w:w="785" w:type="dxa"/>
            <w:tcBorders>
              <w:top w:val="nil"/>
              <w:left w:val="nil"/>
              <w:bottom w:val="nil"/>
              <w:right w:val="nil"/>
            </w:tcBorders>
            <w:shd w:val="clear" w:color="auto" w:fill="auto"/>
            <w:noWrap/>
            <w:vAlign w:val="bottom"/>
            <w:hideMark/>
          </w:tcPr>
          <w:p w14:paraId="13DF425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18.5</w:t>
            </w:r>
          </w:p>
        </w:tc>
        <w:tc>
          <w:tcPr>
            <w:tcW w:w="732" w:type="dxa"/>
            <w:tcBorders>
              <w:top w:val="nil"/>
              <w:left w:val="nil"/>
              <w:bottom w:val="nil"/>
              <w:right w:val="nil"/>
            </w:tcBorders>
            <w:shd w:val="clear" w:color="auto" w:fill="auto"/>
            <w:noWrap/>
            <w:vAlign w:val="bottom"/>
            <w:hideMark/>
          </w:tcPr>
          <w:p w14:paraId="77010B9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132.0</w:t>
            </w:r>
          </w:p>
        </w:tc>
        <w:tc>
          <w:tcPr>
            <w:tcW w:w="860" w:type="dxa"/>
            <w:tcBorders>
              <w:top w:val="nil"/>
              <w:left w:val="nil"/>
              <w:bottom w:val="nil"/>
              <w:right w:val="nil"/>
            </w:tcBorders>
            <w:shd w:val="clear" w:color="auto" w:fill="auto"/>
            <w:noWrap/>
            <w:vAlign w:val="bottom"/>
            <w:hideMark/>
          </w:tcPr>
          <w:p w14:paraId="7E26E06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11.0</w:t>
            </w:r>
          </w:p>
        </w:tc>
        <w:tc>
          <w:tcPr>
            <w:tcW w:w="960" w:type="dxa"/>
            <w:tcBorders>
              <w:top w:val="nil"/>
              <w:left w:val="nil"/>
              <w:bottom w:val="nil"/>
              <w:right w:val="nil"/>
            </w:tcBorders>
            <w:shd w:val="clear" w:color="auto" w:fill="auto"/>
            <w:noWrap/>
            <w:vAlign w:val="bottom"/>
            <w:hideMark/>
          </w:tcPr>
          <w:p w14:paraId="347C622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44.9</w:t>
            </w:r>
          </w:p>
        </w:tc>
        <w:tc>
          <w:tcPr>
            <w:tcW w:w="689" w:type="dxa"/>
            <w:tcBorders>
              <w:top w:val="nil"/>
              <w:left w:val="nil"/>
              <w:bottom w:val="nil"/>
              <w:right w:val="nil"/>
            </w:tcBorders>
            <w:shd w:val="clear" w:color="auto" w:fill="auto"/>
            <w:noWrap/>
            <w:vAlign w:val="bottom"/>
            <w:hideMark/>
          </w:tcPr>
          <w:p w14:paraId="22CF5B8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296.1</w:t>
            </w:r>
          </w:p>
        </w:tc>
        <w:tc>
          <w:tcPr>
            <w:tcW w:w="1000" w:type="dxa"/>
            <w:tcBorders>
              <w:top w:val="nil"/>
              <w:left w:val="nil"/>
              <w:bottom w:val="nil"/>
              <w:right w:val="nil"/>
            </w:tcBorders>
            <w:shd w:val="clear" w:color="auto" w:fill="auto"/>
            <w:noWrap/>
            <w:vAlign w:val="bottom"/>
            <w:hideMark/>
          </w:tcPr>
          <w:p w14:paraId="07F7E5B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134.3</w:t>
            </w:r>
          </w:p>
        </w:tc>
      </w:tr>
      <w:tr w:rsidR="00F26016" w:rsidRPr="00F26016" w14:paraId="2C4F237A" w14:textId="77777777" w:rsidTr="00F26016">
        <w:trPr>
          <w:trHeight w:val="300"/>
        </w:trPr>
        <w:tc>
          <w:tcPr>
            <w:tcW w:w="1140" w:type="dxa"/>
            <w:tcBorders>
              <w:top w:val="nil"/>
              <w:left w:val="nil"/>
              <w:bottom w:val="nil"/>
              <w:right w:val="nil"/>
            </w:tcBorders>
            <w:shd w:val="clear" w:color="auto" w:fill="auto"/>
            <w:noWrap/>
            <w:hideMark/>
          </w:tcPr>
          <w:p w14:paraId="1D8BA67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102</w:t>
            </w:r>
          </w:p>
        </w:tc>
        <w:tc>
          <w:tcPr>
            <w:tcW w:w="1200" w:type="dxa"/>
            <w:tcBorders>
              <w:top w:val="nil"/>
              <w:left w:val="nil"/>
              <w:bottom w:val="nil"/>
              <w:right w:val="nil"/>
            </w:tcBorders>
            <w:shd w:val="clear" w:color="auto" w:fill="auto"/>
            <w:noWrap/>
            <w:hideMark/>
          </w:tcPr>
          <w:p w14:paraId="117DFB9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2928EFC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2284443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4738F8E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6FB1550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01173C8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737A5C1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382ABB2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69.3</w:t>
            </w:r>
          </w:p>
        </w:tc>
        <w:tc>
          <w:tcPr>
            <w:tcW w:w="920" w:type="dxa"/>
            <w:tcBorders>
              <w:top w:val="nil"/>
              <w:left w:val="nil"/>
              <w:bottom w:val="nil"/>
              <w:right w:val="nil"/>
            </w:tcBorders>
            <w:shd w:val="clear" w:color="auto" w:fill="auto"/>
            <w:noWrap/>
            <w:vAlign w:val="bottom"/>
            <w:hideMark/>
          </w:tcPr>
          <w:p w14:paraId="5A5B081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41.6</w:t>
            </w:r>
          </w:p>
        </w:tc>
        <w:tc>
          <w:tcPr>
            <w:tcW w:w="741" w:type="dxa"/>
            <w:tcBorders>
              <w:top w:val="nil"/>
              <w:left w:val="nil"/>
              <w:bottom w:val="nil"/>
              <w:right w:val="nil"/>
            </w:tcBorders>
            <w:shd w:val="clear" w:color="auto" w:fill="auto"/>
            <w:noWrap/>
            <w:vAlign w:val="bottom"/>
            <w:hideMark/>
          </w:tcPr>
          <w:p w14:paraId="7152E97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252.6</w:t>
            </w:r>
          </w:p>
        </w:tc>
        <w:tc>
          <w:tcPr>
            <w:tcW w:w="785" w:type="dxa"/>
            <w:tcBorders>
              <w:top w:val="nil"/>
              <w:left w:val="nil"/>
              <w:bottom w:val="nil"/>
              <w:right w:val="nil"/>
            </w:tcBorders>
            <w:shd w:val="clear" w:color="auto" w:fill="auto"/>
            <w:noWrap/>
            <w:vAlign w:val="bottom"/>
            <w:hideMark/>
          </w:tcPr>
          <w:p w14:paraId="14D29B0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171.7</w:t>
            </w:r>
          </w:p>
        </w:tc>
        <w:tc>
          <w:tcPr>
            <w:tcW w:w="732" w:type="dxa"/>
            <w:tcBorders>
              <w:top w:val="nil"/>
              <w:left w:val="nil"/>
              <w:bottom w:val="nil"/>
              <w:right w:val="nil"/>
            </w:tcBorders>
            <w:shd w:val="clear" w:color="auto" w:fill="auto"/>
            <w:noWrap/>
            <w:vAlign w:val="bottom"/>
            <w:hideMark/>
          </w:tcPr>
          <w:p w14:paraId="6E9107B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73.6</w:t>
            </w:r>
          </w:p>
        </w:tc>
        <w:tc>
          <w:tcPr>
            <w:tcW w:w="860" w:type="dxa"/>
            <w:tcBorders>
              <w:top w:val="nil"/>
              <w:left w:val="nil"/>
              <w:bottom w:val="nil"/>
              <w:right w:val="nil"/>
            </w:tcBorders>
            <w:shd w:val="clear" w:color="auto" w:fill="auto"/>
            <w:noWrap/>
            <w:vAlign w:val="bottom"/>
            <w:hideMark/>
          </w:tcPr>
          <w:p w14:paraId="4CE20AF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123.7</w:t>
            </w:r>
          </w:p>
        </w:tc>
        <w:tc>
          <w:tcPr>
            <w:tcW w:w="960" w:type="dxa"/>
            <w:tcBorders>
              <w:top w:val="nil"/>
              <w:left w:val="nil"/>
              <w:bottom w:val="nil"/>
              <w:right w:val="nil"/>
            </w:tcBorders>
            <w:shd w:val="clear" w:color="auto" w:fill="auto"/>
            <w:noWrap/>
            <w:vAlign w:val="bottom"/>
            <w:hideMark/>
          </w:tcPr>
          <w:p w14:paraId="16CA850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256.6</w:t>
            </w:r>
          </w:p>
        </w:tc>
        <w:tc>
          <w:tcPr>
            <w:tcW w:w="689" w:type="dxa"/>
            <w:tcBorders>
              <w:top w:val="nil"/>
              <w:left w:val="nil"/>
              <w:bottom w:val="nil"/>
              <w:right w:val="nil"/>
            </w:tcBorders>
            <w:shd w:val="clear" w:color="auto" w:fill="auto"/>
            <w:noWrap/>
            <w:vAlign w:val="bottom"/>
            <w:hideMark/>
          </w:tcPr>
          <w:p w14:paraId="725D862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266.7</w:t>
            </w:r>
          </w:p>
        </w:tc>
        <w:tc>
          <w:tcPr>
            <w:tcW w:w="1000" w:type="dxa"/>
            <w:tcBorders>
              <w:top w:val="nil"/>
              <w:left w:val="nil"/>
              <w:bottom w:val="nil"/>
              <w:right w:val="nil"/>
            </w:tcBorders>
            <w:shd w:val="clear" w:color="auto" w:fill="auto"/>
            <w:noWrap/>
            <w:vAlign w:val="bottom"/>
            <w:hideMark/>
          </w:tcPr>
          <w:p w14:paraId="08F14E2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134.2</w:t>
            </w:r>
          </w:p>
        </w:tc>
      </w:tr>
      <w:tr w:rsidR="00F26016" w:rsidRPr="00F26016" w14:paraId="76E50883" w14:textId="77777777" w:rsidTr="00F26016">
        <w:trPr>
          <w:trHeight w:val="300"/>
        </w:trPr>
        <w:tc>
          <w:tcPr>
            <w:tcW w:w="1140" w:type="dxa"/>
            <w:tcBorders>
              <w:top w:val="nil"/>
              <w:left w:val="nil"/>
              <w:bottom w:val="nil"/>
              <w:right w:val="nil"/>
            </w:tcBorders>
            <w:shd w:val="clear" w:color="auto" w:fill="auto"/>
            <w:noWrap/>
            <w:hideMark/>
          </w:tcPr>
          <w:p w14:paraId="7310D0D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105</w:t>
            </w:r>
          </w:p>
        </w:tc>
        <w:tc>
          <w:tcPr>
            <w:tcW w:w="1200" w:type="dxa"/>
            <w:tcBorders>
              <w:top w:val="nil"/>
              <w:left w:val="nil"/>
              <w:bottom w:val="nil"/>
              <w:right w:val="nil"/>
            </w:tcBorders>
            <w:shd w:val="clear" w:color="auto" w:fill="auto"/>
            <w:noWrap/>
            <w:hideMark/>
          </w:tcPr>
          <w:p w14:paraId="6728B9E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2071694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39E09AC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789E201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6542698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3FD8137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5F6FED3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w:t>
            </w:r>
          </w:p>
        </w:tc>
        <w:tc>
          <w:tcPr>
            <w:tcW w:w="660" w:type="dxa"/>
            <w:tcBorders>
              <w:top w:val="nil"/>
              <w:left w:val="nil"/>
              <w:bottom w:val="nil"/>
              <w:right w:val="nil"/>
            </w:tcBorders>
            <w:shd w:val="clear" w:color="auto" w:fill="auto"/>
            <w:noWrap/>
            <w:vAlign w:val="bottom"/>
            <w:hideMark/>
          </w:tcPr>
          <w:p w14:paraId="63EC0BC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20.7</w:t>
            </w:r>
          </w:p>
        </w:tc>
        <w:tc>
          <w:tcPr>
            <w:tcW w:w="920" w:type="dxa"/>
            <w:tcBorders>
              <w:top w:val="nil"/>
              <w:left w:val="nil"/>
              <w:bottom w:val="nil"/>
              <w:right w:val="nil"/>
            </w:tcBorders>
            <w:shd w:val="clear" w:color="auto" w:fill="auto"/>
            <w:noWrap/>
            <w:vAlign w:val="bottom"/>
            <w:hideMark/>
          </w:tcPr>
          <w:p w14:paraId="718DB9D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9.4</w:t>
            </w:r>
          </w:p>
        </w:tc>
        <w:tc>
          <w:tcPr>
            <w:tcW w:w="741" w:type="dxa"/>
            <w:tcBorders>
              <w:top w:val="nil"/>
              <w:left w:val="nil"/>
              <w:bottom w:val="nil"/>
              <w:right w:val="nil"/>
            </w:tcBorders>
            <w:shd w:val="clear" w:color="auto" w:fill="auto"/>
            <w:noWrap/>
            <w:vAlign w:val="bottom"/>
            <w:hideMark/>
          </w:tcPr>
          <w:p w14:paraId="651F95C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39.0</w:t>
            </w:r>
          </w:p>
        </w:tc>
        <w:tc>
          <w:tcPr>
            <w:tcW w:w="785" w:type="dxa"/>
            <w:tcBorders>
              <w:top w:val="nil"/>
              <w:left w:val="nil"/>
              <w:bottom w:val="nil"/>
              <w:right w:val="nil"/>
            </w:tcBorders>
            <w:shd w:val="clear" w:color="auto" w:fill="auto"/>
            <w:noWrap/>
            <w:vAlign w:val="bottom"/>
            <w:hideMark/>
          </w:tcPr>
          <w:p w14:paraId="07C17B9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18.3</w:t>
            </w:r>
          </w:p>
        </w:tc>
        <w:tc>
          <w:tcPr>
            <w:tcW w:w="732" w:type="dxa"/>
            <w:tcBorders>
              <w:top w:val="nil"/>
              <w:left w:val="nil"/>
              <w:bottom w:val="nil"/>
              <w:right w:val="nil"/>
            </w:tcBorders>
            <w:shd w:val="clear" w:color="auto" w:fill="auto"/>
            <w:noWrap/>
            <w:vAlign w:val="bottom"/>
            <w:hideMark/>
          </w:tcPr>
          <w:p w14:paraId="24AFEFB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169.3</w:t>
            </w:r>
          </w:p>
        </w:tc>
        <w:tc>
          <w:tcPr>
            <w:tcW w:w="860" w:type="dxa"/>
            <w:tcBorders>
              <w:top w:val="nil"/>
              <w:left w:val="nil"/>
              <w:bottom w:val="nil"/>
              <w:right w:val="nil"/>
            </w:tcBorders>
            <w:shd w:val="clear" w:color="auto" w:fill="auto"/>
            <w:noWrap/>
            <w:vAlign w:val="bottom"/>
            <w:hideMark/>
          </w:tcPr>
          <w:p w14:paraId="0C8CAD8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16.1</w:t>
            </w:r>
          </w:p>
        </w:tc>
        <w:tc>
          <w:tcPr>
            <w:tcW w:w="960" w:type="dxa"/>
            <w:tcBorders>
              <w:top w:val="nil"/>
              <w:left w:val="nil"/>
              <w:bottom w:val="nil"/>
              <w:right w:val="nil"/>
            </w:tcBorders>
            <w:shd w:val="clear" w:color="auto" w:fill="auto"/>
            <w:noWrap/>
            <w:vAlign w:val="bottom"/>
            <w:hideMark/>
          </w:tcPr>
          <w:p w14:paraId="0BE9F0A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93.3</w:t>
            </w:r>
          </w:p>
        </w:tc>
        <w:tc>
          <w:tcPr>
            <w:tcW w:w="689" w:type="dxa"/>
            <w:tcBorders>
              <w:top w:val="nil"/>
              <w:left w:val="nil"/>
              <w:bottom w:val="nil"/>
              <w:right w:val="nil"/>
            </w:tcBorders>
            <w:shd w:val="clear" w:color="auto" w:fill="auto"/>
            <w:noWrap/>
            <w:vAlign w:val="bottom"/>
            <w:hideMark/>
          </w:tcPr>
          <w:p w14:paraId="28C223F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86.0</w:t>
            </w:r>
          </w:p>
        </w:tc>
        <w:tc>
          <w:tcPr>
            <w:tcW w:w="1000" w:type="dxa"/>
            <w:tcBorders>
              <w:top w:val="nil"/>
              <w:left w:val="nil"/>
              <w:bottom w:val="nil"/>
              <w:right w:val="nil"/>
            </w:tcBorders>
            <w:shd w:val="clear" w:color="auto" w:fill="auto"/>
            <w:noWrap/>
            <w:vAlign w:val="bottom"/>
            <w:hideMark/>
          </w:tcPr>
          <w:p w14:paraId="3AEB7B4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205.8</w:t>
            </w:r>
          </w:p>
        </w:tc>
      </w:tr>
      <w:tr w:rsidR="00F26016" w:rsidRPr="00F26016" w14:paraId="6996C69E" w14:textId="77777777" w:rsidTr="00F26016">
        <w:trPr>
          <w:trHeight w:val="300"/>
        </w:trPr>
        <w:tc>
          <w:tcPr>
            <w:tcW w:w="1140" w:type="dxa"/>
            <w:tcBorders>
              <w:top w:val="nil"/>
              <w:left w:val="nil"/>
              <w:bottom w:val="nil"/>
              <w:right w:val="nil"/>
            </w:tcBorders>
            <w:shd w:val="clear" w:color="auto" w:fill="auto"/>
            <w:noWrap/>
            <w:hideMark/>
          </w:tcPr>
          <w:p w14:paraId="4B8492D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105</w:t>
            </w:r>
          </w:p>
        </w:tc>
        <w:tc>
          <w:tcPr>
            <w:tcW w:w="1200" w:type="dxa"/>
            <w:tcBorders>
              <w:top w:val="nil"/>
              <w:left w:val="nil"/>
              <w:bottom w:val="nil"/>
              <w:right w:val="nil"/>
            </w:tcBorders>
            <w:shd w:val="clear" w:color="auto" w:fill="auto"/>
            <w:noWrap/>
            <w:hideMark/>
          </w:tcPr>
          <w:p w14:paraId="3802D2C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5F5CA90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00CD6D1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63DF461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0790399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42FF4B3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56F5A7F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w:t>
            </w:r>
          </w:p>
        </w:tc>
        <w:tc>
          <w:tcPr>
            <w:tcW w:w="660" w:type="dxa"/>
            <w:tcBorders>
              <w:top w:val="nil"/>
              <w:left w:val="nil"/>
              <w:bottom w:val="nil"/>
              <w:right w:val="nil"/>
            </w:tcBorders>
            <w:shd w:val="clear" w:color="auto" w:fill="auto"/>
            <w:noWrap/>
            <w:vAlign w:val="bottom"/>
            <w:hideMark/>
          </w:tcPr>
          <w:p w14:paraId="29399BE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w:t>
            </w:r>
          </w:p>
        </w:tc>
        <w:tc>
          <w:tcPr>
            <w:tcW w:w="920" w:type="dxa"/>
            <w:tcBorders>
              <w:top w:val="nil"/>
              <w:left w:val="nil"/>
              <w:bottom w:val="nil"/>
              <w:right w:val="nil"/>
            </w:tcBorders>
            <w:shd w:val="clear" w:color="auto" w:fill="auto"/>
            <w:noWrap/>
            <w:vAlign w:val="bottom"/>
            <w:hideMark/>
          </w:tcPr>
          <w:p w14:paraId="221EB95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15.6</w:t>
            </w:r>
          </w:p>
        </w:tc>
        <w:tc>
          <w:tcPr>
            <w:tcW w:w="741" w:type="dxa"/>
            <w:tcBorders>
              <w:top w:val="nil"/>
              <w:left w:val="nil"/>
              <w:bottom w:val="nil"/>
              <w:right w:val="nil"/>
            </w:tcBorders>
            <w:shd w:val="clear" w:color="auto" w:fill="auto"/>
            <w:noWrap/>
            <w:vAlign w:val="bottom"/>
            <w:hideMark/>
          </w:tcPr>
          <w:p w14:paraId="0FB9494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6.4</w:t>
            </w:r>
          </w:p>
        </w:tc>
        <w:tc>
          <w:tcPr>
            <w:tcW w:w="785" w:type="dxa"/>
            <w:tcBorders>
              <w:top w:val="nil"/>
              <w:left w:val="nil"/>
              <w:bottom w:val="nil"/>
              <w:right w:val="nil"/>
            </w:tcBorders>
            <w:shd w:val="clear" w:color="auto" w:fill="auto"/>
            <w:noWrap/>
            <w:vAlign w:val="bottom"/>
            <w:hideMark/>
          </w:tcPr>
          <w:p w14:paraId="523DCAC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13.6</w:t>
            </w:r>
          </w:p>
        </w:tc>
        <w:tc>
          <w:tcPr>
            <w:tcW w:w="732" w:type="dxa"/>
            <w:tcBorders>
              <w:top w:val="nil"/>
              <w:left w:val="nil"/>
              <w:bottom w:val="nil"/>
              <w:right w:val="nil"/>
            </w:tcBorders>
            <w:shd w:val="clear" w:color="auto" w:fill="auto"/>
            <w:noWrap/>
            <w:vAlign w:val="bottom"/>
            <w:hideMark/>
          </w:tcPr>
          <w:p w14:paraId="2798991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65.8</w:t>
            </w:r>
          </w:p>
        </w:tc>
        <w:tc>
          <w:tcPr>
            <w:tcW w:w="860" w:type="dxa"/>
            <w:tcBorders>
              <w:top w:val="nil"/>
              <w:left w:val="nil"/>
              <w:bottom w:val="nil"/>
              <w:right w:val="nil"/>
            </w:tcBorders>
            <w:shd w:val="clear" w:color="auto" w:fill="auto"/>
            <w:noWrap/>
            <w:vAlign w:val="bottom"/>
            <w:hideMark/>
          </w:tcPr>
          <w:p w14:paraId="24360A0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0.6</w:t>
            </w:r>
          </w:p>
        </w:tc>
        <w:tc>
          <w:tcPr>
            <w:tcW w:w="960" w:type="dxa"/>
            <w:tcBorders>
              <w:top w:val="nil"/>
              <w:left w:val="nil"/>
              <w:bottom w:val="nil"/>
              <w:right w:val="nil"/>
            </w:tcBorders>
            <w:shd w:val="clear" w:color="auto" w:fill="auto"/>
            <w:noWrap/>
            <w:vAlign w:val="bottom"/>
            <w:hideMark/>
          </w:tcPr>
          <w:p w14:paraId="482BA65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41.1</w:t>
            </w:r>
          </w:p>
        </w:tc>
        <w:tc>
          <w:tcPr>
            <w:tcW w:w="689" w:type="dxa"/>
            <w:tcBorders>
              <w:top w:val="nil"/>
              <w:left w:val="nil"/>
              <w:bottom w:val="nil"/>
              <w:right w:val="nil"/>
            </w:tcBorders>
            <w:shd w:val="clear" w:color="auto" w:fill="auto"/>
            <w:noWrap/>
            <w:vAlign w:val="bottom"/>
            <w:hideMark/>
          </w:tcPr>
          <w:p w14:paraId="4D99B58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278.2</w:t>
            </w:r>
          </w:p>
        </w:tc>
        <w:tc>
          <w:tcPr>
            <w:tcW w:w="1000" w:type="dxa"/>
            <w:tcBorders>
              <w:top w:val="nil"/>
              <w:left w:val="nil"/>
              <w:bottom w:val="nil"/>
              <w:right w:val="nil"/>
            </w:tcBorders>
            <w:shd w:val="clear" w:color="auto" w:fill="auto"/>
            <w:noWrap/>
            <w:vAlign w:val="bottom"/>
            <w:hideMark/>
          </w:tcPr>
          <w:p w14:paraId="1CD6701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137.1</w:t>
            </w:r>
          </w:p>
        </w:tc>
      </w:tr>
      <w:tr w:rsidR="00F26016" w:rsidRPr="00F26016" w14:paraId="4B70DA38" w14:textId="77777777" w:rsidTr="00F26016">
        <w:trPr>
          <w:trHeight w:val="300"/>
        </w:trPr>
        <w:tc>
          <w:tcPr>
            <w:tcW w:w="1140" w:type="dxa"/>
            <w:tcBorders>
              <w:top w:val="nil"/>
              <w:left w:val="nil"/>
              <w:bottom w:val="nil"/>
              <w:right w:val="nil"/>
            </w:tcBorders>
            <w:shd w:val="clear" w:color="auto" w:fill="auto"/>
            <w:noWrap/>
            <w:hideMark/>
          </w:tcPr>
          <w:p w14:paraId="584E984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105</w:t>
            </w:r>
          </w:p>
        </w:tc>
        <w:tc>
          <w:tcPr>
            <w:tcW w:w="1200" w:type="dxa"/>
            <w:tcBorders>
              <w:top w:val="nil"/>
              <w:left w:val="nil"/>
              <w:bottom w:val="nil"/>
              <w:right w:val="nil"/>
            </w:tcBorders>
            <w:shd w:val="clear" w:color="auto" w:fill="auto"/>
            <w:noWrap/>
            <w:hideMark/>
          </w:tcPr>
          <w:p w14:paraId="5A35BA4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5A39379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6016CCA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65B7493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437F9AB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115E537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6AB5BE6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w:t>
            </w:r>
          </w:p>
        </w:tc>
        <w:tc>
          <w:tcPr>
            <w:tcW w:w="660" w:type="dxa"/>
            <w:tcBorders>
              <w:top w:val="nil"/>
              <w:left w:val="nil"/>
              <w:bottom w:val="nil"/>
              <w:right w:val="nil"/>
            </w:tcBorders>
            <w:shd w:val="clear" w:color="auto" w:fill="auto"/>
            <w:noWrap/>
            <w:vAlign w:val="bottom"/>
            <w:hideMark/>
          </w:tcPr>
          <w:p w14:paraId="5957112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33.3</w:t>
            </w:r>
          </w:p>
        </w:tc>
        <w:tc>
          <w:tcPr>
            <w:tcW w:w="920" w:type="dxa"/>
            <w:tcBorders>
              <w:top w:val="nil"/>
              <w:left w:val="nil"/>
              <w:bottom w:val="nil"/>
              <w:right w:val="nil"/>
            </w:tcBorders>
            <w:shd w:val="clear" w:color="auto" w:fill="auto"/>
            <w:noWrap/>
            <w:vAlign w:val="bottom"/>
            <w:hideMark/>
          </w:tcPr>
          <w:p w14:paraId="7C3A99F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41.8</w:t>
            </w:r>
          </w:p>
        </w:tc>
        <w:tc>
          <w:tcPr>
            <w:tcW w:w="741" w:type="dxa"/>
            <w:tcBorders>
              <w:top w:val="nil"/>
              <w:left w:val="nil"/>
              <w:bottom w:val="nil"/>
              <w:right w:val="nil"/>
            </w:tcBorders>
            <w:shd w:val="clear" w:color="auto" w:fill="auto"/>
            <w:noWrap/>
            <w:vAlign w:val="bottom"/>
            <w:hideMark/>
          </w:tcPr>
          <w:p w14:paraId="6F30FEB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123.8</w:t>
            </w:r>
          </w:p>
        </w:tc>
        <w:tc>
          <w:tcPr>
            <w:tcW w:w="785" w:type="dxa"/>
            <w:tcBorders>
              <w:top w:val="nil"/>
              <w:left w:val="nil"/>
              <w:bottom w:val="nil"/>
              <w:right w:val="nil"/>
            </w:tcBorders>
            <w:shd w:val="clear" w:color="auto" w:fill="auto"/>
            <w:noWrap/>
            <w:vAlign w:val="bottom"/>
            <w:hideMark/>
          </w:tcPr>
          <w:p w14:paraId="45A924B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129.1</w:t>
            </w:r>
          </w:p>
        </w:tc>
        <w:tc>
          <w:tcPr>
            <w:tcW w:w="732" w:type="dxa"/>
            <w:tcBorders>
              <w:top w:val="nil"/>
              <w:left w:val="nil"/>
              <w:bottom w:val="nil"/>
              <w:right w:val="nil"/>
            </w:tcBorders>
            <w:shd w:val="clear" w:color="auto" w:fill="auto"/>
            <w:noWrap/>
            <w:vAlign w:val="bottom"/>
            <w:hideMark/>
          </w:tcPr>
          <w:p w14:paraId="04F2B07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59.6</w:t>
            </w:r>
          </w:p>
        </w:tc>
        <w:tc>
          <w:tcPr>
            <w:tcW w:w="860" w:type="dxa"/>
            <w:tcBorders>
              <w:top w:val="nil"/>
              <w:left w:val="nil"/>
              <w:bottom w:val="nil"/>
              <w:right w:val="nil"/>
            </w:tcBorders>
            <w:shd w:val="clear" w:color="auto" w:fill="auto"/>
            <w:noWrap/>
            <w:vAlign w:val="bottom"/>
            <w:hideMark/>
          </w:tcPr>
          <w:p w14:paraId="6D6978B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15.6</w:t>
            </w:r>
          </w:p>
        </w:tc>
        <w:tc>
          <w:tcPr>
            <w:tcW w:w="960" w:type="dxa"/>
            <w:tcBorders>
              <w:top w:val="nil"/>
              <w:left w:val="nil"/>
              <w:bottom w:val="nil"/>
              <w:right w:val="nil"/>
            </w:tcBorders>
            <w:shd w:val="clear" w:color="auto" w:fill="auto"/>
            <w:noWrap/>
            <w:vAlign w:val="bottom"/>
            <w:hideMark/>
          </w:tcPr>
          <w:p w14:paraId="0249AF8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292.9</w:t>
            </w:r>
          </w:p>
        </w:tc>
        <w:tc>
          <w:tcPr>
            <w:tcW w:w="689" w:type="dxa"/>
            <w:tcBorders>
              <w:top w:val="nil"/>
              <w:left w:val="nil"/>
              <w:bottom w:val="nil"/>
              <w:right w:val="nil"/>
            </w:tcBorders>
            <w:shd w:val="clear" w:color="auto" w:fill="auto"/>
            <w:noWrap/>
            <w:vAlign w:val="bottom"/>
            <w:hideMark/>
          </w:tcPr>
          <w:p w14:paraId="5FDF587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783.8</w:t>
            </w:r>
          </w:p>
        </w:tc>
        <w:tc>
          <w:tcPr>
            <w:tcW w:w="1000" w:type="dxa"/>
            <w:tcBorders>
              <w:top w:val="nil"/>
              <w:left w:val="nil"/>
              <w:bottom w:val="nil"/>
              <w:right w:val="nil"/>
            </w:tcBorders>
            <w:shd w:val="clear" w:color="auto" w:fill="auto"/>
            <w:noWrap/>
            <w:vAlign w:val="bottom"/>
            <w:hideMark/>
          </w:tcPr>
          <w:p w14:paraId="165163D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128.7</w:t>
            </w:r>
          </w:p>
        </w:tc>
      </w:tr>
      <w:tr w:rsidR="00F26016" w:rsidRPr="00F26016" w14:paraId="07DEBD87" w14:textId="77777777" w:rsidTr="00F26016">
        <w:trPr>
          <w:trHeight w:val="300"/>
        </w:trPr>
        <w:tc>
          <w:tcPr>
            <w:tcW w:w="1140" w:type="dxa"/>
            <w:tcBorders>
              <w:top w:val="nil"/>
              <w:left w:val="nil"/>
              <w:bottom w:val="nil"/>
              <w:right w:val="nil"/>
            </w:tcBorders>
            <w:shd w:val="clear" w:color="auto" w:fill="auto"/>
            <w:noWrap/>
            <w:hideMark/>
          </w:tcPr>
          <w:p w14:paraId="4370746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107</w:t>
            </w:r>
          </w:p>
        </w:tc>
        <w:tc>
          <w:tcPr>
            <w:tcW w:w="1200" w:type="dxa"/>
            <w:tcBorders>
              <w:top w:val="nil"/>
              <w:left w:val="nil"/>
              <w:bottom w:val="nil"/>
              <w:right w:val="nil"/>
            </w:tcBorders>
            <w:shd w:val="clear" w:color="auto" w:fill="auto"/>
            <w:noWrap/>
            <w:hideMark/>
          </w:tcPr>
          <w:p w14:paraId="4C2D858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09677EA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6272AFD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64D1EAB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6426F74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45E9357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1EB5B5F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3C123EA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114.9</w:t>
            </w:r>
          </w:p>
        </w:tc>
        <w:tc>
          <w:tcPr>
            <w:tcW w:w="920" w:type="dxa"/>
            <w:tcBorders>
              <w:top w:val="nil"/>
              <w:left w:val="nil"/>
              <w:bottom w:val="nil"/>
              <w:right w:val="nil"/>
            </w:tcBorders>
            <w:shd w:val="clear" w:color="auto" w:fill="auto"/>
            <w:noWrap/>
            <w:vAlign w:val="bottom"/>
            <w:hideMark/>
          </w:tcPr>
          <w:p w14:paraId="22FABE4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22.9</w:t>
            </w:r>
          </w:p>
        </w:tc>
        <w:tc>
          <w:tcPr>
            <w:tcW w:w="741" w:type="dxa"/>
            <w:tcBorders>
              <w:top w:val="nil"/>
              <w:left w:val="nil"/>
              <w:bottom w:val="nil"/>
              <w:right w:val="nil"/>
            </w:tcBorders>
            <w:shd w:val="clear" w:color="auto" w:fill="auto"/>
            <w:noWrap/>
            <w:vAlign w:val="bottom"/>
            <w:hideMark/>
          </w:tcPr>
          <w:p w14:paraId="0861637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40.7</w:t>
            </w:r>
          </w:p>
        </w:tc>
        <w:tc>
          <w:tcPr>
            <w:tcW w:w="785" w:type="dxa"/>
            <w:tcBorders>
              <w:top w:val="nil"/>
              <w:left w:val="nil"/>
              <w:bottom w:val="nil"/>
              <w:right w:val="nil"/>
            </w:tcBorders>
            <w:shd w:val="clear" w:color="auto" w:fill="auto"/>
            <w:noWrap/>
            <w:vAlign w:val="bottom"/>
            <w:hideMark/>
          </w:tcPr>
          <w:p w14:paraId="1B3160E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31.6</w:t>
            </w:r>
          </w:p>
        </w:tc>
        <w:tc>
          <w:tcPr>
            <w:tcW w:w="732" w:type="dxa"/>
            <w:tcBorders>
              <w:top w:val="nil"/>
              <w:left w:val="nil"/>
              <w:bottom w:val="nil"/>
              <w:right w:val="nil"/>
            </w:tcBorders>
            <w:shd w:val="clear" w:color="auto" w:fill="auto"/>
            <w:noWrap/>
            <w:vAlign w:val="bottom"/>
            <w:hideMark/>
          </w:tcPr>
          <w:p w14:paraId="505FA99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927.8</w:t>
            </w:r>
          </w:p>
        </w:tc>
        <w:tc>
          <w:tcPr>
            <w:tcW w:w="860" w:type="dxa"/>
            <w:tcBorders>
              <w:top w:val="nil"/>
              <w:left w:val="nil"/>
              <w:bottom w:val="nil"/>
              <w:right w:val="nil"/>
            </w:tcBorders>
            <w:shd w:val="clear" w:color="auto" w:fill="auto"/>
            <w:noWrap/>
            <w:vAlign w:val="bottom"/>
            <w:hideMark/>
          </w:tcPr>
          <w:p w14:paraId="00F971E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29.6</w:t>
            </w:r>
          </w:p>
        </w:tc>
        <w:tc>
          <w:tcPr>
            <w:tcW w:w="960" w:type="dxa"/>
            <w:tcBorders>
              <w:top w:val="nil"/>
              <w:left w:val="nil"/>
              <w:bottom w:val="nil"/>
              <w:right w:val="nil"/>
            </w:tcBorders>
            <w:shd w:val="clear" w:color="auto" w:fill="auto"/>
            <w:noWrap/>
            <w:vAlign w:val="bottom"/>
            <w:hideMark/>
          </w:tcPr>
          <w:p w14:paraId="7C945EC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93.0</w:t>
            </w:r>
          </w:p>
        </w:tc>
        <w:tc>
          <w:tcPr>
            <w:tcW w:w="689" w:type="dxa"/>
            <w:tcBorders>
              <w:top w:val="nil"/>
              <w:left w:val="nil"/>
              <w:bottom w:val="nil"/>
              <w:right w:val="nil"/>
            </w:tcBorders>
            <w:shd w:val="clear" w:color="auto" w:fill="auto"/>
            <w:noWrap/>
            <w:vAlign w:val="bottom"/>
            <w:hideMark/>
          </w:tcPr>
          <w:p w14:paraId="63059FC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28.6</w:t>
            </w:r>
          </w:p>
        </w:tc>
        <w:tc>
          <w:tcPr>
            <w:tcW w:w="1000" w:type="dxa"/>
            <w:tcBorders>
              <w:top w:val="nil"/>
              <w:left w:val="nil"/>
              <w:bottom w:val="nil"/>
              <w:right w:val="nil"/>
            </w:tcBorders>
            <w:shd w:val="clear" w:color="auto" w:fill="auto"/>
            <w:noWrap/>
            <w:vAlign w:val="bottom"/>
            <w:hideMark/>
          </w:tcPr>
          <w:p w14:paraId="69D0BC9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226.1</w:t>
            </w:r>
          </w:p>
        </w:tc>
      </w:tr>
      <w:tr w:rsidR="00F26016" w:rsidRPr="00F26016" w14:paraId="20CB0A0D" w14:textId="77777777" w:rsidTr="00F26016">
        <w:trPr>
          <w:trHeight w:val="300"/>
        </w:trPr>
        <w:tc>
          <w:tcPr>
            <w:tcW w:w="1140" w:type="dxa"/>
            <w:tcBorders>
              <w:top w:val="nil"/>
              <w:left w:val="nil"/>
              <w:bottom w:val="nil"/>
              <w:right w:val="nil"/>
            </w:tcBorders>
            <w:shd w:val="clear" w:color="auto" w:fill="auto"/>
            <w:noWrap/>
            <w:hideMark/>
          </w:tcPr>
          <w:p w14:paraId="0719960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107</w:t>
            </w:r>
          </w:p>
        </w:tc>
        <w:tc>
          <w:tcPr>
            <w:tcW w:w="1200" w:type="dxa"/>
            <w:tcBorders>
              <w:top w:val="nil"/>
              <w:left w:val="nil"/>
              <w:bottom w:val="nil"/>
              <w:right w:val="nil"/>
            </w:tcBorders>
            <w:shd w:val="clear" w:color="auto" w:fill="auto"/>
            <w:noWrap/>
            <w:hideMark/>
          </w:tcPr>
          <w:p w14:paraId="7B9D1D9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55846F7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54B5D53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5EC191C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430216E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4235315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0DB2FB3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265C960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920" w:type="dxa"/>
            <w:tcBorders>
              <w:top w:val="nil"/>
              <w:left w:val="nil"/>
              <w:bottom w:val="nil"/>
              <w:right w:val="nil"/>
            </w:tcBorders>
            <w:shd w:val="clear" w:color="auto" w:fill="auto"/>
            <w:noWrap/>
            <w:vAlign w:val="bottom"/>
            <w:hideMark/>
          </w:tcPr>
          <w:p w14:paraId="48F40F4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21.3</w:t>
            </w:r>
          </w:p>
        </w:tc>
        <w:tc>
          <w:tcPr>
            <w:tcW w:w="741" w:type="dxa"/>
            <w:tcBorders>
              <w:top w:val="nil"/>
              <w:left w:val="nil"/>
              <w:bottom w:val="nil"/>
              <w:right w:val="nil"/>
            </w:tcBorders>
            <w:shd w:val="clear" w:color="auto" w:fill="auto"/>
            <w:noWrap/>
            <w:vAlign w:val="bottom"/>
            <w:hideMark/>
          </w:tcPr>
          <w:p w14:paraId="55FA683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4.3</w:t>
            </w:r>
          </w:p>
        </w:tc>
        <w:tc>
          <w:tcPr>
            <w:tcW w:w="785" w:type="dxa"/>
            <w:tcBorders>
              <w:top w:val="nil"/>
              <w:left w:val="nil"/>
              <w:bottom w:val="nil"/>
              <w:right w:val="nil"/>
            </w:tcBorders>
            <w:shd w:val="clear" w:color="auto" w:fill="auto"/>
            <w:noWrap/>
            <w:vAlign w:val="bottom"/>
            <w:hideMark/>
          </w:tcPr>
          <w:p w14:paraId="027BD40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10.5</w:t>
            </w:r>
          </w:p>
        </w:tc>
        <w:tc>
          <w:tcPr>
            <w:tcW w:w="732" w:type="dxa"/>
            <w:tcBorders>
              <w:top w:val="nil"/>
              <w:left w:val="nil"/>
              <w:bottom w:val="nil"/>
              <w:right w:val="nil"/>
            </w:tcBorders>
            <w:shd w:val="clear" w:color="auto" w:fill="auto"/>
            <w:noWrap/>
            <w:vAlign w:val="bottom"/>
            <w:hideMark/>
          </w:tcPr>
          <w:p w14:paraId="6381DB2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59.1</w:t>
            </w:r>
          </w:p>
        </w:tc>
        <w:tc>
          <w:tcPr>
            <w:tcW w:w="860" w:type="dxa"/>
            <w:tcBorders>
              <w:top w:val="nil"/>
              <w:left w:val="nil"/>
              <w:bottom w:val="nil"/>
              <w:right w:val="nil"/>
            </w:tcBorders>
            <w:shd w:val="clear" w:color="auto" w:fill="auto"/>
            <w:noWrap/>
            <w:vAlign w:val="bottom"/>
            <w:hideMark/>
          </w:tcPr>
          <w:p w14:paraId="07C1FD8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11.1</w:t>
            </w:r>
          </w:p>
        </w:tc>
        <w:tc>
          <w:tcPr>
            <w:tcW w:w="960" w:type="dxa"/>
            <w:tcBorders>
              <w:top w:val="nil"/>
              <w:left w:val="nil"/>
              <w:bottom w:val="nil"/>
              <w:right w:val="nil"/>
            </w:tcBorders>
            <w:shd w:val="clear" w:color="auto" w:fill="auto"/>
            <w:noWrap/>
            <w:vAlign w:val="bottom"/>
            <w:hideMark/>
          </w:tcPr>
          <w:p w14:paraId="38280D0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35.7</w:t>
            </w:r>
          </w:p>
        </w:tc>
        <w:tc>
          <w:tcPr>
            <w:tcW w:w="689" w:type="dxa"/>
            <w:tcBorders>
              <w:top w:val="nil"/>
              <w:left w:val="nil"/>
              <w:bottom w:val="nil"/>
              <w:right w:val="nil"/>
            </w:tcBorders>
            <w:shd w:val="clear" w:color="auto" w:fill="auto"/>
            <w:noWrap/>
            <w:vAlign w:val="bottom"/>
            <w:hideMark/>
          </w:tcPr>
          <w:p w14:paraId="73883EA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343.3</w:t>
            </w:r>
          </w:p>
        </w:tc>
        <w:tc>
          <w:tcPr>
            <w:tcW w:w="1000" w:type="dxa"/>
            <w:tcBorders>
              <w:top w:val="nil"/>
              <w:left w:val="nil"/>
              <w:bottom w:val="nil"/>
              <w:right w:val="nil"/>
            </w:tcBorders>
            <w:shd w:val="clear" w:color="auto" w:fill="auto"/>
            <w:noWrap/>
            <w:vAlign w:val="bottom"/>
            <w:hideMark/>
          </w:tcPr>
          <w:p w14:paraId="4CD84B3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138.4</w:t>
            </w:r>
          </w:p>
        </w:tc>
      </w:tr>
      <w:tr w:rsidR="00F26016" w:rsidRPr="00F26016" w14:paraId="3E9D37DE" w14:textId="77777777" w:rsidTr="00F26016">
        <w:trPr>
          <w:trHeight w:val="300"/>
        </w:trPr>
        <w:tc>
          <w:tcPr>
            <w:tcW w:w="1140" w:type="dxa"/>
            <w:tcBorders>
              <w:top w:val="nil"/>
              <w:left w:val="nil"/>
              <w:bottom w:val="nil"/>
              <w:right w:val="nil"/>
            </w:tcBorders>
            <w:shd w:val="clear" w:color="auto" w:fill="auto"/>
            <w:noWrap/>
            <w:hideMark/>
          </w:tcPr>
          <w:p w14:paraId="284D529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107</w:t>
            </w:r>
          </w:p>
        </w:tc>
        <w:tc>
          <w:tcPr>
            <w:tcW w:w="1200" w:type="dxa"/>
            <w:tcBorders>
              <w:top w:val="nil"/>
              <w:left w:val="nil"/>
              <w:bottom w:val="nil"/>
              <w:right w:val="nil"/>
            </w:tcBorders>
            <w:shd w:val="clear" w:color="auto" w:fill="auto"/>
            <w:noWrap/>
            <w:hideMark/>
          </w:tcPr>
          <w:p w14:paraId="39672C3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461862B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309008C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20ADB5A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431D943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60CBDAB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0791BAE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7CBBFA6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80.0</w:t>
            </w:r>
          </w:p>
        </w:tc>
        <w:tc>
          <w:tcPr>
            <w:tcW w:w="920" w:type="dxa"/>
            <w:tcBorders>
              <w:top w:val="nil"/>
              <w:left w:val="nil"/>
              <w:bottom w:val="nil"/>
              <w:right w:val="nil"/>
            </w:tcBorders>
            <w:shd w:val="clear" w:color="auto" w:fill="auto"/>
            <w:noWrap/>
            <w:vAlign w:val="bottom"/>
            <w:hideMark/>
          </w:tcPr>
          <w:p w14:paraId="5281E3A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45.9</w:t>
            </w:r>
          </w:p>
        </w:tc>
        <w:tc>
          <w:tcPr>
            <w:tcW w:w="741" w:type="dxa"/>
            <w:tcBorders>
              <w:top w:val="nil"/>
              <w:left w:val="nil"/>
              <w:bottom w:val="nil"/>
              <w:right w:val="nil"/>
            </w:tcBorders>
            <w:shd w:val="clear" w:color="auto" w:fill="auto"/>
            <w:noWrap/>
            <w:vAlign w:val="bottom"/>
            <w:hideMark/>
          </w:tcPr>
          <w:p w14:paraId="5C07A4A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200.4</w:t>
            </w:r>
          </w:p>
        </w:tc>
        <w:tc>
          <w:tcPr>
            <w:tcW w:w="785" w:type="dxa"/>
            <w:tcBorders>
              <w:top w:val="nil"/>
              <w:left w:val="nil"/>
              <w:bottom w:val="nil"/>
              <w:right w:val="nil"/>
            </w:tcBorders>
            <w:shd w:val="clear" w:color="auto" w:fill="auto"/>
            <w:noWrap/>
            <w:vAlign w:val="bottom"/>
            <w:hideMark/>
          </w:tcPr>
          <w:p w14:paraId="2C45A2B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168.3</w:t>
            </w:r>
          </w:p>
        </w:tc>
        <w:tc>
          <w:tcPr>
            <w:tcW w:w="732" w:type="dxa"/>
            <w:tcBorders>
              <w:top w:val="nil"/>
              <w:left w:val="nil"/>
              <w:bottom w:val="nil"/>
              <w:right w:val="nil"/>
            </w:tcBorders>
            <w:shd w:val="clear" w:color="auto" w:fill="auto"/>
            <w:noWrap/>
            <w:vAlign w:val="bottom"/>
            <w:hideMark/>
          </w:tcPr>
          <w:p w14:paraId="067F475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175.4</w:t>
            </w:r>
          </w:p>
        </w:tc>
        <w:tc>
          <w:tcPr>
            <w:tcW w:w="860" w:type="dxa"/>
            <w:tcBorders>
              <w:top w:val="nil"/>
              <w:left w:val="nil"/>
              <w:bottom w:val="nil"/>
              <w:right w:val="nil"/>
            </w:tcBorders>
            <w:shd w:val="clear" w:color="auto" w:fill="auto"/>
            <w:noWrap/>
            <w:vAlign w:val="bottom"/>
            <w:hideMark/>
          </w:tcPr>
          <w:p w14:paraId="5BE031F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90.7</w:t>
            </w:r>
          </w:p>
        </w:tc>
        <w:tc>
          <w:tcPr>
            <w:tcW w:w="960" w:type="dxa"/>
            <w:tcBorders>
              <w:top w:val="nil"/>
              <w:left w:val="nil"/>
              <w:bottom w:val="nil"/>
              <w:right w:val="nil"/>
            </w:tcBorders>
            <w:shd w:val="clear" w:color="auto" w:fill="auto"/>
            <w:noWrap/>
            <w:vAlign w:val="bottom"/>
            <w:hideMark/>
          </w:tcPr>
          <w:p w14:paraId="42EA93E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346.0</w:t>
            </w:r>
          </w:p>
        </w:tc>
        <w:tc>
          <w:tcPr>
            <w:tcW w:w="689" w:type="dxa"/>
            <w:tcBorders>
              <w:top w:val="nil"/>
              <w:left w:val="nil"/>
              <w:bottom w:val="nil"/>
              <w:right w:val="nil"/>
            </w:tcBorders>
            <w:shd w:val="clear" w:color="auto" w:fill="auto"/>
            <w:noWrap/>
            <w:vAlign w:val="bottom"/>
            <w:hideMark/>
          </w:tcPr>
          <w:p w14:paraId="3C38A1F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1262.4</w:t>
            </w:r>
          </w:p>
        </w:tc>
        <w:tc>
          <w:tcPr>
            <w:tcW w:w="1000" w:type="dxa"/>
            <w:tcBorders>
              <w:top w:val="nil"/>
              <w:left w:val="nil"/>
              <w:bottom w:val="nil"/>
              <w:right w:val="nil"/>
            </w:tcBorders>
            <w:shd w:val="clear" w:color="auto" w:fill="auto"/>
            <w:noWrap/>
            <w:vAlign w:val="bottom"/>
            <w:hideMark/>
          </w:tcPr>
          <w:p w14:paraId="63AB530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125.8</w:t>
            </w:r>
          </w:p>
        </w:tc>
      </w:tr>
      <w:tr w:rsidR="00F26016" w:rsidRPr="00F26016" w14:paraId="056659E3" w14:textId="77777777" w:rsidTr="00F26016">
        <w:trPr>
          <w:trHeight w:val="300"/>
        </w:trPr>
        <w:tc>
          <w:tcPr>
            <w:tcW w:w="1140" w:type="dxa"/>
            <w:tcBorders>
              <w:top w:val="nil"/>
              <w:left w:val="nil"/>
              <w:bottom w:val="nil"/>
              <w:right w:val="nil"/>
            </w:tcBorders>
            <w:shd w:val="clear" w:color="auto" w:fill="auto"/>
            <w:noWrap/>
            <w:hideMark/>
          </w:tcPr>
          <w:p w14:paraId="307510F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108</w:t>
            </w:r>
          </w:p>
        </w:tc>
        <w:tc>
          <w:tcPr>
            <w:tcW w:w="1200" w:type="dxa"/>
            <w:tcBorders>
              <w:top w:val="nil"/>
              <w:left w:val="nil"/>
              <w:bottom w:val="nil"/>
              <w:right w:val="nil"/>
            </w:tcBorders>
            <w:shd w:val="clear" w:color="auto" w:fill="auto"/>
            <w:noWrap/>
            <w:hideMark/>
          </w:tcPr>
          <w:p w14:paraId="1617F0D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2F7EB17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2A6BABE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7FAF80A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0AE88E6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16AB83D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4CEDD66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w:t>
            </w:r>
          </w:p>
        </w:tc>
        <w:tc>
          <w:tcPr>
            <w:tcW w:w="660" w:type="dxa"/>
            <w:tcBorders>
              <w:top w:val="nil"/>
              <w:left w:val="nil"/>
              <w:bottom w:val="nil"/>
              <w:right w:val="nil"/>
            </w:tcBorders>
            <w:shd w:val="clear" w:color="auto" w:fill="auto"/>
            <w:noWrap/>
            <w:vAlign w:val="bottom"/>
            <w:hideMark/>
          </w:tcPr>
          <w:p w14:paraId="5B47EF1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7.7</w:t>
            </w:r>
          </w:p>
        </w:tc>
        <w:tc>
          <w:tcPr>
            <w:tcW w:w="920" w:type="dxa"/>
            <w:tcBorders>
              <w:top w:val="nil"/>
              <w:left w:val="nil"/>
              <w:bottom w:val="nil"/>
              <w:right w:val="nil"/>
            </w:tcBorders>
            <w:shd w:val="clear" w:color="auto" w:fill="auto"/>
            <w:noWrap/>
            <w:vAlign w:val="bottom"/>
            <w:hideMark/>
          </w:tcPr>
          <w:p w14:paraId="71ABF08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4.3</w:t>
            </w:r>
          </w:p>
        </w:tc>
        <w:tc>
          <w:tcPr>
            <w:tcW w:w="741" w:type="dxa"/>
            <w:tcBorders>
              <w:top w:val="nil"/>
              <w:left w:val="nil"/>
              <w:bottom w:val="nil"/>
              <w:right w:val="nil"/>
            </w:tcBorders>
            <w:shd w:val="clear" w:color="auto" w:fill="auto"/>
            <w:noWrap/>
            <w:vAlign w:val="bottom"/>
            <w:hideMark/>
          </w:tcPr>
          <w:p w14:paraId="6C36C36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16.3</w:t>
            </w:r>
          </w:p>
        </w:tc>
        <w:tc>
          <w:tcPr>
            <w:tcW w:w="785" w:type="dxa"/>
            <w:tcBorders>
              <w:top w:val="nil"/>
              <w:left w:val="nil"/>
              <w:bottom w:val="nil"/>
              <w:right w:val="nil"/>
            </w:tcBorders>
            <w:shd w:val="clear" w:color="auto" w:fill="auto"/>
            <w:noWrap/>
            <w:vAlign w:val="bottom"/>
            <w:hideMark/>
          </w:tcPr>
          <w:p w14:paraId="0BF3435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11.5</w:t>
            </w:r>
          </w:p>
        </w:tc>
        <w:tc>
          <w:tcPr>
            <w:tcW w:w="732" w:type="dxa"/>
            <w:tcBorders>
              <w:top w:val="nil"/>
              <w:left w:val="nil"/>
              <w:bottom w:val="nil"/>
              <w:right w:val="nil"/>
            </w:tcBorders>
            <w:shd w:val="clear" w:color="auto" w:fill="auto"/>
            <w:noWrap/>
            <w:vAlign w:val="bottom"/>
            <w:hideMark/>
          </w:tcPr>
          <w:p w14:paraId="0E6A993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63.0</w:t>
            </w:r>
          </w:p>
        </w:tc>
        <w:tc>
          <w:tcPr>
            <w:tcW w:w="860" w:type="dxa"/>
            <w:tcBorders>
              <w:top w:val="nil"/>
              <w:left w:val="nil"/>
              <w:bottom w:val="nil"/>
              <w:right w:val="nil"/>
            </w:tcBorders>
            <w:shd w:val="clear" w:color="auto" w:fill="auto"/>
            <w:noWrap/>
            <w:vAlign w:val="bottom"/>
            <w:hideMark/>
          </w:tcPr>
          <w:p w14:paraId="2A840F6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w:t>
            </w:r>
          </w:p>
        </w:tc>
        <w:tc>
          <w:tcPr>
            <w:tcW w:w="960" w:type="dxa"/>
            <w:tcBorders>
              <w:top w:val="nil"/>
              <w:left w:val="nil"/>
              <w:bottom w:val="nil"/>
              <w:right w:val="nil"/>
            </w:tcBorders>
            <w:shd w:val="clear" w:color="auto" w:fill="auto"/>
            <w:noWrap/>
            <w:vAlign w:val="bottom"/>
            <w:hideMark/>
          </w:tcPr>
          <w:p w14:paraId="274F75A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118.5</w:t>
            </w:r>
          </w:p>
        </w:tc>
        <w:tc>
          <w:tcPr>
            <w:tcW w:w="689" w:type="dxa"/>
            <w:tcBorders>
              <w:top w:val="nil"/>
              <w:left w:val="nil"/>
              <w:bottom w:val="nil"/>
              <w:right w:val="nil"/>
            </w:tcBorders>
            <w:shd w:val="clear" w:color="auto" w:fill="auto"/>
            <w:noWrap/>
            <w:vAlign w:val="bottom"/>
            <w:hideMark/>
          </w:tcPr>
          <w:p w14:paraId="2E623B7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426.0</w:t>
            </w:r>
          </w:p>
        </w:tc>
        <w:tc>
          <w:tcPr>
            <w:tcW w:w="1000" w:type="dxa"/>
            <w:tcBorders>
              <w:top w:val="nil"/>
              <w:left w:val="nil"/>
              <w:bottom w:val="nil"/>
              <w:right w:val="nil"/>
            </w:tcBorders>
            <w:shd w:val="clear" w:color="auto" w:fill="auto"/>
            <w:noWrap/>
            <w:vAlign w:val="bottom"/>
            <w:hideMark/>
          </w:tcPr>
          <w:p w14:paraId="099071B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201.5</w:t>
            </w:r>
          </w:p>
        </w:tc>
      </w:tr>
      <w:tr w:rsidR="00F26016" w:rsidRPr="00F26016" w14:paraId="55CD0BF3" w14:textId="77777777" w:rsidTr="00F26016">
        <w:trPr>
          <w:trHeight w:val="300"/>
        </w:trPr>
        <w:tc>
          <w:tcPr>
            <w:tcW w:w="1140" w:type="dxa"/>
            <w:tcBorders>
              <w:top w:val="nil"/>
              <w:left w:val="nil"/>
              <w:bottom w:val="nil"/>
              <w:right w:val="nil"/>
            </w:tcBorders>
            <w:shd w:val="clear" w:color="auto" w:fill="auto"/>
            <w:noWrap/>
            <w:hideMark/>
          </w:tcPr>
          <w:p w14:paraId="429310F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108</w:t>
            </w:r>
          </w:p>
        </w:tc>
        <w:tc>
          <w:tcPr>
            <w:tcW w:w="1200" w:type="dxa"/>
            <w:tcBorders>
              <w:top w:val="nil"/>
              <w:left w:val="nil"/>
              <w:bottom w:val="nil"/>
              <w:right w:val="nil"/>
            </w:tcBorders>
            <w:shd w:val="clear" w:color="auto" w:fill="auto"/>
            <w:noWrap/>
            <w:hideMark/>
          </w:tcPr>
          <w:p w14:paraId="1EFF843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4B80F93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2DE4AF4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3924446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3F60091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6248A41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17CD160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w:t>
            </w:r>
          </w:p>
        </w:tc>
        <w:tc>
          <w:tcPr>
            <w:tcW w:w="660" w:type="dxa"/>
            <w:tcBorders>
              <w:top w:val="nil"/>
              <w:left w:val="nil"/>
              <w:bottom w:val="nil"/>
              <w:right w:val="nil"/>
            </w:tcBorders>
            <w:shd w:val="clear" w:color="auto" w:fill="auto"/>
            <w:noWrap/>
            <w:vAlign w:val="bottom"/>
            <w:hideMark/>
          </w:tcPr>
          <w:p w14:paraId="31D2B91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7.0</w:t>
            </w:r>
          </w:p>
        </w:tc>
        <w:tc>
          <w:tcPr>
            <w:tcW w:w="920" w:type="dxa"/>
            <w:tcBorders>
              <w:top w:val="nil"/>
              <w:left w:val="nil"/>
              <w:bottom w:val="nil"/>
              <w:right w:val="nil"/>
            </w:tcBorders>
            <w:shd w:val="clear" w:color="auto" w:fill="auto"/>
            <w:noWrap/>
            <w:vAlign w:val="bottom"/>
            <w:hideMark/>
          </w:tcPr>
          <w:p w14:paraId="7C12E00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10.9</w:t>
            </w:r>
          </w:p>
        </w:tc>
        <w:tc>
          <w:tcPr>
            <w:tcW w:w="741" w:type="dxa"/>
            <w:tcBorders>
              <w:top w:val="nil"/>
              <w:left w:val="nil"/>
              <w:bottom w:val="nil"/>
              <w:right w:val="nil"/>
            </w:tcBorders>
            <w:shd w:val="clear" w:color="auto" w:fill="auto"/>
            <w:noWrap/>
            <w:vAlign w:val="bottom"/>
            <w:hideMark/>
          </w:tcPr>
          <w:p w14:paraId="7B29230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3.6</w:t>
            </w:r>
          </w:p>
        </w:tc>
        <w:tc>
          <w:tcPr>
            <w:tcW w:w="785" w:type="dxa"/>
            <w:tcBorders>
              <w:top w:val="nil"/>
              <w:left w:val="nil"/>
              <w:bottom w:val="nil"/>
              <w:right w:val="nil"/>
            </w:tcBorders>
            <w:shd w:val="clear" w:color="auto" w:fill="auto"/>
            <w:noWrap/>
            <w:vAlign w:val="bottom"/>
            <w:hideMark/>
          </w:tcPr>
          <w:p w14:paraId="74312C6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9.0</w:t>
            </w:r>
          </w:p>
        </w:tc>
        <w:tc>
          <w:tcPr>
            <w:tcW w:w="732" w:type="dxa"/>
            <w:tcBorders>
              <w:top w:val="nil"/>
              <w:left w:val="nil"/>
              <w:bottom w:val="nil"/>
              <w:right w:val="nil"/>
            </w:tcBorders>
            <w:shd w:val="clear" w:color="auto" w:fill="auto"/>
            <w:noWrap/>
            <w:vAlign w:val="bottom"/>
            <w:hideMark/>
          </w:tcPr>
          <w:p w14:paraId="1D80CD6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54.2</w:t>
            </w:r>
          </w:p>
        </w:tc>
        <w:tc>
          <w:tcPr>
            <w:tcW w:w="860" w:type="dxa"/>
            <w:tcBorders>
              <w:top w:val="nil"/>
              <w:left w:val="nil"/>
              <w:bottom w:val="nil"/>
              <w:right w:val="nil"/>
            </w:tcBorders>
            <w:shd w:val="clear" w:color="auto" w:fill="auto"/>
            <w:noWrap/>
            <w:vAlign w:val="bottom"/>
            <w:hideMark/>
          </w:tcPr>
          <w:p w14:paraId="715395A4" w14:textId="77777777" w:rsidR="00F26016" w:rsidRPr="00F26016" w:rsidRDefault="00F26016" w:rsidP="00F26016">
            <w:pPr>
              <w:rPr>
                <w:rFonts w:ascii="Calibri" w:eastAsia="Times New Roman" w:hAnsi="Calibri" w:cs="Times New Roman"/>
                <w:color w:val="000000"/>
                <w:sz w:val="16"/>
                <w:szCs w:val="16"/>
              </w:rPr>
            </w:pPr>
          </w:p>
        </w:tc>
        <w:tc>
          <w:tcPr>
            <w:tcW w:w="960" w:type="dxa"/>
            <w:tcBorders>
              <w:top w:val="nil"/>
              <w:left w:val="nil"/>
              <w:bottom w:val="nil"/>
              <w:right w:val="nil"/>
            </w:tcBorders>
            <w:shd w:val="clear" w:color="auto" w:fill="auto"/>
            <w:noWrap/>
            <w:vAlign w:val="bottom"/>
            <w:hideMark/>
          </w:tcPr>
          <w:p w14:paraId="2EA0B68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85.7</w:t>
            </w:r>
          </w:p>
        </w:tc>
        <w:tc>
          <w:tcPr>
            <w:tcW w:w="689" w:type="dxa"/>
            <w:tcBorders>
              <w:top w:val="nil"/>
              <w:left w:val="nil"/>
              <w:bottom w:val="nil"/>
              <w:right w:val="nil"/>
            </w:tcBorders>
            <w:shd w:val="clear" w:color="auto" w:fill="auto"/>
            <w:noWrap/>
            <w:vAlign w:val="bottom"/>
            <w:hideMark/>
          </w:tcPr>
          <w:p w14:paraId="66864B8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812.9</w:t>
            </w:r>
          </w:p>
        </w:tc>
        <w:tc>
          <w:tcPr>
            <w:tcW w:w="1000" w:type="dxa"/>
            <w:tcBorders>
              <w:top w:val="nil"/>
              <w:left w:val="nil"/>
              <w:bottom w:val="nil"/>
              <w:right w:val="nil"/>
            </w:tcBorders>
            <w:shd w:val="clear" w:color="auto" w:fill="auto"/>
            <w:noWrap/>
            <w:vAlign w:val="bottom"/>
            <w:hideMark/>
          </w:tcPr>
          <w:p w14:paraId="490B692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138.1</w:t>
            </w:r>
          </w:p>
        </w:tc>
      </w:tr>
      <w:tr w:rsidR="00F26016" w:rsidRPr="00F26016" w14:paraId="547F0FFB" w14:textId="77777777" w:rsidTr="00F26016">
        <w:trPr>
          <w:trHeight w:val="300"/>
        </w:trPr>
        <w:tc>
          <w:tcPr>
            <w:tcW w:w="1140" w:type="dxa"/>
            <w:tcBorders>
              <w:top w:val="nil"/>
              <w:left w:val="nil"/>
              <w:bottom w:val="nil"/>
              <w:right w:val="nil"/>
            </w:tcBorders>
            <w:shd w:val="clear" w:color="auto" w:fill="auto"/>
            <w:noWrap/>
            <w:hideMark/>
          </w:tcPr>
          <w:p w14:paraId="365057D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108</w:t>
            </w:r>
          </w:p>
        </w:tc>
        <w:tc>
          <w:tcPr>
            <w:tcW w:w="1200" w:type="dxa"/>
            <w:tcBorders>
              <w:top w:val="nil"/>
              <w:left w:val="nil"/>
              <w:bottom w:val="nil"/>
              <w:right w:val="nil"/>
            </w:tcBorders>
            <w:shd w:val="clear" w:color="auto" w:fill="auto"/>
            <w:noWrap/>
            <w:hideMark/>
          </w:tcPr>
          <w:p w14:paraId="4347E3B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37F8F92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657AC35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31A5356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29FE84D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243BE0F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28320C9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w:t>
            </w:r>
          </w:p>
        </w:tc>
        <w:tc>
          <w:tcPr>
            <w:tcW w:w="660" w:type="dxa"/>
            <w:tcBorders>
              <w:top w:val="nil"/>
              <w:left w:val="nil"/>
              <w:bottom w:val="nil"/>
              <w:right w:val="nil"/>
            </w:tcBorders>
            <w:shd w:val="clear" w:color="auto" w:fill="auto"/>
            <w:noWrap/>
            <w:vAlign w:val="bottom"/>
            <w:hideMark/>
          </w:tcPr>
          <w:p w14:paraId="2318F04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28.9</w:t>
            </w:r>
          </w:p>
        </w:tc>
        <w:tc>
          <w:tcPr>
            <w:tcW w:w="920" w:type="dxa"/>
            <w:tcBorders>
              <w:top w:val="nil"/>
              <w:left w:val="nil"/>
              <w:bottom w:val="nil"/>
              <w:right w:val="nil"/>
            </w:tcBorders>
            <w:shd w:val="clear" w:color="auto" w:fill="auto"/>
            <w:noWrap/>
            <w:vAlign w:val="bottom"/>
            <w:hideMark/>
          </w:tcPr>
          <w:p w14:paraId="0EC72A0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28.3</w:t>
            </w:r>
          </w:p>
        </w:tc>
        <w:tc>
          <w:tcPr>
            <w:tcW w:w="741" w:type="dxa"/>
            <w:tcBorders>
              <w:top w:val="nil"/>
              <w:left w:val="nil"/>
              <w:bottom w:val="nil"/>
              <w:right w:val="nil"/>
            </w:tcBorders>
            <w:shd w:val="clear" w:color="auto" w:fill="auto"/>
            <w:noWrap/>
            <w:vAlign w:val="bottom"/>
            <w:hideMark/>
          </w:tcPr>
          <w:p w14:paraId="09A39AD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71.6</w:t>
            </w:r>
          </w:p>
        </w:tc>
        <w:tc>
          <w:tcPr>
            <w:tcW w:w="785" w:type="dxa"/>
            <w:tcBorders>
              <w:top w:val="nil"/>
              <w:left w:val="nil"/>
              <w:bottom w:val="nil"/>
              <w:right w:val="nil"/>
            </w:tcBorders>
            <w:shd w:val="clear" w:color="auto" w:fill="auto"/>
            <w:noWrap/>
            <w:vAlign w:val="bottom"/>
            <w:hideMark/>
          </w:tcPr>
          <w:p w14:paraId="64781D9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61.6</w:t>
            </w:r>
          </w:p>
        </w:tc>
        <w:tc>
          <w:tcPr>
            <w:tcW w:w="732" w:type="dxa"/>
            <w:tcBorders>
              <w:top w:val="nil"/>
              <w:left w:val="nil"/>
              <w:bottom w:val="nil"/>
              <w:right w:val="nil"/>
            </w:tcBorders>
            <w:shd w:val="clear" w:color="auto" w:fill="auto"/>
            <w:noWrap/>
            <w:vAlign w:val="bottom"/>
            <w:hideMark/>
          </w:tcPr>
          <w:p w14:paraId="6F13405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38.1</w:t>
            </w:r>
          </w:p>
        </w:tc>
        <w:tc>
          <w:tcPr>
            <w:tcW w:w="860" w:type="dxa"/>
            <w:tcBorders>
              <w:top w:val="nil"/>
              <w:left w:val="nil"/>
              <w:bottom w:val="nil"/>
              <w:right w:val="nil"/>
            </w:tcBorders>
            <w:shd w:val="clear" w:color="auto" w:fill="auto"/>
            <w:noWrap/>
            <w:vAlign w:val="bottom"/>
            <w:hideMark/>
          </w:tcPr>
          <w:p w14:paraId="5098C67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37.1</w:t>
            </w:r>
          </w:p>
        </w:tc>
        <w:tc>
          <w:tcPr>
            <w:tcW w:w="960" w:type="dxa"/>
            <w:tcBorders>
              <w:top w:val="nil"/>
              <w:left w:val="nil"/>
              <w:bottom w:val="nil"/>
              <w:right w:val="nil"/>
            </w:tcBorders>
            <w:shd w:val="clear" w:color="auto" w:fill="auto"/>
            <w:noWrap/>
            <w:vAlign w:val="bottom"/>
            <w:hideMark/>
          </w:tcPr>
          <w:p w14:paraId="100384C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373.2</w:t>
            </w:r>
          </w:p>
        </w:tc>
        <w:tc>
          <w:tcPr>
            <w:tcW w:w="689" w:type="dxa"/>
            <w:tcBorders>
              <w:top w:val="nil"/>
              <w:left w:val="nil"/>
              <w:bottom w:val="nil"/>
              <w:right w:val="nil"/>
            </w:tcBorders>
            <w:shd w:val="clear" w:color="auto" w:fill="auto"/>
            <w:noWrap/>
            <w:vAlign w:val="bottom"/>
            <w:hideMark/>
          </w:tcPr>
          <w:p w14:paraId="72087D5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978.7</w:t>
            </w:r>
          </w:p>
        </w:tc>
        <w:tc>
          <w:tcPr>
            <w:tcW w:w="1000" w:type="dxa"/>
            <w:tcBorders>
              <w:top w:val="nil"/>
              <w:left w:val="nil"/>
              <w:bottom w:val="nil"/>
              <w:right w:val="nil"/>
            </w:tcBorders>
            <w:shd w:val="clear" w:color="auto" w:fill="auto"/>
            <w:noWrap/>
            <w:vAlign w:val="bottom"/>
            <w:hideMark/>
          </w:tcPr>
          <w:p w14:paraId="4ABD1FF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126.7</w:t>
            </w:r>
          </w:p>
        </w:tc>
      </w:tr>
      <w:tr w:rsidR="00F26016" w:rsidRPr="00F26016" w14:paraId="4783CAA7" w14:textId="77777777" w:rsidTr="00F26016">
        <w:trPr>
          <w:trHeight w:val="300"/>
        </w:trPr>
        <w:tc>
          <w:tcPr>
            <w:tcW w:w="1140" w:type="dxa"/>
            <w:tcBorders>
              <w:top w:val="nil"/>
              <w:left w:val="nil"/>
              <w:bottom w:val="nil"/>
              <w:right w:val="nil"/>
            </w:tcBorders>
            <w:shd w:val="clear" w:color="auto" w:fill="auto"/>
            <w:noWrap/>
            <w:hideMark/>
          </w:tcPr>
          <w:p w14:paraId="2994E93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109</w:t>
            </w:r>
          </w:p>
        </w:tc>
        <w:tc>
          <w:tcPr>
            <w:tcW w:w="1200" w:type="dxa"/>
            <w:tcBorders>
              <w:top w:val="nil"/>
              <w:left w:val="nil"/>
              <w:bottom w:val="nil"/>
              <w:right w:val="nil"/>
            </w:tcBorders>
            <w:shd w:val="clear" w:color="auto" w:fill="auto"/>
            <w:noWrap/>
            <w:hideMark/>
          </w:tcPr>
          <w:p w14:paraId="50C31B4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67FA2CC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03950B7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07E6868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31C4249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4CBC812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76B2CBB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w:t>
            </w:r>
          </w:p>
        </w:tc>
        <w:tc>
          <w:tcPr>
            <w:tcW w:w="660" w:type="dxa"/>
            <w:tcBorders>
              <w:top w:val="nil"/>
              <w:left w:val="nil"/>
              <w:bottom w:val="nil"/>
              <w:right w:val="nil"/>
            </w:tcBorders>
            <w:shd w:val="clear" w:color="auto" w:fill="auto"/>
            <w:noWrap/>
            <w:vAlign w:val="bottom"/>
            <w:hideMark/>
          </w:tcPr>
          <w:p w14:paraId="443F226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66.4</w:t>
            </w:r>
          </w:p>
        </w:tc>
        <w:tc>
          <w:tcPr>
            <w:tcW w:w="920" w:type="dxa"/>
            <w:tcBorders>
              <w:top w:val="nil"/>
              <w:left w:val="nil"/>
              <w:bottom w:val="nil"/>
              <w:right w:val="nil"/>
            </w:tcBorders>
            <w:shd w:val="clear" w:color="auto" w:fill="auto"/>
            <w:noWrap/>
            <w:vAlign w:val="bottom"/>
            <w:hideMark/>
          </w:tcPr>
          <w:p w14:paraId="4518606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15.4</w:t>
            </w:r>
          </w:p>
        </w:tc>
        <w:tc>
          <w:tcPr>
            <w:tcW w:w="741" w:type="dxa"/>
            <w:tcBorders>
              <w:top w:val="nil"/>
              <w:left w:val="nil"/>
              <w:bottom w:val="nil"/>
              <w:right w:val="nil"/>
            </w:tcBorders>
            <w:shd w:val="clear" w:color="auto" w:fill="auto"/>
            <w:noWrap/>
            <w:vAlign w:val="bottom"/>
            <w:hideMark/>
          </w:tcPr>
          <w:p w14:paraId="5336263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27.3</w:t>
            </w:r>
          </w:p>
        </w:tc>
        <w:tc>
          <w:tcPr>
            <w:tcW w:w="785" w:type="dxa"/>
            <w:tcBorders>
              <w:top w:val="nil"/>
              <w:left w:val="nil"/>
              <w:bottom w:val="nil"/>
              <w:right w:val="nil"/>
            </w:tcBorders>
            <w:shd w:val="clear" w:color="auto" w:fill="auto"/>
            <w:noWrap/>
            <w:vAlign w:val="bottom"/>
            <w:hideMark/>
          </w:tcPr>
          <w:p w14:paraId="5F6579B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21.5</w:t>
            </w:r>
          </w:p>
        </w:tc>
        <w:tc>
          <w:tcPr>
            <w:tcW w:w="732" w:type="dxa"/>
            <w:tcBorders>
              <w:top w:val="nil"/>
              <w:left w:val="nil"/>
              <w:bottom w:val="nil"/>
              <w:right w:val="nil"/>
            </w:tcBorders>
            <w:shd w:val="clear" w:color="auto" w:fill="auto"/>
            <w:noWrap/>
            <w:vAlign w:val="bottom"/>
            <w:hideMark/>
          </w:tcPr>
          <w:p w14:paraId="52FBBBA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809.4</w:t>
            </w:r>
          </w:p>
        </w:tc>
        <w:tc>
          <w:tcPr>
            <w:tcW w:w="860" w:type="dxa"/>
            <w:tcBorders>
              <w:top w:val="nil"/>
              <w:left w:val="nil"/>
              <w:bottom w:val="nil"/>
              <w:right w:val="nil"/>
            </w:tcBorders>
            <w:shd w:val="clear" w:color="auto" w:fill="auto"/>
            <w:noWrap/>
            <w:vAlign w:val="bottom"/>
            <w:hideMark/>
          </w:tcPr>
          <w:p w14:paraId="1E5B8CE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18.9</w:t>
            </w:r>
          </w:p>
        </w:tc>
        <w:tc>
          <w:tcPr>
            <w:tcW w:w="960" w:type="dxa"/>
            <w:tcBorders>
              <w:top w:val="nil"/>
              <w:left w:val="nil"/>
              <w:bottom w:val="nil"/>
              <w:right w:val="nil"/>
            </w:tcBorders>
            <w:shd w:val="clear" w:color="auto" w:fill="auto"/>
            <w:noWrap/>
            <w:vAlign w:val="bottom"/>
            <w:hideMark/>
          </w:tcPr>
          <w:p w14:paraId="393A38F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74.5</w:t>
            </w:r>
          </w:p>
        </w:tc>
        <w:tc>
          <w:tcPr>
            <w:tcW w:w="689" w:type="dxa"/>
            <w:tcBorders>
              <w:top w:val="nil"/>
              <w:left w:val="nil"/>
              <w:bottom w:val="nil"/>
              <w:right w:val="nil"/>
            </w:tcBorders>
            <w:shd w:val="clear" w:color="auto" w:fill="auto"/>
            <w:noWrap/>
            <w:vAlign w:val="bottom"/>
            <w:hideMark/>
          </w:tcPr>
          <w:p w14:paraId="09A81F8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w:t>
            </w:r>
          </w:p>
        </w:tc>
        <w:tc>
          <w:tcPr>
            <w:tcW w:w="1000" w:type="dxa"/>
            <w:tcBorders>
              <w:top w:val="nil"/>
              <w:left w:val="nil"/>
              <w:bottom w:val="nil"/>
              <w:right w:val="nil"/>
            </w:tcBorders>
            <w:shd w:val="clear" w:color="auto" w:fill="auto"/>
            <w:noWrap/>
            <w:vAlign w:val="bottom"/>
            <w:hideMark/>
          </w:tcPr>
          <w:p w14:paraId="11CED9B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202.0</w:t>
            </w:r>
          </w:p>
        </w:tc>
      </w:tr>
      <w:tr w:rsidR="00F26016" w:rsidRPr="00F26016" w14:paraId="54E87180" w14:textId="77777777" w:rsidTr="00F26016">
        <w:trPr>
          <w:trHeight w:val="300"/>
        </w:trPr>
        <w:tc>
          <w:tcPr>
            <w:tcW w:w="1140" w:type="dxa"/>
            <w:tcBorders>
              <w:top w:val="nil"/>
              <w:left w:val="nil"/>
              <w:bottom w:val="nil"/>
              <w:right w:val="nil"/>
            </w:tcBorders>
            <w:shd w:val="clear" w:color="auto" w:fill="auto"/>
            <w:noWrap/>
            <w:hideMark/>
          </w:tcPr>
          <w:p w14:paraId="26023BD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109</w:t>
            </w:r>
          </w:p>
        </w:tc>
        <w:tc>
          <w:tcPr>
            <w:tcW w:w="1200" w:type="dxa"/>
            <w:tcBorders>
              <w:top w:val="nil"/>
              <w:left w:val="nil"/>
              <w:bottom w:val="nil"/>
              <w:right w:val="nil"/>
            </w:tcBorders>
            <w:shd w:val="clear" w:color="auto" w:fill="auto"/>
            <w:noWrap/>
            <w:hideMark/>
          </w:tcPr>
          <w:p w14:paraId="3EBE726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2B37EEA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1BCC361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044408F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4119BCA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1368593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2532A1E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w:t>
            </w:r>
          </w:p>
        </w:tc>
        <w:tc>
          <w:tcPr>
            <w:tcW w:w="660" w:type="dxa"/>
            <w:tcBorders>
              <w:top w:val="nil"/>
              <w:left w:val="nil"/>
              <w:bottom w:val="nil"/>
              <w:right w:val="nil"/>
            </w:tcBorders>
            <w:shd w:val="clear" w:color="auto" w:fill="auto"/>
            <w:noWrap/>
            <w:vAlign w:val="bottom"/>
            <w:hideMark/>
          </w:tcPr>
          <w:p w14:paraId="227A642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w:t>
            </w:r>
          </w:p>
        </w:tc>
        <w:tc>
          <w:tcPr>
            <w:tcW w:w="920" w:type="dxa"/>
            <w:tcBorders>
              <w:top w:val="nil"/>
              <w:left w:val="nil"/>
              <w:bottom w:val="nil"/>
              <w:right w:val="nil"/>
            </w:tcBorders>
            <w:shd w:val="clear" w:color="auto" w:fill="auto"/>
            <w:noWrap/>
            <w:vAlign w:val="bottom"/>
            <w:hideMark/>
          </w:tcPr>
          <w:p w14:paraId="4C61E7D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18.1</w:t>
            </w:r>
          </w:p>
        </w:tc>
        <w:tc>
          <w:tcPr>
            <w:tcW w:w="741" w:type="dxa"/>
            <w:tcBorders>
              <w:top w:val="nil"/>
              <w:left w:val="nil"/>
              <w:bottom w:val="nil"/>
              <w:right w:val="nil"/>
            </w:tcBorders>
            <w:shd w:val="clear" w:color="auto" w:fill="auto"/>
            <w:noWrap/>
            <w:vAlign w:val="bottom"/>
            <w:hideMark/>
          </w:tcPr>
          <w:p w14:paraId="6308069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18.2</w:t>
            </w:r>
          </w:p>
        </w:tc>
        <w:tc>
          <w:tcPr>
            <w:tcW w:w="785" w:type="dxa"/>
            <w:tcBorders>
              <w:top w:val="nil"/>
              <w:left w:val="nil"/>
              <w:bottom w:val="nil"/>
              <w:right w:val="nil"/>
            </w:tcBorders>
            <w:shd w:val="clear" w:color="auto" w:fill="auto"/>
            <w:noWrap/>
            <w:vAlign w:val="bottom"/>
            <w:hideMark/>
          </w:tcPr>
          <w:p w14:paraId="45F270E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49.3</w:t>
            </w:r>
          </w:p>
        </w:tc>
        <w:tc>
          <w:tcPr>
            <w:tcW w:w="732" w:type="dxa"/>
            <w:tcBorders>
              <w:top w:val="nil"/>
              <w:left w:val="nil"/>
              <w:bottom w:val="nil"/>
              <w:right w:val="nil"/>
            </w:tcBorders>
            <w:shd w:val="clear" w:color="auto" w:fill="auto"/>
            <w:noWrap/>
            <w:vAlign w:val="bottom"/>
            <w:hideMark/>
          </w:tcPr>
          <w:p w14:paraId="00E22CC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113.9</w:t>
            </w:r>
          </w:p>
        </w:tc>
        <w:tc>
          <w:tcPr>
            <w:tcW w:w="860" w:type="dxa"/>
            <w:tcBorders>
              <w:top w:val="nil"/>
              <w:left w:val="nil"/>
              <w:bottom w:val="nil"/>
              <w:right w:val="nil"/>
            </w:tcBorders>
            <w:shd w:val="clear" w:color="auto" w:fill="auto"/>
            <w:noWrap/>
            <w:vAlign w:val="bottom"/>
            <w:hideMark/>
          </w:tcPr>
          <w:p w14:paraId="7FDCA67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11.4</w:t>
            </w:r>
          </w:p>
        </w:tc>
        <w:tc>
          <w:tcPr>
            <w:tcW w:w="960" w:type="dxa"/>
            <w:tcBorders>
              <w:top w:val="nil"/>
              <w:left w:val="nil"/>
              <w:bottom w:val="nil"/>
              <w:right w:val="nil"/>
            </w:tcBorders>
            <w:shd w:val="clear" w:color="auto" w:fill="auto"/>
            <w:noWrap/>
            <w:vAlign w:val="bottom"/>
            <w:hideMark/>
          </w:tcPr>
          <w:p w14:paraId="4EEBB4D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36.1</w:t>
            </w:r>
          </w:p>
        </w:tc>
        <w:tc>
          <w:tcPr>
            <w:tcW w:w="689" w:type="dxa"/>
            <w:tcBorders>
              <w:top w:val="nil"/>
              <w:left w:val="nil"/>
              <w:bottom w:val="nil"/>
              <w:right w:val="nil"/>
            </w:tcBorders>
            <w:shd w:val="clear" w:color="auto" w:fill="auto"/>
            <w:noWrap/>
            <w:vAlign w:val="bottom"/>
            <w:hideMark/>
          </w:tcPr>
          <w:p w14:paraId="43869B8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524.9</w:t>
            </w:r>
          </w:p>
        </w:tc>
        <w:tc>
          <w:tcPr>
            <w:tcW w:w="1000" w:type="dxa"/>
            <w:tcBorders>
              <w:top w:val="nil"/>
              <w:left w:val="nil"/>
              <w:bottom w:val="nil"/>
              <w:right w:val="nil"/>
            </w:tcBorders>
            <w:shd w:val="clear" w:color="auto" w:fill="auto"/>
            <w:noWrap/>
            <w:vAlign w:val="bottom"/>
            <w:hideMark/>
          </w:tcPr>
          <w:p w14:paraId="1E08DBE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129.7</w:t>
            </w:r>
          </w:p>
        </w:tc>
      </w:tr>
      <w:tr w:rsidR="00F26016" w:rsidRPr="00F26016" w14:paraId="3D1BB235" w14:textId="77777777" w:rsidTr="00F26016">
        <w:trPr>
          <w:trHeight w:val="300"/>
        </w:trPr>
        <w:tc>
          <w:tcPr>
            <w:tcW w:w="1140" w:type="dxa"/>
            <w:tcBorders>
              <w:top w:val="nil"/>
              <w:left w:val="nil"/>
              <w:bottom w:val="nil"/>
              <w:right w:val="nil"/>
            </w:tcBorders>
            <w:shd w:val="clear" w:color="auto" w:fill="auto"/>
            <w:noWrap/>
            <w:hideMark/>
          </w:tcPr>
          <w:p w14:paraId="745713C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109</w:t>
            </w:r>
          </w:p>
        </w:tc>
        <w:tc>
          <w:tcPr>
            <w:tcW w:w="1200" w:type="dxa"/>
            <w:tcBorders>
              <w:top w:val="nil"/>
              <w:left w:val="nil"/>
              <w:bottom w:val="nil"/>
              <w:right w:val="nil"/>
            </w:tcBorders>
            <w:shd w:val="clear" w:color="auto" w:fill="auto"/>
            <w:noWrap/>
            <w:hideMark/>
          </w:tcPr>
          <w:p w14:paraId="4B9E1EF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0C17D98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0A01E9E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06777AD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30B16DB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21CAE1D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7F47DA0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w:t>
            </w:r>
          </w:p>
        </w:tc>
        <w:tc>
          <w:tcPr>
            <w:tcW w:w="660" w:type="dxa"/>
            <w:tcBorders>
              <w:top w:val="nil"/>
              <w:left w:val="nil"/>
              <w:bottom w:val="nil"/>
              <w:right w:val="nil"/>
            </w:tcBorders>
            <w:shd w:val="clear" w:color="auto" w:fill="auto"/>
            <w:noWrap/>
            <w:vAlign w:val="bottom"/>
            <w:hideMark/>
          </w:tcPr>
          <w:p w14:paraId="02857E8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53.4</w:t>
            </w:r>
          </w:p>
        </w:tc>
        <w:tc>
          <w:tcPr>
            <w:tcW w:w="920" w:type="dxa"/>
            <w:tcBorders>
              <w:top w:val="nil"/>
              <w:left w:val="nil"/>
              <w:bottom w:val="nil"/>
              <w:right w:val="nil"/>
            </w:tcBorders>
            <w:shd w:val="clear" w:color="auto" w:fill="auto"/>
            <w:noWrap/>
            <w:vAlign w:val="bottom"/>
            <w:hideMark/>
          </w:tcPr>
          <w:p w14:paraId="56544F2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51.8</w:t>
            </w:r>
          </w:p>
        </w:tc>
        <w:tc>
          <w:tcPr>
            <w:tcW w:w="741" w:type="dxa"/>
            <w:tcBorders>
              <w:top w:val="nil"/>
              <w:left w:val="nil"/>
              <w:bottom w:val="nil"/>
              <w:right w:val="nil"/>
            </w:tcBorders>
            <w:shd w:val="clear" w:color="auto" w:fill="auto"/>
            <w:noWrap/>
            <w:vAlign w:val="bottom"/>
            <w:hideMark/>
          </w:tcPr>
          <w:p w14:paraId="7B6E190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214.6</w:t>
            </w:r>
          </w:p>
        </w:tc>
        <w:tc>
          <w:tcPr>
            <w:tcW w:w="785" w:type="dxa"/>
            <w:tcBorders>
              <w:top w:val="nil"/>
              <w:left w:val="nil"/>
              <w:bottom w:val="nil"/>
              <w:right w:val="nil"/>
            </w:tcBorders>
            <w:shd w:val="clear" w:color="auto" w:fill="auto"/>
            <w:noWrap/>
            <w:vAlign w:val="bottom"/>
            <w:hideMark/>
          </w:tcPr>
          <w:p w14:paraId="49C44FA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150.3</w:t>
            </w:r>
          </w:p>
        </w:tc>
        <w:tc>
          <w:tcPr>
            <w:tcW w:w="732" w:type="dxa"/>
            <w:tcBorders>
              <w:top w:val="nil"/>
              <w:left w:val="nil"/>
              <w:bottom w:val="nil"/>
              <w:right w:val="nil"/>
            </w:tcBorders>
            <w:shd w:val="clear" w:color="auto" w:fill="auto"/>
            <w:noWrap/>
            <w:vAlign w:val="bottom"/>
            <w:hideMark/>
          </w:tcPr>
          <w:p w14:paraId="0B2FC50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87.7</w:t>
            </w:r>
          </w:p>
        </w:tc>
        <w:tc>
          <w:tcPr>
            <w:tcW w:w="860" w:type="dxa"/>
            <w:tcBorders>
              <w:top w:val="nil"/>
              <w:left w:val="nil"/>
              <w:bottom w:val="nil"/>
              <w:right w:val="nil"/>
            </w:tcBorders>
            <w:shd w:val="clear" w:color="auto" w:fill="auto"/>
            <w:noWrap/>
            <w:vAlign w:val="bottom"/>
            <w:hideMark/>
          </w:tcPr>
          <w:p w14:paraId="42A5985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26.3</w:t>
            </w:r>
          </w:p>
        </w:tc>
        <w:tc>
          <w:tcPr>
            <w:tcW w:w="960" w:type="dxa"/>
            <w:tcBorders>
              <w:top w:val="nil"/>
              <w:left w:val="nil"/>
              <w:bottom w:val="nil"/>
              <w:right w:val="nil"/>
            </w:tcBorders>
            <w:shd w:val="clear" w:color="auto" w:fill="auto"/>
            <w:noWrap/>
            <w:vAlign w:val="bottom"/>
            <w:hideMark/>
          </w:tcPr>
          <w:p w14:paraId="65D15D4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182.1</w:t>
            </w:r>
          </w:p>
        </w:tc>
        <w:tc>
          <w:tcPr>
            <w:tcW w:w="689" w:type="dxa"/>
            <w:tcBorders>
              <w:top w:val="nil"/>
              <w:left w:val="nil"/>
              <w:bottom w:val="nil"/>
              <w:right w:val="nil"/>
            </w:tcBorders>
            <w:shd w:val="clear" w:color="auto" w:fill="auto"/>
            <w:noWrap/>
            <w:vAlign w:val="bottom"/>
            <w:hideMark/>
          </w:tcPr>
          <w:p w14:paraId="2BF43E5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122.4</w:t>
            </w:r>
          </w:p>
        </w:tc>
        <w:tc>
          <w:tcPr>
            <w:tcW w:w="1000" w:type="dxa"/>
            <w:tcBorders>
              <w:top w:val="nil"/>
              <w:left w:val="nil"/>
              <w:bottom w:val="nil"/>
              <w:right w:val="nil"/>
            </w:tcBorders>
            <w:shd w:val="clear" w:color="auto" w:fill="auto"/>
            <w:noWrap/>
            <w:vAlign w:val="bottom"/>
            <w:hideMark/>
          </w:tcPr>
          <w:p w14:paraId="540774E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125.0</w:t>
            </w:r>
          </w:p>
        </w:tc>
      </w:tr>
      <w:tr w:rsidR="00F26016" w:rsidRPr="00F26016" w14:paraId="542D3E31" w14:textId="77777777" w:rsidTr="00F26016">
        <w:trPr>
          <w:trHeight w:val="300"/>
        </w:trPr>
        <w:tc>
          <w:tcPr>
            <w:tcW w:w="1140" w:type="dxa"/>
            <w:tcBorders>
              <w:top w:val="nil"/>
              <w:left w:val="nil"/>
              <w:bottom w:val="nil"/>
              <w:right w:val="nil"/>
            </w:tcBorders>
            <w:shd w:val="clear" w:color="auto" w:fill="auto"/>
            <w:noWrap/>
            <w:hideMark/>
          </w:tcPr>
          <w:p w14:paraId="6A90664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111</w:t>
            </w:r>
          </w:p>
        </w:tc>
        <w:tc>
          <w:tcPr>
            <w:tcW w:w="1200" w:type="dxa"/>
            <w:tcBorders>
              <w:top w:val="nil"/>
              <w:left w:val="nil"/>
              <w:bottom w:val="nil"/>
              <w:right w:val="nil"/>
            </w:tcBorders>
            <w:shd w:val="clear" w:color="auto" w:fill="auto"/>
            <w:noWrap/>
            <w:hideMark/>
          </w:tcPr>
          <w:p w14:paraId="40AFC4F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32254E5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5C3C3CE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0DF9FC3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4A4E3CB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367D590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01CC719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w:t>
            </w:r>
          </w:p>
        </w:tc>
        <w:tc>
          <w:tcPr>
            <w:tcW w:w="660" w:type="dxa"/>
            <w:tcBorders>
              <w:top w:val="nil"/>
              <w:left w:val="nil"/>
              <w:bottom w:val="nil"/>
              <w:right w:val="nil"/>
            </w:tcBorders>
            <w:shd w:val="clear" w:color="auto" w:fill="auto"/>
            <w:noWrap/>
            <w:vAlign w:val="bottom"/>
            <w:hideMark/>
          </w:tcPr>
          <w:p w14:paraId="1B2EEC8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89.2</w:t>
            </w:r>
          </w:p>
        </w:tc>
        <w:tc>
          <w:tcPr>
            <w:tcW w:w="920" w:type="dxa"/>
            <w:tcBorders>
              <w:top w:val="nil"/>
              <w:left w:val="nil"/>
              <w:bottom w:val="nil"/>
              <w:right w:val="nil"/>
            </w:tcBorders>
            <w:shd w:val="clear" w:color="auto" w:fill="auto"/>
            <w:noWrap/>
            <w:vAlign w:val="bottom"/>
            <w:hideMark/>
          </w:tcPr>
          <w:p w14:paraId="72359B4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18.1</w:t>
            </w:r>
          </w:p>
        </w:tc>
        <w:tc>
          <w:tcPr>
            <w:tcW w:w="741" w:type="dxa"/>
            <w:tcBorders>
              <w:top w:val="nil"/>
              <w:left w:val="nil"/>
              <w:bottom w:val="nil"/>
              <w:right w:val="nil"/>
            </w:tcBorders>
            <w:shd w:val="clear" w:color="auto" w:fill="auto"/>
            <w:noWrap/>
            <w:vAlign w:val="bottom"/>
            <w:hideMark/>
          </w:tcPr>
          <w:p w14:paraId="0D92597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30.4</w:t>
            </w:r>
          </w:p>
        </w:tc>
        <w:tc>
          <w:tcPr>
            <w:tcW w:w="785" w:type="dxa"/>
            <w:tcBorders>
              <w:top w:val="nil"/>
              <w:left w:val="nil"/>
              <w:bottom w:val="nil"/>
              <w:right w:val="nil"/>
            </w:tcBorders>
            <w:shd w:val="clear" w:color="auto" w:fill="auto"/>
            <w:noWrap/>
            <w:vAlign w:val="bottom"/>
            <w:hideMark/>
          </w:tcPr>
          <w:p w14:paraId="427F1B7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26.0</w:t>
            </w:r>
          </w:p>
        </w:tc>
        <w:tc>
          <w:tcPr>
            <w:tcW w:w="732" w:type="dxa"/>
            <w:tcBorders>
              <w:top w:val="nil"/>
              <w:left w:val="nil"/>
              <w:bottom w:val="nil"/>
              <w:right w:val="nil"/>
            </w:tcBorders>
            <w:shd w:val="clear" w:color="auto" w:fill="auto"/>
            <w:noWrap/>
            <w:vAlign w:val="bottom"/>
            <w:hideMark/>
          </w:tcPr>
          <w:p w14:paraId="214CCFD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764.9</w:t>
            </w:r>
          </w:p>
        </w:tc>
        <w:tc>
          <w:tcPr>
            <w:tcW w:w="860" w:type="dxa"/>
            <w:tcBorders>
              <w:top w:val="nil"/>
              <w:left w:val="nil"/>
              <w:bottom w:val="nil"/>
              <w:right w:val="nil"/>
            </w:tcBorders>
            <w:shd w:val="clear" w:color="auto" w:fill="auto"/>
            <w:noWrap/>
            <w:vAlign w:val="bottom"/>
            <w:hideMark/>
          </w:tcPr>
          <w:p w14:paraId="1ACF16E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13.6</w:t>
            </w:r>
          </w:p>
        </w:tc>
        <w:tc>
          <w:tcPr>
            <w:tcW w:w="960" w:type="dxa"/>
            <w:tcBorders>
              <w:top w:val="nil"/>
              <w:left w:val="nil"/>
              <w:bottom w:val="nil"/>
              <w:right w:val="nil"/>
            </w:tcBorders>
            <w:shd w:val="clear" w:color="auto" w:fill="auto"/>
            <w:noWrap/>
            <w:vAlign w:val="bottom"/>
            <w:hideMark/>
          </w:tcPr>
          <w:p w14:paraId="15AE1F3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90.9</w:t>
            </w:r>
          </w:p>
        </w:tc>
        <w:tc>
          <w:tcPr>
            <w:tcW w:w="689" w:type="dxa"/>
            <w:tcBorders>
              <w:top w:val="nil"/>
              <w:left w:val="nil"/>
              <w:bottom w:val="nil"/>
              <w:right w:val="nil"/>
            </w:tcBorders>
            <w:shd w:val="clear" w:color="auto" w:fill="auto"/>
            <w:noWrap/>
            <w:vAlign w:val="bottom"/>
            <w:hideMark/>
          </w:tcPr>
          <w:p w14:paraId="53F05A8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38.8</w:t>
            </w:r>
          </w:p>
        </w:tc>
        <w:tc>
          <w:tcPr>
            <w:tcW w:w="1000" w:type="dxa"/>
            <w:tcBorders>
              <w:top w:val="nil"/>
              <w:left w:val="nil"/>
              <w:bottom w:val="nil"/>
              <w:right w:val="nil"/>
            </w:tcBorders>
            <w:shd w:val="clear" w:color="auto" w:fill="auto"/>
            <w:noWrap/>
            <w:vAlign w:val="bottom"/>
            <w:hideMark/>
          </w:tcPr>
          <w:p w14:paraId="46CD7C7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228.6</w:t>
            </w:r>
          </w:p>
        </w:tc>
      </w:tr>
      <w:tr w:rsidR="00F26016" w:rsidRPr="00F26016" w14:paraId="50D8A5D2" w14:textId="77777777" w:rsidTr="00F26016">
        <w:trPr>
          <w:trHeight w:val="300"/>
        </w:trPr>
        <w:tc>
          <w:tcPr>
            <w:tcW w:w="1140" w:type="dxa"/>
            <w:tcBorders>
              <w:top w:val="nil"/>
              <w:left w:val="nil"/>
              <w:bottom w:val="nil"/>
              <w:right w:val="nil"/>
            </w:tcBorders>
            <w:shd w:val="clear" w:color="auto" w:fill="auto"/>
            <w:noWrap/>
            <w:hideMark/>
          </w:tcPr>
          <w:p w14:paraId="66B7D0E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111</w:t>
            </w:r>
          </w:p>
        </w:tc>
        <w:tc>
          <w:tcPr>
            <w:tcW w:w="1200" w:type="dxa"/>
            <w:tcBorders>
              <w:top w:val="nil"/>
              <w:left w:val="nil"/>
              <w:bottom w:val="nil"/>
              <w:right w:val="nil"/>
            </w:tcBorders>
            <w:shd w:val="clear" w:color="auto" w:fill="auto"/>
            <w:noWrap/>
            <w:hideMark/>
          </w:tcPr>
          <w:p w14:paraId="34D594A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00B535C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42DD862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476FBAF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246386C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1935F78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4665C63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w:t>
            </w:r>
          </w:p>
        </w:tc>
        <w:tc>
          <w:tcPr>
            <w:tcW w:w="660" w:type="dxa"/>
            <w:tcBorders>
              <w:top w:val="nil"/>
              <w:left w:val="nil"/>
              <w:bottom w:val="nil"/>
              <w:right w:val="nil"/>
            </w:tcBorders>
            <w:shd w:val="clear" w:color="auto" w:fill="auto"/>
            <w:noWrap/>
            <w:vAlign w:val="bottom"/>
            <w:hideMark/>
          </w:tcPr>
          <w:p w14:paraId="4972137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6.7</w:t>
            </w:r>
          </w:p>
        </w:tc>
        <w:tc>
          <w:tcPr>
            <w:tcW w:w="920" w:type="dxa"/>
            <w:tcBorders>
              <w:top w:val="nil"/>
              <w:left w:val="nil"/>
              <w:bottom w:val="nil"/>
              <w:right w:val="nil"/>
            </w:tcBorders>
            <w:shd w:val="clear" w:color="auto" w:fill="auto"/>
            <w:noWrap/>
            <w:vAlign w:val="bottom"/>
            <w:hideMark/>
          </w:tcPr>
          <w:p w14:paraId="3861436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19.7</w:t>
            </w:r>
          </w:p>
        </w:tc>
        <w:tc>
          <w:tcPr>
            <w:tcW w:w="741" w:type="dxa"/>
            <w:tcBorders>
              <w:top w:val="nil"/>
              <w:left w:val="nil"/>
              <w:bottom w:val="nil"/>
              <w:right w:val="nil"/>
            </w:tcBorders>
            <w:shd w:val="clear" w:color="auto" w:fill="auto"/>
            <w:noWrap/>
            <w:vAlign w:val="bottom"/>
            <w:hideMark/>
          </w:tcPr>
          <w:p w14:paraId="066470D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9.8</w:t>
            </w:r>
          </w:p>
        </w:tc>
        <w:tc>
          <w:tcPr>
            <w:tcW w:w="785" w:type="dxa"/>
            <w:tcBorders>
              <w:top w:val="nil"/>
              <w:left w:val="nil"/>
              <w:bottom w:val="nil"/>
              <w:right w:val="nil"/>
            </w:tcBorders>
            <w:shd w:val="clear" w:color="auto" w:fill="auto"/>
            <w:noWrap/>
            <w:vAlign w:val="bottom"/>
            <w:hideMark/>
          </w:tcPr>
          <w:p w14:paraId="564A6D9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23.8</w:t>
            </w:r>
          </w:p>
        </w:tc>
        <w:tc>
          <w:tcPr>
            <w:tcW w:w="732" w:type="dxa"/>
            <w:tcBorders>
              <w:top w:val="nil"/>
              <w:left w:val="nil"/>
              <w:bottom w:val="nil"/>
              <w:right w:val="nil"/>
            </w:tcBorders>
            <w:shd w:val="clear" w:color="auto" w:fill="auto"/>
            <w:noWrap/>
            <w:vAlign w:val="bottom"/>
            <w:hideMark/>
          </w:tcPr>
          <w:p w14:paraId="005BAA4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107.2</w:t>
            </w:r>
          </w:p>
        </w:tc>
        <w:tc>
          <w:tcPr>
            <w:tcW w:w="860" w:type="dxa"/>
            <w:tcBorders>
              <w:top w:val="nil"/>
              <w:left w:val="nil"/>
              <w:bottom w:val="nil"/>
              <w:right w:val="nil"/>
            </w:tcBorders>
            <w:shd w:val="clear" w:color="auto" w:fill="auto"/>
            <w:noWrap/>
            <w:vAlign w:val="bottom"/>
            <w:hideMark/>
          </w:tcPr>
          <w:p w14:paraId="57A1216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6.5</w:t>
            </w:r>
          </w:p>
        </w:tc>
        <w:tc>
          <w:tcPr>
            <w:tcW w:w="960" w:type="dxa"/>
            <w:tcBorders>
              <w:top w:val="nil"/>
              <w:left w:val="nil"/>
              <w:bottom w:val="nil"/>
              <w:right w:val="nil"/>
            </w:tcBorders>
            <w:shd w:val="clear" w:color="auto" w:fill="auto"/>
            <w:noWrap/>
            <w:vAlign w:val="bottom"/>
            <w:hideMark/>
          </w:tcPr>
          <w:p w14:paraId="5B8AD5D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45.5</w:t>
            </w:r>
          </w:p>
        </w:tc>
        <w:tc>
          <w:tcPr>
            <w:tcW w:w="689" w:type="dxa"/>
            <w:tcBorders>
              <w:top w:val="nil"/>
              <w:left w:val="nil"/>
              <w:bottom w:val="nil"/>
              <w:right w:val="nil"/>
            </w:tcBorders>
            <w:shd w:val="clear" w:color="auto" w:fill="auto"/>
            <w:noWrap/>
            <w:vAlign w:val="bottom"/>
            <w:hideMark/>
          </w:tcPr>
          <w:p w14:paraId="783B740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271.9</w:t>
            </w:r>
          </w:p>
        </w:tc>
        <w:tc>
          <w:tcPr>
            <w:tcW w:w="1000" w:type="dxa"/>
            <w:tcBorders>
              <w:top w:val="nil"/>
              <w:left w:val="nil"/>
              <w:bottom w:val="nil"/>
              <w:right w:val="nil"/>
            </w:tcBorders>
            <w:shd w:val="clear" w:color="auto" w:fill="auto"/>
            <w:noWrap/>
            <w:vAlign w:val="bottom"/>
            <w:hideMark/>
          </w:tcPr>
          <w:p w14:paraId="1BDEE3D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137.7</w:t>
            </w:r>
          </w:p>
        </w:tc>
      </w:tr>
      <w:tr w:rsidR="00F26016" w:rsidRPr="00F26016" w14:paraId="40B11E40" w14:textId="77777777" w:rsidTr="00F26016">
        <w:trPr>
          <w:trHeight w:val="300"/>
        </w:trPr>
        <w:tc>
          <w:tcPr>
            <w:tcW w:w="1140" w:type="dxa"/>
            <w:tcBorders>
              <w:top w:val="nil"/>
              <w:left w:val="nil"/>
              <w:bottom w:val="nil"/>
              <w:right w:val="nil"/>
            </w:tcBorders>
            <w:shd w:val="clear" w:color="auto" w:fill="auto"/>
            <w:noWrap/>
            <w:hideMark/>
          </w:tcPr>
          <w:p w14:paraId="225E51E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111</w:t>
            </w:r>
          </w:p>
        </w:tc>
        <w:tc>
          <w:tcPr>
            <w:tcW w:w="1200" w:type="dxa"/>
            <w:tcBorders>
              <w:top w:val="nil"/>
              <w:left w:val="nil"/>
              <w:bottom w:val="nil"/>
              <w:right w:val="nil"/>
            </w:tcBorders>
            <w:shd w:val="clear" w:color="auto" w:fill="auto"/>
            <w:noWrap/>
            <w:hideMark/>
          </w:tcPr>
          <w:p w14:paraId="1778613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00351B4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10630B3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140" w:type="dxa"/>
            <w:tcBorders>
              <w:top w:val="nil"/>
              <w:left w:val="nil"/>
              <w:bottom w:val="nil"/>
              <w:right w:val="nil"/>
            </w:tcBorders>
            <w:shd w:val="clear" w:color="auto" w:fill="auto"/>
            <w:noWrap/>
            <w:hideMark/>
          </w:tcPr>
          <w:p w14:paraId="42B11F5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200BE17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02D6741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7831787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w:t>
            </w:r>
          </w:p>
        </w:tc>
        <w:tc>
          <w:tcPr>
            <w:tcW w:w="660" w:type="dxa"/>
            <w:tcBorders>
              <w:top w:val="nil"/>
              <w:left w:val="nil"/>
              <w:bottom w:val="nil"/>
              <w:right w:val="nil"/>
            </w:tcBorders>
            <w:shd w:val="clear" w:color="auto" w:fill="auto"/>
            <w:noWrap/>
            <w:vAlign w:val="bottom"/>
            <w:hideMark/>
          </w:tcPr>
          <w:p w14:paraId="1CE757B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60.9</w:t>
            </w:r>
          </w:p>
        </w:tc>
        <w:tc>
          <w:tcPr>
            <w:tcW w:w="920" w:type="dxa"/>
            <w:tcBorders>
              <w:top w:val="nil"/>
              <w:left w:val="nil"/>
              <w:bottom w:val="nil"/>
              <w:right w:val="nil"/>
            </w:tcBorders>
            <w:shd w:val="clear" w:color="auto" w:fill="auto"/>
            <w:noWrap/>
            <w:vAlign w:val="bottom"/>
            <w:hideMark/>
          </w:tcPr>
          <w:p w14:paraId="721C898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38.9</w:t>
            </w:r>
          </w:p>
        </w:tc>
        <w:tc>
          <w:tcPr>
            <w:tcW w:w="741" w:type="dxa"/>
            <w:tcBorders>
              <w:top w:val="nil"/>
              <w:left w:val="nil"/>
              <w:bottom w:val="nil"/>
              <w:right w:val="nil"/>
            </w:tcBorders>
            <w:shd w:val="clear" w:color="auto" w:fill="auto"/>
            <w:noWrap/>
            <w:vAlign w:val="bottom"/>
            <w:hideMark/>
          </w:tcPr>
          <w:p w14:paraId="4BD3F00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223.3</w:t>
            </w:r>
          </w:p>
        </w:tc>
        <w:tc>
          <w:tcPr>
            <w:tcW w:w="785" w:type="dxa"/>
            <w:tcBorders>
              <w:top w:val="nil"/>
              <w:left w:val="nil"/>
              <w:bottom w:val="nil"/>
              <w:right w:val="nil"/>
            </w:tcBorders>
            <w:shd w:val="clear" w:color="auto" w:fill="auto"/>
            <w:noWrap/>
            <w:vAlign w:val="bottom"/>
            <w:hideMark/>
          </w:tcPr>
          <w:p w14:paraId="1CAC388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161.7</w:t>
            </w:r>
          </w:p>
        </w:tc>
        <w:tc>
          <w:tcPr>
            <w:tcW w:w="732" w:type="dxa"/>
            <w:tcBorders>
              <w:top w:val="nil"/>
              <w:left w:val="nil"/>
              <w:bottom w:val="nil"/>
              <w:right w:val="nil"/>
            </w:tcBorders>
            <w:shd w:val="clear" w:color="auto" w:fill="auto"/>
            <w:noWrap/>
            <w:vAlign w:val="bottom"/>
            <w:hideMark/>
          </w:tcPr>
          <w:p w14:paraId="1602444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104.5</w:t>
            </w:r>
          </w:p>
        </w:tc>
        <w:tc>
          <w:tcPr>
            <w:tcW w:w="860" w:type="dxa"/>
            <w:tcBorders>
              <w:top w:val="nil"/>
              <w:left w:val="nil"/>
              <w:bottom w:val="nil"/>
              <w:right w:val="nil"/>
            </w:tcBorders>
            <w:shd w:val="clear" w:color="auto" w:fill="auto"/>
            <w:noWrap/>
            <w:vAlign w:val="bottom"/>
            <w:hideMark/>
          </w:tcPr>
          <w:p w14:paraId="700317F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26.6</w:t>
            </w:r>
          </w:p>
        </w:tc>
        <w:tc>
          <w:tcPr>
            <w:tcW w:w="960" w:type="dxa"/>
            <w:tcBorders>
              <w:top w:val="nil"/>
              <w:left w:val="nil"/>
              <w:bottom w:val="nil"/>
              <w:right w:val="nil"/>
            </w:tcBorders>
            <w:shd w:val="clear" w:color="auto" w:fill="auto"/>
            <w:noWrap/>
            <w:vAlign w:val="bottom"/>
            <w:hideMark/>
          </w:tcPr>
          <w:p w14:paraId="41BB17F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271.1</w:t>
            </w:r>
          </w:p>
        </w:tc>
        <w:tc>
          <w:tcPr>
            <w:tcW w:w="689" w:type="dxa"/>
            <w:tcBorders>
              <w:top w:val="nil"/>
              <w:left w:val="nil"/>
              <w:bottom w:val="nil"/>
              <w:right w:val="nil"/>
            </w:tcBorders>
            <w:shd w:val="clear" w:color="auto" w:fill="auto"/>
            <w:noWrap/>
            <w:vAlign w:val="bottom"/>
            <w:hideMark/>
          </w:tcPr>
          <w:p w14:paraId="4193A2F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557.9</w:t>
            </w:r>
          </w:p>
        </w:tc>
        <w:tc>
          <w:tcPr>
            <w:tcW w:w="1000" w:type="dxa"/>
            <w:tcBorders>
              <w:top w:val="nil"/>
              <w:left w:val="nil"/>
              <w:bottom w:val="nil"/>
              <w:right w:val="nil"/>
            </w:tcBorders>
            <w:shd w:val="clear" w:color="auto" w:fill="auto"/>
            <w:noWrap/>
            <w:vAlign w:val="bottom"/>
            <w:hideMark/>
          </w:tcPr>
          <w:p w14:paraId="57DFD31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136.0</w:t>
            </w:r>
          </w:p>
        </w:tc>
      </w:tr>
      <w:tr w:rsidR="00F26016" w:rsidRPr="00F26016" w14:paraId="56684D96" w14:textId="77777777" w:rsidTr="00F26016">
        <w:trPr>
          <w:trHeight w:val="300"/>
        </w:trPr>
        <w:tc>
          <w:tcPr>
            <w:tcW w:w="1140" w:type="dxa"/>
            <w:tcBorders>
              <w:top w:val="nil"/>
              <w:left w:val="nil"/>
              <w:bottom w:val="nil"/>
              <w:right w:val="nil"/>
            </w:tcBorders>
            <w:shd w:val="clear" w:color="auto" w:fill="auto"/>
            <w:noWrap/>
            <w:hideMark/>
          </w:tcPr>
          <w:p w14:paraId="65E2466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112</w:t>
            </w:r>
          </w:p>
        </w:tc>
        <w:tc>
          <w:tcPr>
            <w:tcW w:w="1200" w:type="dxa"/>
            <w:tcBorders>
              <w:top w:val="nil"/>
              <w:left w:val="nil"/>
              <w:bottom w:val="nil"/>
              <w:right w:val="nil"/>
            </w:tcBorders>
            <w:shd w:val="clear" w:color="auto" w:fill="auto"/>
            <w:noWrap/>
            <w:hideMark/>
          </w:tcPr>
          <w:p w14:paraId="34B2DBD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4CA9AB5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241E09D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2F6C0E3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5F69312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618FD70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6639C97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51F1C4F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27.0</w:t>
            </w:r>
          </w:p>
        </w:tc>
        <w:tc>
          <w:tcPr>
            <w:tcW w:w="920" w:type="dxa"/>
            <w:tcBorders>
              <w:top w:val="nil"/>
              <w:left w:val="nil"/>
              <w:bottom w:val="nil"/>
              <w:right w:val="nil"/>
            </w:tcBorders>
            <w:shd w:val="clear" w:color="auto" w:fill="auto"/>
            <w:noWrap/>
            <w:vAlign w:val="bottom"/>
            <w:hideMark/>
          </w:tcPr>
          <w:p w14:paraId="431E64E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13.4</w:t>
            </w:r>
          </w:p>
        </w:tc>
        <w:tc>
          <w:tcPr>
            <w:tcW w:w="741" w:type="dxa"/>
            <w:tcBorders>
              <w:top w:val="nil"/>
              <w:left w:val="nil"/>
              <w:bottom w:val="nil"/>
              <w:right w:val="nil"/>
            </w:tcBorders>
            <w:shd w:val="clear" w:color="auto" w:fill="auto"/>
            <w:noWrap/>
            <w:vAlign w:val="bottom"/>
            <w:hideMark/>
          </w:tcPr>
          <w:p w14:paraId="00114FE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21.1</w:t>
            </w:r>
          </w:p>
        </w:tc>
        <w:tc>
          <w:tcPr>
            <w:tcW w:w="785" w:type="dxa"/>
            <w:tcBorders>
              <w:top w:val="nil"/>
              <w:left w:val="nil"/>
              <w:bottom w:val="nil"/>
              <w:right w:val="nil"/>
            </w:tcBorders>
            <w:shd w:val="clear" w:color="auto" w:fill="auto"/>
            <w:noWrap/>
            <w:vAlign w:val="bottom"/>
            <w:hideMark/>
          </w:tcPr>
          <w:p w14:paraId="333318E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15.8</w:t>
            </w:r>
          </w:p>
        </w:tc>
        <w:tc>
          <w:tcPr>
            <w:tcW w:w="732" w:type="dxa"/>
            <w:tcBorders>
              <w:top w:val="nil"/>
              <w:left w:val="nil"/>
              <w:bottom w:val="nil"/>
              <w:right w:val="nil"/>
            </w:tcBorders>
            <w:shd w:val="clear" w:color="auto" w:fill="auto"/>
            <w:noWrap/>
            <w:vAlign w:val="bottom"/>
            <w:hideMark/>
          </w:tcPr>
          <w:p w14:paraId="4A5004E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259.7</w:t>
            </w:r>
          </w:p>
        </w:tc>
        <w:tc>
          <w:tcPr>
            <w:tcW w:w="860" w:type="dxa"/>
            <w:tcBorders>
              <w:top w:val="nil"/>
              <w:left w:val="nil"/>
              <w:bottom w:val="nil"/>
              <w:right w:val="nil"/>
            </w:tcBorders>
            <w:shd w:val="clear" w:color="auto" w:fill="auto"/>
            <w:noWrap/>
            <w:vAlign w:val="bottom"/>
            <w:hideMark/>
          </w:tcPr>
          <w:p w14:paraId="7AD9F4D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9.9</w:t>
            </w:r>
          </w:p>
        </w:tc>
        <w:tc>
          <w:tcPr>
            <w:tcW w:w="960" w:type="dxa"/>
            <w:tcBorders>
              <w:top w:val="nil"/>
              <w:left w:val="nil"/>
              <w:bottom w:val="nil"/>
              <w:right w:val="nil"/>
            </w:tcBorders>
            <w:shd w:val="clear" w:color="auto" w:fill="auto"/>
            <w:noWrap/>
            <w:vAlign w:val="bottom"/>
            <w:hideMark/>
          </w:tcPr>
          <w:p w14:paraId="1693399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82.3</w:t>
            </w:r>
          </w:p>
        </w:tc>
        <w:tc>
          <w:tcPr>
            <w:tcW w:w="689" w:type="dxa"/>
            <w:tcBorders>
              <w:top w:val="nil"/>
              <w:left w:val="nil"/>
              <w:bottom w:val="nil"/>
              <w:right w:val="nil"/>
            </w:tcBorders>
            <w:shd w:val="clear" w:color="auto" w:fill="auto"/>
            <w:noWrap/>
            <w:vAlign w:val="bottom"/>
            <w:hideMark/>
          </w:tcPr>
          <w:p w14:paraId="2915535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38.6</w:t>
            </w:r>
          </w:p>
        </w:tc>
        <w:tc>
          <w:tcPr>
            <w:tcW w:w="1000" w:type="dxa"/>
            <w:tcBorders>
              <w:top w:val="nil"/>
              <w:left w:val="nil"/>
              <w:bottom w:val="nil"/>
              <w:right w:val="nil"/>
            </w:tcBorders>
            <w:shd w:val="clear" w:color="auto" w:fill="auto"/>
            <w:noWrap/>
            <w:vAlign w:val="bottom"/>
            <w:hideMark/>
          </w:tcPr>
          <w:p w14:paraId="322BD3C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220.6</w:t>
            </w:r>
          </w:p>
        </w:tc>
      </w:tr>
      <w:tr w:rsidR="00F26016" w:rsidRPr="00F26016" w14:paraId="30B16A00" w14:textId="77777777" w:rsidTr="00F26016">
        <w:trPr>
          <w:trHeight w:val="300"/>
        </w:trPr>
        <w:tc>
          <w:tcPr>
            <w:tcW w:w="1140" w:type="dxa"/>
            <w:tcBorders>
              <w:top w:val="nil"/>
              <w:left w:val="nil"/>
              <w:bottom w:val="nil"/>
              <w:right w:val="nil"/>
            </w:tcBorders>
            <w:shd w:val="clear" w:color="auto" w:fill="auto"/>
            <w:noWrap/>
            <w:hideMark/>
          </w:tcPr>
          <w:p w14:paraId="7A755A9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112</w:t>
            </w:r>
          </w:p>
        </w:tc>
        <w:tc>
          <w:tcPr>
            <w:tcW w:w="1200" w:type="dxa"/>
            <w:tcBorders>
              <w:top w:val="nil"/>
              <w:left w:val="nil"/>
              <w:bottom w:val="nil"/>
              <w:right w:val="nil"/>
            </w:tcBorders>
            <w:shd w:val="clear" w:color="auto" w:fill="auto"/>
            <w:noWrap/>
            <w:hideMark/>
          </w:tcPr>
          <w:p w14:paraId="032150A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30203C5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5FB77A0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1CD10D4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1AF803A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37B054B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02ADC0E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5ECF078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4.4</w:t>
            </w:r>
          </w:p>
        </w:tc>
        <w:tc>
          <w:tcPr>
            <w:tcW w:w="920" w:type="dxa"/>
            <w:tcBorders>
              <w:top w:val="nil"/>
              <w:left w:val="nil"/>
              <w:bottom w:val="nil"/>
              <w:right w:val="nil"/>
            </w:tcBorders>
            <w:shd w:val="clear" w:color="auto" w:fill="auto"/>
            <w:noWrap/>
            <w:vAlign w:val="bottom"/>
            <w:hideMark/>
          </w:tcPr>
          <w:p w14:paraId="4760D88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16.8</w:t>
            </w:r>
          </w:p>
        </w:tc>
        <w:tc>
          <w:tcPr>
            <w:tcW w:w="741" w:type="dxa"/>
            <w:tcBorders>
              <w:top w:val="nil"/>
              <w:left w:val="nil"/>
              <w:bottom w:val="nil"/>
              <w:right w:val="nil"/>
            </w:tcBorders>
            <w:shd w:val="clear" w:color="auto" w:fill="auto"/>
            <w:noWrap/>
            <w:vAlign w:val="bottom"/>
            <w:hideMark/>
          </w:tcPr>
          <w:p w14:paraId="695FA80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6.4</w:t>
            </w:r>
          </w:p>
        </w:tc>
        <w:tc>
          <w:tcPr>
            <w:tcW w:w="785" w:type="dxa"/>
            <w:tcBorders>
              <w:top w:val="nil"/>
              <w:left w:val="nil"/>
              <w:bottom w:val="nil"/>
              <w:right w:val="nil"/>
            </w:tcBorders>
            <w:shd w:val="clear" w:color="auto" w:fill="auto"/>
            <w:noWrap/>
            <w:vAlign w:val="bottom"/>
            <w:hideMark/>
          </w:tcPr>
          <w:p w14:paraId="15BD1CF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12.9</w:t>
            </w:r>
          </w:p>
        </w:tc>
        <w:tc>
          <w:tcPr>
            <w:tcW w:w="732" w:type="dxa"/>
            <w:tcBorders>
              <w:top w:val="nil"/>
              <w:left w:val="nil"/>
              <w:bottom w:val="nil"/>
              <w:right w:val="nil"/>
            </w:tcBorders>
            <w:shd w:val="clear" w:color="auto" w:fill="auto"/>
            <w:noWrap/>
            <w:vAlign w:val="bottom"/>
            <w:hideMark/>
          </w:tcPr>
          <w:p w14:paraId="130CC0B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84.3</w:t>
            </w:r>
          </w:p>
        </w:tc>
        <w:tc>
          <w:tcPr>
            <w:tcW w:w="860" w:type="dxa"/>
            <w:tcBorders>
              <w:top w:val="nil"/>
              <w:left w:val="nil"/>
              <w:bottom w:val="nil"/>
              <w:right w:val="nil"/>
            </w:tcBorders>
            <w:shd w:val="clear" w:color="auto" w:fill="auto"/>
            <w:noWrap/>
            <w:vAlign w:val="bottom"/>
            <w:hideMark/>
          </w:tcPr>
          <w:p w14:paraId="6B4AF56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3.5</w:t>
            </w:r>
          </w:p>
        </w:tc>
        <w:tc>
          <w:tcPr>
            <w:tcW w:w="960" w:type="dxa"/>
            <w:tcBorders>
              <w:top w:val="nil"/>
              <w:left w:val="nil"/>
              <w:bottom w:val="nil"/>
              <w:right w:val="nil"/>
            </w:tcBorders>
            <w:shd w:val="clear" w:color="auto" w:fill="auto"/>
            <w:noWrap/>
            <w:vAlign w:val="bottom"/>
            <w:hideMark/>
          </w:tcPr>
          <w:p w14:paraId="35B5CCC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31.1</w:t>
            </w:r>
          </w:p>
        </w:tc>
        <w:tc>
          <w:tcPr>
            <w:tcW w:w="689" w:type="dxa"/>
            <w:tcBorders>
              <w:top w:val="nil"/>
              <w:left w:val="nil"/>
              <w:bottom w:val="nil"/>
              <w:right w:val="nil"/>
            </w:tcBorders>
            <w:shd w:val="clear" w:color="auto" w:fill="auto"/>
            <w:noWrap/>
            <w:vAlign w:val="bottom"/>
            <w:hideMark/>
          </w:tcPr>
          <w:p w14:paraId="1A7DF67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109.4</w:t>
            </w:r>
          </w:p>
        </w:tc>
        <w:tc>
          <w:tcPr>
            <w:tcW w:w="1000" w:type="dxa"/>
            <w:tcBorders>
              <w:top w:val="nil"/>
              <w:left w:val="nil"/>
              <w:bottom w:val="nil"/>
              <w:right w:val="nil"/>
            </w:tcBorders>
            <w:shd w:val="clear" w:color="auto" w:fill="auto"/>
            <w:noWrap/>
            <w:vAlign w:val="bottom"/>
            <w:hideMark/>
          </w:tcPr>
          <w:p w14:paraId="6D64021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133.2</w:t>
            </w:r>
          </w:p>
        </w:tc>
      </w:tr>
      <w:tr w:rsidR="00F26016" w:rsidRPr="00F26016" w14:paraId="4178BF71" w14:textId="77777777" w:rsidTr="00F26016">
        <w:trPr>
          <w:trHeight w:val="300"/>
        </w:trPr>
        <w:tc>
          <w:tcPr>
            <w:tcW w:w="1140" w:type="dxa"/>
            <w:tcBorders>
              <w:top w:val="nil"/>
              <w:left w:val="nil"/>
              <w:bottom w:val="nil"/>
              <w:right w:val="nil"/>
            </w:tcBorders>
            <w:shd w:val="clear" w:color="auto" w:fill="auto"/>
            <w:noWrap/>
            <w:hideMark/>
          </w:tcPr>
          <w:p w14:paraId="213C51A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112</w:t>
            </w:r>
          </w:p>
        </w:tc>
        <w:tc>
          <w:tcPr>
            <w:tcW w:w="1200" w:type="dxa"/>
            <w:tcBorders>
              <w:top w:val="nil"/>
              <w:left w:val="nil"/>
              <w:bottom w:val="nil"/>
              <w:right w:val="nil"/>
            </w:tcBorders>
            <w:shd w:val="clear" w:color="auto" w:fill="auto"/>
            <w:noWrap/>
            <w:hideMark/>
          </w:tcPr>
          <w:p w14:paraId="22152A5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2107228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29C5633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147C600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027D53C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1D039B3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2E67318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47E2F12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27.2</w:t>
            </w:r>
          </w:p>
        </w:tc>
        <w:tc>
          <w:tcPr>
            <w:tcW w:w="920" w:type="dxa"/>
            <w:tcBorders>
              <w:top w:val="nil"/>
              <w:left w:val="nil"/>
              <w:bottom w:val="nil"/>
              <w:right w:val="nil"/>
            </w:tcBorders>
            <w:shd w:val="clear" w:color="auto" w:fill="auto"/>
            <w:noWrap/>
            <w:vAlign w:val="bottom"/>
            <w:hideMark/>
          </w:tcPr>
          <w:p w14:paraId="6849AC4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41.6</w:t>
            </w:r>
          </w:p>
        </w:tc>
        <w:tc>
          <w:tcPr>
            <w:tcW w:w="741" w:type="dxa"/>
            <w:tcBorders>
              <w:top w:val="nil"/>
              <w:left w:val="nil"/>
              <w:bottom w:val="nil"/>
              <w:right w:val="nil"/>
            </w:tcBorders>
            <w:shd w:val="clear" w:color="auto" w:fill="auto"/>
            <w:noWrap/>
            <w:vAlign w:val="bottom"/>
            <w:hideMark/>
          </w:tcPr>
          <w:p w14:paraId="6D63BE9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153.4</w:t>
            </w:r>
          </w:p>
        </w:tc>
        <w:tc>
          <w:tcPr>
            <w:tcW w:w="785" w:type="dxa"/>
            <w:tcBorders>
              <w:top w:val="nil"/>
              <w:left w:val="nil"/>
              <w:bottom w:val="nil"/>
              <w:right w:val="nil"/>
            </w:tcBorders>
            <w:shd w:val="clear" w:color="auto" w:fill="auto"/>
            <w:noWrap/>
            <w:vAlign w:val="bottom"/>
            <w:hideMark/>
          </w:tcPr>
          <w:p w14:paraId="2694998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123.2</w:t>
            </w:r>
          </w:p>
        </w:tc>
        <w:tc>
          <w:tcPr>
            <w:tcW w:w="732" w:type="dxa"/>
            <w:tcBorders>
              <w:top w:val="nil"/>
              <w:left w:val="nil"/>
              <w:bottom w:val="nil"/>
              <w:right w:val="nil"/>
            </w:tcBorders>
            <w:shd w:val="clear" w:color="auto" w:fill="auto"/>
            <w:noWrap/>
            <w:vAlign w:val="bottom"/>
            <w:hideMark/>
          </w:tcPr>
          <w:p w14:paraId="2DD299B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59.0</w:t>
            </w:r>
          </w:p>
        </w:tc>
        <w:tc>
          <w:tcPr>
            <w:tcW w:w="860" w:type="dxa"/>
            <w:tcBorders>
              <w:top w:val="nil"/>
              <w:left w:val="nil"/>
              <w:bottom w:val="nil"/>
              <w:right w:val="nil"/>
            </w:tcBorders>
            <w:shd w:val="clear" w:color="auto" w:fill="auto"/>
            <w:noWrap/>
            <w:vAlign w:val="bottom"/>
            <w:hideMark/>
          </w:tcPr>
          <w:p w14:paraId="035F30B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79.8</w:t>
            </w:r>
          </w:p>
        </w:tc>
        <w:tc>
          <w:tcPr>
            <w:tcW w:w="960" w:type="dxa"/>
            <w:tcBorders>
              <w:top w:val="nil"/>
              <w:left w:val="nil"/>
              <w:bottom w:val="nil"/>
              <w:right w:val="nil"/>
            </w:tcBorders>
            <w:shd w:val="clear" w:color="auto" w:fill="auto"/>
            <w:noWrap/>
            <w:vAlign w:val="bottom"/>
            <w:hideMark/>
          </w:tcPr>
          <w:p w14:paraId="75DC70E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220.0</w:t>
            </w:r>
          </w:p>
        </w:tc>
        <w:tc>
          <w:tcPr>
            <w:tcW w:w="689" w:type="dxa"/>
            <w:tcBorders>
              <w:top w:val="nil"/>
              <w:left w:val="nil"/>
              <w:bottom w:val="nil"/>
              <w:right w:val="nil"/>
            </w:tcBorders>
            <w:shd w:val="clear" w:color="auto" w:fill="auto"/>
            <w:noWrap/>
            <w:vAlign w:val="bottom"/>
            <w:hideMark/>
          </w:tcPr>
          <w:p w14:paraId="24E5713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286.7</w:t>
            </w:r>
          </w:p>
        </w:tc>
        <w:tc>
          <w:tcPr>
            <w:tcW w:w="1000" w:type="dxa"/>
            <w:tcBorders>
              <w:top w:val="nil"/>
              <w:left w:val="nil"/>
              <w:bottom w:val="nil"/>
              <w:right w:val="nil"/>
            </w:tcBorders>
            <w:shd w:val="clear" w:color="auto" w:fill="auto"/>
            <w:noWrap/>
            <w:vAlign w:val="bottom"/>
            <w:hideMark/>
          </w:tcPr>
          <w:p w14:paraId="1135368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129.4</w:t>
            </w:r>
          </w:p>
        </w:tc>
      </w:tr>
      <w:tr w:rsidR="00F26016" w:rsidRPr="00F26016" w14:paraId="456DFF5B" w14:textId="77777777" w:rsidTr="00F26016">
        <w:trPr>
          <w:trHeight w:val="300"/>
        </w:trPr>
        <w:tc>
          <w:tcPr>
            <w:tcW w:w="1140" w:type="dxa"/>
            <w:tcBorders>
              <w:top w:val="nil"/>
              <w:left w:val="nil"/>
              <w:bottom w:val="nil"/>
              <w:right w:val="nil"/>
            </w:tcBorders>
            <w:shd w:val="clear" w:color="auto" w:fill="auto"/>
            <w:noWrap/>
            <w:hideMark/>
          </w:tcPr>
          <w:p w14:paraId="50551DF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114</w:t>
            </w:r>
          </w:p>
        </w:tc>
        <w:tc>
          <w:tcPr>
            <w:tcW w:w="1200" w:type="dxa"/>
            <w:tcBorders>
              <w:top w:val="nil"/>
              <w:left w:val="nil"/>
              <w:bottom w:val="nil"/>
              <w:right w:val="nil"/>
            </w:tcBorders>
            <w:shd w:val="clear" w:color="auto" w:fill="auto"/>
            <w:noWrap/>
            <w:hideMark/>
          </w:tcPr>
          <w:p w14:paraId="6C6AF38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5E0E673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699AF16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782C451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5562D46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4B7A450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2CB836A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3215753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180.0</w:t>
            </w:r>
          </w:p>
        </w:tc>
        <w:tc>
          <w:tcPr>
            <w:tcW w:w="920" w:type="dxa"/>
            <w:tcBorders>
              <w:top w:val="nil"/>
              <w:left w:val="nil"/>
              <w:bottom w:val="nil"/>
              <w:right w:val="nil"/>
            </w:tcBorders>
            <w:shd w:val="clear" w:color="auto" w:fill="auto"/>
            <w:noWrap/>
            <w:vAlign w:val="bottom"/>
            <w:hideMark/>
          </w:tcPr>
          <w:p w14:paraId="7C3EA2E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41.3</w:t>
            </w:r>
          </w:p>
        </w:tc>
        <w:tc>
          <w:tcPr>
            <w:tcW w:w="741" w:type="dxa"/>
            <w:tcBorders>
              <w:top w:val="nil"/>
              <w:left w:val="nil"/>
              <w:bottom w:val="nil"/>
              <w:right w:val="nil"/>
            </w:tcBorders>
            <w:shd w:val="clear" w:color="auto" w:fill="auto"/>
            <w:noWrap/>
            <w:vAlign w:val="bottom"/>
            <w:hideMark/>
          </w:tcPr>
          <w:p w14:paraId="09FD908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43.0</w:t>
            </w:r>
          </w:p>
        </w:tc>
        <w:tc>
          <w:tcPr>
            <w:tcW w:w="785" w:type="dxa"/>
            <w:tcBorders>
              <w:top w:val="nil"/>
              <w:left w:val="nil"/>
              <w:bottom w:val="nil"/>
              <w:right w:val="nil"/>
            </w:tcBorders>
            <w:shd w:val="clear" w:color="auto" w:fill="auto"/>
            <w:noWrap/>
            <w:vAlign w:val="bottom"/>
            <w:hideMark/>
          </w:tcPr>
          <w:p w14:paraId="5F9D6B1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30.1</w:t>
            </w:r>
          </w:p>
        </w:tc>
        <w:tc>
          <w:tcPr>
            <w:tcW w:w="732" w:type="dxa"/>
            <w:tcBorders>
              <w:top w:val="nil"/>
              <w:left w:val="nil"/>
              <w:bottom w:val="nil"/>
              <w:right w:val="nil"/>
            </w:tcBorders>
            <w:shd w:val="clear" w:color="auto" w:fill="auto"/>
            <w:noWrap/>
            <w:vAlign w:val="bottom"/>
            <w:hideMark/>
          </w:tcPr>
          <w:p w14:paraId="352172F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1166.7</w:t>
            </w:r>
          </w:p>
        </w:tc>
        <w:tc>
          <w:tcPr>
            <w:tcW w:w="860" w:type="dxa"/>
            <w:tcBorders>
              <w:top w:val="nil"/>
              <w:left w:val="nil"/>
              <w:bottom w:val="nil"/>
              <w:right w:val="nil"/>
            </w:tcBorders>
            <w:shd w:val="clear" w:color="auto" w:fill="auto"/>
            <w:noWrap/>
            <w:vAlign w:val="bottom"/>
            <w:hideMark/>
          </w:tcPr>
          <w:p w14:paraId="5F438CD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20.5</w:t>
            </w:r>
          </w:p>
        </w:tc>
        <w:tc>
          <w:tcPr>
            <w:tcW w:w="960" w:type="dxa"/>
            <w:tcBorders>
              <w:top w:val="nil"/>
              <w:left w:val="nil"/>
              <w:bottom w:val="nil"/>
              <w:right w:val="nil"/>
            </w:tcBorders>
            <w:shd w:val="clear" w:color="auto" w:fill="auto"/>
            <w:noWrap/>
            <w:vAlign w:val="bottom"/>
            <w:hideMark/>
          </w:tcPr>
          <w:p w14:paraId="3D7F3FF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153.6</w:t>
            </w:r>
          </w:p>
        </w:tc>
        <w:tc>
          <w:tcPr>
            <w:tcW w:w="689" w:type="dxa"/>
            <w:tcBorders>
              <w:top w:val="nil"/>
              <w:left w:val="nil"/>
              <w:bottom w:val="nil"/>
              <w:right w:val="nil"/>
            </w:tcBorders>
            <w:shd w:val="clear" w:color="auto" w:fill="auto"/>
            <w:noWrap/>
            <w:vAlign w:val="bottom"/>
            <w:hideMark/>
          </w:tcPr>
          <w:p w14:paraId="55C6C0F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114.9</w:t>
            </w:r>
          </w:p>
        </w:tc>
        <w:tc>
          <w:tcPr>
            <w:tcW w:w="1000" w:type="dxa"/>
            <w:tcBorders>
              <w:top w:val="nil"/>
              <w:left w:val="nil"/>
              <w:bottom w:val="nil"/>
              <w:right w:val="nil"/>
            </w:tcBorders>
            <w:shd w:val="clear" w:color="auto" w:fill="auto"/>
            <w:noWrap/>
            <w:vAlign w:val="bottom"/>
            <w:hideMark/>
          </w:tcPr>
          <w:p w14:paraId="44E5F82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231.2</w:t>
            </w:r>
          </w:p>
        </w:tc>
      </w:tr>
      <w:tr w:rsidR="00F26016" w:rsidRPr="00F26016" w14:paraId="0C941CA1" w14:textId="77777777" w:rsidTr="00F26016">
        <w:trPr>
          <w:trHeight w:val="300"/>
        </w:trPr>
        <w:tc>
          <w:tcPr>
            <w:tcW w:w="1140" w:type="dxa"/>
            <w:tcBorders>
              <w:top w:val="nil"/>
              <w:left w:val="nil"/>
              <w:bottom w:val="nil"/>
              <w:right w:val="nil"/>
            </w:tcBorders>
            <w:shd w:val="clear" w:color="auto" w:fill="auto"/>
            <w:noWrap/>
            <w:hideMark/>
          </w:tcPr>
          <w:p w14:paraId="27EA245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114</w:t>
            </w:r>
          </w:p>
        </w:tc>
        <w:tc>
          <w:tcPr>
            <w:tcW w:w="1200" w:type="dxa"/>
            <w:tcBorders>
              <w:top w:val="nil"/>
              <w:left w:val="nil"/>
              <w:bottom w:val="nil"/>
              <w:right w:val="nil"/>
            </w:tcBorders>
            <w:shd w:val="clear" w:color="auto" w:fill="auto"/>
            <w:noWrap/>
            <w:hideMark/>
          </w:tcPr>
          <w:p w14:paraId="5C80249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3B08CE0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5BD4070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701F863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046DD06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03E14EE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759C7F9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0FD8440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12.6</w:t>
            </w:r>
          </w:p>
        </w:tc>
        <w:tc>
          <w:tcPr>
            <w:tcW w:w="920" w:type="dxa"/>
            <w:tcBorders>
              <w:top w:val="nil"/>
              <w:left w:val="nil"/>
              <w:bottom w:val="nil"/>
              <w:right w:val="nil"/>
            </w:tcBorders>
            <w:shd w:val="clear" w:color="auto" w:fill="auto"/>
            <w:noWrap/>
            <w:vAlign w:val="bottom"/>
            <w:hideMark/>
          </w:tcPr>
          <w:p w14:paraId="76B6E84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3.4</w:t>
            </w:r>
          </w:p>
        </w:tc>
        <w:tc>
          <w:tcPr>
            <w:tcW w:w="741" w:type="dxa"/>
            <w:tcBorders>
              <w:top w:val="nil"/>
              <w:left w:val="nil"/>
              <w:bottom w:val="nil"/>
              <w:right w:val="nil"/>
            </w:tcBorders>
            <w:shd w:val="clear" w:color="auto" w:fill="auto"/>
            <w:noWrap/>
            <w:vAlign w:val="bottom"/>
            <w:hideMark/>
          </w:tcPr>
          <w:p w14:paraId="61FAECC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10.3</w:t>
            </w:r>
          </w:p>
        </w:tc>
        <w:tc>
          <w:tcPr>
            <w:tcW w:w="785" w:type="dxa"/>
            <w:tcBorders>
              <w:top w:val="nil"/>
              <w:left w:val="nil"/>
              <w:bottom w:val="nil"/>
              <w:right w:val="nil"/>
            </w:tcBorders>
            <w:shd w:val="clear" w:color="auto" w:fill="auto"/>
            <w:noWrap/>
            <w:vAlign w:val="bottom"/>
            <w:hideMark/>
          </w:tcPr>
          <w:p w14:paraId="725A4C4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29.0</w:t>
            </w:r>
          </w:p>
        </w:tc>
        <w:tc>
          <w:tcPr>
            <w:tcW w:w="732" w:type="dxa"/>
            <w:tcBorders>
              <w:top w:val="nil"/>
              <w:left w:val="nil"/>
              <w:bottom w:val="nil"/>
              <w:right w:val="nil"/>
            </w:tcBorders>
            <w:shd w:val="clear" w:color="auto" w:fill="auto"/>
            <w:noWrap/>
            <w:vAlign w:val="bottom"/>
            <w:hideMark/>
          </w:tcPr>
          <w:p w14:paraId="0D2C622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99.3</w:t>
            </w:r>
          </w:p>
        </w:tc>
        <w:tc>
          <w:tcPr>
            <w:tcW w:w="860" w:type="dxa"/>
            <w:tcBorders>
              <w:top w:val="nil"/>
              <w:left w:val="nil"/>
              <w:bottom w:val="nil"/>
              <w:right w:val="nil"/>
            </w:tcBorders>
            <w:shd w:val="clear" w:color="auto" w:fill="auto"/>
            <w:noWrap/>
            <w:vAlign w:val="bottom"/>
            <w:hideMark/>
          </w:tcPr>
          <w:p w14:paraId="7ABD8A6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18.3</w:t>
            </w:r>
          </w:p>
        </w:tc>
        <w:tc>
          <w:tcPr>
            <w:tcW w:w="960" w:type="dxa"/>
            <w:tcBorders>
              <w:top w:val="nil"/>
              <w:left w:val="nil"/>
              <w:bottom w:val="nil"/>
              <w:right w:val="nil"/>
            </w:tcBorders>
            <w:shd w:val="clear" w:color="auto" w:fill="auto"/>
            <w:noWrap/>
            <w:vAlign w:val="bottom"/>
            <w:hideMark/>
          </w:tcPr>
          <w:p w14:paraId="5473089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44.5</w:t>
            </w:r>
          </w:p>
        </w:tc>
        <w:tc>
          <w:tcPr>
            <w:tcW w:w="689" w:type="dxa"/>
            <w:tcBorders>
              <w:top w:val="nil"/>
              <w:left w:val="nil"/>
              <w:bottom w:val="nil"/>
              <w:right w:val="nil"/>
            </w:tcBorders>
            <w:shd w:val="clear" w:color="auto" w:fill="auto"/>
            <w:noWrap/>
            <w:vAlign w:val="bottom"/>
            <w:hideMark/>
          </w:tcPr>
          <w:p w14:paraId="5C1CDF1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295.1</w:t>
            </w:r>
          </w:p>
        </w:tc>
        <w:tc>
          <w:tcPr>
            <w:tcW w:w="1000" w:type="dxa"/>
            <w:tcBorders>
              <w:top w:val="nil"/>
              <w:left w:val="nil"/>
              <w:bottom w:val="nil"/>
              <w:right w:val="nil"/>
            </w:tcBorders>
            <w:shd w:val="clear" w:color="auto" w:fill="auto"/>
            <w:noWrap/>
            <w:vAlign w:val="bottom"/>
            <w:hideMark/>
          </w:tcPr>
          <w:p w14:paraId="5AA87B6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144.8</w:t>
            </w:r>
          </w:p>
        </w:tc>
      </w:tr>
      <w:tr w:rsidR="00F26016" w:rsidRPr="00F26016" w14:paraId="01D72875" w14:textId="77777777" w:rsidTr="00F26016">
        <w:trPr>
          <w:trHeight w:val="300"/>
        </w:trPr>
        <w:tc>
          <w:tcPr>
            <w:tcW w:w="1140" w:type="dxa"/>
            <w:tcBorders>
              <w:top w:val="nil"/>
              <w:left w:val="nil"/>
              <w:bottom w:val="nil"/>
              <w:right w:val="nil"/>
            </w:tcBorders>
            <w:shd w:val="clear" w:color="auto" w:fill="auto"/>
            <w:noWrap/>
            <w:hideMark/>
          </w:tcPr>
          <w:p w14:paraId="291B150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114</w:t>
            </w:r>
          </w:p>
        </w:tc>
        <w:tc>
          <w:tcPr>
            <w:tcW w:w="1200" w:type="dxa"/>
            <w:tcBorders>
              <w:top w:val="nil"/>
              <w:left w:val="nil"/>
              <w:bottom w:val="nil"/>
              <w:right w:val="nil"/>
            </w:tcBorders>
            <w:shd w:val="clear" w:color="auto" w:fill="auto"/>
            <w:noWrap/>
            <w:hideMark/>
          </w:tcPr>
          <w:p w14:paraId="0F02341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62941C1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67063C6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75480F0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6875C16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0888A2D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7CDC14E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221BCDD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78.6</w:t>
            </w:r>
          </w:p>
        </w:tc>
        <w:tc>
          <w:tcPr>
            <w:tcW w:w="920" w:type="dxa"/>
            <w:tcBorders>
              <w:top w:val="nil"/>
              <w:left w:val="nil"/>
              <w:bottom w:val="nil"/>
              <w:right w:val="nil"/>
            </w:tcBorders>
            <w:shd w:val="clear" w:color="auto" w:fill="auto"/>
            <w:noWrap/>
            <w:vAlign w:val="bottom"/>
            <w:hideMark/>
          </w:tcPr>
          <w:p w14:paraId="1FB4BA2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34.4</w:t>
            </w:r>
          </w:p>
        </w:tc>
        <w:tc>
          <w:tcPr>
            <w:tcW w:w="741" w:type="dxa"/>
            <w:tcBorders>
              <w:top w:val="nil"/>
              <w:left w:val="nil"/>
              <w:bottom w:val="nil"/>
              <w:right w:val="nil"/>
            </w:tcBorders>
            <w:shd w:val="clear" w:color="auto" w:fill="auto"/>
            <w:noWrap/>
            <w:vAlign w:val="bottom"/>
            <w:hideMark/>
          </w:tcPr>
          <w:p w14:paraId="7356261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166.3</w:t>
            </w:r>
          </w:p>
        </w:tc>
        <w:tc>
          <w:tcPr>
            <w:tcW w:w="785" w:type="dxa"/>
            <w:tcBorders>
              <w:top w:val="nil"/>
              <w:left w:val="nil"/>
              <w:bottom w:val="nil"/>
              <w:right w:val="nil"/>
            </w:tcBorders>
            <w:shd w:val="clear" w:color="auto" w:fill="auto"/>
            <w:noWrap/>
            <w:vAlign w:val="bottom"/>
            <w:hideMark/>
          </w:tcPr>
          <w:p w14:paraId="4B00E60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117.3</w:t>
            </w:r>
          </w:p>
        </w:tc>
        <w:tc>
          <w:tcPr>
            <w:tcW w:w="732" w:type="dxa"/>
            <w:tcBorders>
              <w:top w:val="nil"/>
              <w:left w:val="nil"/>
              <w:bottom w:val="nil"/>
              <w:right w:val="nil"/>
            </w:tcBorders>
            <w:shd w:val="clear" w:color="auto" w:fill="auto"/>
            <w:noWrap/>
            <w:vAlign w:val="bottom"/>
            <w:hideMark/>
          </w:tcPr>
          <w:p w14:paraId="7C84622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32.3</w:t>
            </w:r>
          </w:p>
        </w:tc>
        <w:tc>
          <w:tcPr>
            <w:tcW w:w="860" w:type="dxa"/>
            <w:tcBorders>
              <w:top w:val="nil"/>
              <w:left w:val="nil"/>
              <w:bottom w:val="nil"/>
              <w:right w:val="nil"/>
            </w:tcBorders>
            <w:shd w:val="clear" w:color="auto" w:fill="auto"/>
            <w:noWrap/>
            <w:vAlign w:val="bottom"/>
            <w:hideMark/>
          </w:tcPr>
          <w:p w14:paraId="7DB5FE9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72.2</w:t>
            </w:r>
          </w:p>
        </w:tc>
        <w:tc>
          <w:tcPr>
            <w:tcW w:w="960" w:type="dxa"/>
            <w:tcBorders>
              <w:top w:val="nil"/>
              <w:left w:val="nil"/>
              <w:bottom w:val="nil"/>
              <w:right w:val="nil"/>
            </w:tcBorders>
            <w:shd w:val="clear" w:color="auto" w:fill="auto"/>
            <w:noWrap/>
            <w:vAlign w:val="bottom"/>
            <w:hideMark/>
          </w:tcPr>
          <w:p w14:paraId="49F5602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288.2</w:t>
            </w:r>
          </w:p>
        </w:tc>
        <w:tc>
          <w:tcPr>
            <w:tcW w:w="689" w:type="dxa"/>
            <w:tcBorders>
              <w:top w:val="nil"/>
              <w:left w:val="nil"/>
              <w:bottom w:val="nil"/>
              <w:right w:val="nil"/>
            </w:tcBorders>
            <w:shd w:val="clear" w:color="auto" w:fill="auto"/>
            <w:noWrap/>
            <w:vAlign w:val="bottom"/>
            <w:hideMark/>
          </w:tcPr>
          <w:p w14:paraId="65762B3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793.1</w:t>
            </w:r>
          </w:p>
        </w:tc>
        <w:tc>
          <w:tcPr>
            <w:tcW w:w="1000" w:type="dxa"/>
            <w:tcBorders>
              <w:top w:val="nil"/>
              <w:left w:val="nil"/>
              <w:bottom w:val="nil"/>
              <w:right w:val="nil"/>
            </w:tcBorders>
            <w:shd w:val="clear" w:color="auto" w:fill="auto"/>
            <w:noWrap/>
            <w:vAlign w:val="bottom"/>
            <w:hideMark/>
          </w:tcPr>
          <w:p w14:paraId="016459D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122.5</w:t>
            </w:r>
          </w:p>
        </w:tc>
      </w:tr>
      <w:tr w:rsidR="00F26016" w:rsidRPr="00F26016" w14:paraId="06E6C30D" w14:textId="77777777" w:rsidTr="00F26016">
        <w:trPr>
          <w:trHeight w:val="300"/>
        </w:trPr>
        <w:tc>
          <w:tcPr>
            <w:tcW w:w="1140" w:type="dxa"/>
            <w:tcBorders>
              <w:top w:val="nil"/>
              <w:left w:val="nil"/>
              <w:bottom w:val="nil"/>
              <w:right w:val="nil"/>
            </w:tcBorders>
            <w:shd w:val="clear" w:color="auto" w:fill="auto"/>
            <w:noWrap/>
            <w:hideMark/>
          </w:tcPr>
          <w:p w14:paraId="3637CF7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117</w:t>
            </w:r>
          </w:p>
        </w:tc>
        <w:tc>
          <w:tcPr>
            <w:tcW w:w="1200" w:type="dxa"/>
            <w:tcBorders>
              <w:top w:val="nil"/>
              <w:left w:val="nil"/>
              <w:bottom w:val="nil"/>
              <w:right w:val="nil"/>
            </w:tcBorders>
            <w:shd w:val="clear" w:color="auto" w:fill="auto"/>
            <w:noWrap/>
            <w:hideMark/>
          </w:tcPr>
          <w:p w14:paraId="161E1D9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1C612A6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56A48C6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01AA52B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7E33D20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250E36E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2D5E37B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128CD0A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182.2</w:t>
            </w:r>
          </w:p>
        </w:tc>
        <w:tc>
          <w:tcPr>
            <w:tcW w:w="920" w:type="dxa"/>
            <w:tcBorders>
              <w:top w:val="nil"/>
              <w:left w:val="nil"/>
              <w:bottom w:val="nil"/>
              <w:right w:val="nil"/>
            </w:tcBorders>
            <w:shd w:val="clear" w:color="auto" w:fill="auto"/>
            <w:noWrap/>
            <w:vAlign w:val="bottom"/>
            <w:hideMark/>
          </w:tcPr>
          <w:p w14:paraId="3F2DA11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29.2</w:t>
            </w:r>
          </w:p>
        </w:tc>
        <w:tc>
          <w:tcPr>
            <w:tcW w:w="741" w:type="dxa"/>
            <w:tcBorders>
              <w:top w:val="nil"/>
              <w:left w:val="nil"/>
              <w:bottom w:val="nil"/>
              <w:right w:val="nil"/>
            </w:tcBorders>
            <w:shd w:val="clear" w:color="auto" w:fill="auto"/>
            <w:noWrap/>
            <w:vAlign w:val="bottom"/>
            <w:hideMark/>
          </w:tcPr>
          <w:p w14:paraId="5488A91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49.9</w:t>
            </w:r>
          </w:p>
        </w:tc>
        <w:tc>
          <w:tcPr>
            <w:tcW w:w="785" w:type="dxa"/>
            <w:tcBorders>
              <w:top w:val="nil"/>
              <w:left w:val="nil"/>
              <w:bottom w:val="nil"/>
              <w:right w:val="nil"/>
            </w:tcBorders>
            <w:shd w:val="clear" w:color="auto" w:fill="auto"/>
            <w:noWrap/>
            <w:vAlign w:val="bottom"/>
            <w:hideMark/>
          </w:tcPr>
          <w:p w14:paraId="19CBE61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42.9</w:t>
            </w:r>
          </w:p>
        </w:tc>
        <w:tc>
          <w:tcPr>
            <w:tcW w:w="732" w:type="dxa"/>
            <w:tcBorders>
              <w:top w:val="nil"/>
              <w:left w:val="nil"/>
              <w:bottom w:val="nil"/>
              <w:right w:val="nil"/>
            </w:tcBorders>
            <w:shd w:val="clear" w:color="auto" w:fill="auto"/>
            <w:noWrap/>
            <w:vAlign w:val="bottom"/>
            <w:hideMark/>
          </w:tcPr>
          <w:p w14:paraId="3E47018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1089.3</w:t>
            </w:r>
          </w:p>
        </w:tc>
        <w:tc>
          <w:tcPr>
            <w:tcW w:w="860" w:type="dxa"/>
            <w:tcBorders>
              <w:top w:val="nil"/>
              <w:left w:val="nil"/>
              <w:bottom w:val="nil"/>
              <w:right w:val="nil"/>
            </w:tcBorders>
            <w:shd w:val="clear" w:color="auto" w:fill="auto"/>
            <w:noWrap/>
            <w:vAlign w:val="bottom"/>
            <w:hideMark/>
          </w:tcPr>
          <w:p w14:paraId="45129DF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72.5</w:t>
            </w:r>
          </w:p>
        </w:tc>
        <w:tc>
          <w:tcPr>
            <w:tcW w:w="960" w:type="dxa"/>
            <w:tcBorders>
              <w:top w:val="nil"/>
              <w:left w:val="nil"/>
              <w:bottom w:val="nil"/>
              <w:right w:val="nil"/>
            </w:tcBorders>
            <w:shd w:val="clear" w:color="auto" w:fill="auto"/>
            <w:noWrap/>
            <w:vAlign w:val="bottom"/>
            <w:hideMark/>
          </w:tcPr>
          <w:p w14:paraId="7641F0B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72.2</w:t>
            </w:r>
          </w:p>
        </w:tc>
        <w:tc>
          <w:tcPr>
            <w:tcW w:w="689" w:type="dxa"/>
            <w:tcBorders>
              <w:top w:val="nil"/>
              <w:left w:val="nil"/>
              <w:bottom w:val="nil"/>
              <w:right w:val="nil"/>
            </w:tcBorders>
            <w:shd w:val="clear" w:color="auto" w:fill="auto"/>
            <w:noWrap/>
            <w:vAlign w:val="bottom"/>
            <w:hideMark/>
          </w:tcPr>
          <w:p w14:paraId="5ABD090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4.5</w:t>
            </w:r>
          </w:p>
        </w:tc>
        <w:tc>
          <w:tcPr>
            <w:tcW w:w="1000" w:type="dxa"/>
            <w:tcBorders>
              <w:top w:val="nil"/>
              <w:left w:val="nil"/>
              <w:bottom w:val="nil"/>
              <w:right w:val="nil"/>
            </w:tcBorders>
            <w:shd w:val="clear" w:color="auto" w:fill="auto"/>
            <w:noWrap/>
            <w:vAlign w:val="bottom"/>
            <w:hideMark/>
          </w:tcPr>
          <w:p w14:paraId="21103C5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204.4</w:t>
            </w:r>
          </w:p>
        </w:tc>
      </w:tr>
      <w:tr w:rsidR="00F26016" w:rsidRPr="00F26016" w14:paraId="33B01062" w14:textId="77777777" w:rsidTr="00F26016">
        <w:trPr>
          <w:trHeight w:val="300"/>
        </w:trPr>
        <w:tc>
          <w:tcPr>
            <w:tcW w:w="1140" w:type="dxa"/>
            <w:tcBorders>
              <w:top w:val="nil"/>
              <w:left w:val="nil"/>
              <w:bottom w:val="nil"/>
              <w:right w:val="nil"/>
            </w:tcBorders>
            <w:shd w:val="clear" w:color="auto" w:fill="auto"/>
            <w:noWrap/>
            <w:hideMark/>
          </w:tcPr>
          <w:p w14:paraId="5DD5721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117</w:t>
            </w:r>
          </w:p>
        </w:tc>
        <w:tc>
          <w:tcPr>
            <w:tcW w:w="1200" w:type="dxa"/>
            <w:tcBorders>
              <w:top w:val="nil"/>
              <w:left w:val="nil"/>
              <w:bottom w:val="nil"/>
              <w:right w:val="nil"/>
            </w:tcBorders>
            <w:shd w:val="clear" w:color="auto" w:fill="auto"/>
            <w:noWrap/>
            <w:hideMark/>
          </w:tcPr>
          <w:p w14:paraId="6087725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473A491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2213279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53E287B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347DA31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52E59B5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4D8636F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30F7AF6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4.6</w:t>
            </w:r>
          </w:p>
        </w:tc>
        <w:tc>
          <w:tcPr>
            <w:tcW w:w="920" w:type="dxa"/>
            <w:tcBorders>
              <w:top w:val="nil"/>
              <w:left w:val="nil"/>
              <w:bottom w:val="nil"/>
              <w:right w:val="nil"/>
            </w:tcBorders>
            <w:shd w:val="clear" w:color="auto" w:fill="auto"/>
            <w:noWrap/>
            <w:vAlign w:val="bottom"/>
            <w:hideMark/>
          </w:tcPr>
          <w:p w14:paraId="2911883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37.1</w:t>
            </w:r>
          </w:p>
        </w:tc>
        <w:tc>
          <w:tcPr>
            <w:tcW w:w="741" w:type="dxa"/>
            <w:tcBorders>
              <w:top w:val="nil"/>
              <w:left w:val="nil"/>
              <w:bottom w:val="nil"/>
              <w:right w:val="nil"/>
            </w:tcBorders>
            <w:shd w:val="clear" w:color="auto" w:fill="auto"/>
            <w:noWrap/>
            <w:vAlign w:val="bottom"/>
            <w:hideMark/>
          </w:tcPr>
          <w:p w14:paraId="20A398D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11.7</w:t>
            </w:r>
          </w:p>
        </w:tc>
        <w:tc>
          <w:tcPr>
            <w:tcW w:w="785" w:type="dxa"/>
            <w:tcBorders>
              <w:top w:val="nil"/>
              <w:left w:val="nil"/>
              <w:bottom w:val="nil"/>
              <w:right w:val="nil"/>
            </w:tcBorders>
            <w:shd w:val="clear" w:color="auto" w:fill="auto"/>
            <w:noWrap/>
            <w:vAlign w:val="bottom"/>
            <w:hideMark/>
          </w:tcPr>
          <w:p w14:paraId="3F2B81C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36.5</w:t>
            </w:r>
          </w:p>
        </w:tc>
        <w:tc>
          <w:tcPr>
            <w:tcW w:w="732" w:type="dxa"/>
            <w:tcBorders>
              <w:top w:val="nil"/>
              <w:left w:val="nil"/>
              <w:bottom w:val="nil"/>
              <w:right w:val="nil"/>
            </w:tcBorders>
            <w:shd w:val="clear" w:color="auto" w:fill="auto"/>
            <w:noWrap/>
            <w:vAlign w:val="bottom"/>
            <w:hideMark/>
          </w:tcPr>
          <w:p w14:paraId="031E1A3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74.5</w:t>
            </w:r>
          </w:p>
        </w:tc>
        <w:tc>
          <w:tcPr>
            <w:tcW w:w="860" w:type="dxa"/>
            <w:tcBorders>
              <w:top w:val="nil"/>
              <w:left w:val="nil"/>
              <w:bottom w:val="nil"/>
              <w:right w:val="nil"/>
            </w:tcBorders>
            <w:shd w:val="clear" w:color="auto" w:fill="auto"/>
            <w:noWrap/>
            <w:vAlign w:val="bottom"/>
            <w:hideMark/>
          </w:tcPr>
          <w:p w14:paraId="34E16E6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49.0</w:t>
            </w:r>
          </w:p>
        </w:tc>
        <w:tc>
          <w:tcPr>
            <w:tcW w:w="960" w:type="dxa"/>
            <w:tcBorders>
              <w:top w:val="nil"/>
              <w:left w:val="nil"/>
              <w:bottom w:val="nil"/>
              <w:right w:val="nil"/>
            </w:tcBorders>
            <w:shd w:val="clear" w:color="auto" w:fill="auto"/>
            <w:noWrap/>
            <w:vAlign w:val="bottom"/>
            <w:hideMark/>
          </w:tcPr>
          <w:p w14:paraId="4756246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27.6</w:t>
            </w:r>
          </w:p>
        </w:tc>
        <w:tc>
          <w:tcPr>
            <w:tcW w:w="689" w:type="dxa"/>
            <w:tcBorders>
              <w:top w:val="nil"/>
              <w:left w:val="nil"/>
              <w:bottom w:val="nil"/>
              <w:right w:val="nil"/>
            </w:tcBorders>
            <w:shd w:val="clear" w:color="auto" w:fill="auto"/>
            <w:noWrap/>
            <w:vAlign w:val="bottom"/>
            <w:hideMark/>
          </w:tcPr>
          <w:p w14:paraId="4EBEE42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234.8</w:t>
            </w:r>
          </w:p>
        </w:tc>
        <w:tc>
          <w:tcPr>
            <w:tcW w:w="1000" w:type="dxa"/>
            <w:tcBorders>
              <w:top w:val="nil"/>
              <w:left w:val="nil"/>
              <w:bottom w:val="nil"/>
              <w:right w:val="nil"/>
            </w:tcBorders>
            <w:shd w:val="clear" w:color="auto" w:fill="auto"/>
            <w:noWrap/>
            <w:vAlign w:val="bottom"/>
            <w:hideMark/>
          </w:tcPr>
          <w:p w14:paraId="0C444FA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133.0</w:t>
            </w:r>
          </w:p>
        </w:tc>
      </w:tr>
      <w:tr w:rsidR="00F26016" w:rsidRPr="00F26016" w14:paraId="27EE9AD0" w14:textId="77777777" w:rsidTr="00F26016">
        <w:trPr>
          <w:trHeight w:val="300"/>
        </w:trPr>
        <w:tc>
          <w:tcPr>
            <w:tcW w:w="1140" w:type="dxa"/>
            <w:tcBorders>
              <w:top w:val="nil"/>
              <w:left w:val="nil"/>
              <w:bottom w:val="nil"/>
              <w:right w:val="nil"/>
            </w:tcBorders>
            <w:shd w:val="clear" w:color="auto" w:fill="auto"/>
            <w:noWrap/>
            <w:hideMark/>
          </w:tcPr>
          <w:p w14:paraId="0471563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117</w:t>
            </w:r>
          </w:p>
        </w:tc>
        <w:tc>
          <w:tcPr>
            <w:tcW w:w="1200" w:type="dxa"/>
            <w:tcBorders>
              <w:top w:val="nil"/>
              <w:left w:val="nil"/>
              <w:bottom w:val="nil"/>
              <w:right w:val="nil"/>
            </w:tcBorders>
            <w:shd w:val="clear" w:color="auto" w:fill="auto"/>
            <w:noWrap/>
            <w:hideMark/>
          </w:tcPr>
          <w:p w14:paraId="0B057B4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w:t>
            </w:r>
          </w:p>
        </w:tc>
        <w:tc>
          <w:tcPr>
            <w:tcW w:w="834" w:type="dxa"/>
            <w:tcBorders>
              <w:top w:val="nil"/>
              <w:left w:val="nil"/>
              <w:bottom w:val="nil"/>
              <w:right w:val="nil"/>
            </w:tcBorders>
            <w:shd w:val="clear" w:color="auto" w:fill="auto"/>
            <w:noWrap/>
            <w:hideMark/>
          </w:tcPr>
          <w:p w14:paraId="6C576A4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annual</w:t>
            </w:r>
          </w:p>
        </w:tc>
        <w:tc>
          <w:tcPr>
            <w:tcW w:w="980" w:type="dxa"/>
            <w:tcBorders>
              <w:top w:val="nil"/>
              <w:left w:val="nil"/>
              <w:bottom w:val="nil"/>
              <w:right w:val="nil"/>
            </w:tcBorders>
            <w:shd w:val="clear" w:color="auto" w:fill="auto"/>
            <w:noWrap/>
            <w:hideMark/>
          </w:tcPr>
          <w:p w14:paraId="7095CA1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3D769E2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0A9E619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7912976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5947111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1666EAD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77.0</w:t>
            </w:r>
          </w:p>
        </w:tc>
        <w:tc>
          <w:tcPr>
            <w:tcW w:w="920" w:type="dxa"/>
            <w:tcBorders>
              <w:top w:val="nil"/>
              <w:left w:val="nil"/>
              <w:bottom w:val="nil"/>
              <w:right w:val="nil"/>
            </w:tcBorders>
            <w:shd w:val="clear" w:color="auto" w:fill="auto"/>
            <w:noWrap/>
            <w:vAlign w:val="bottom"/>
            <w:hideMark/>
          </w:tcPr>
          <w:p w14:paraId="054BBA8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113.3</w:t>
            </w:r>
          </w:p>
        </w:tc>
        <w:tc>
          <w:tcPr>
            <w:tcW w:w="741" w:type="dxa"/>
            <w:tcBorders>
              <w:top w:val="nil"/>
              <w:left w:val="nil"/>
              <w:bottom w:val="nil"/>
              <w:right w:val="nil"/>
            </w:tcBorders>
            <w:shd w:val="clear" w:color="auto" w:fill="auto"/>
            <w:noWrap/>
            <w:vAlign w:val="bottom"/>
            <w:hideMark/>
          </w:tcPr>
          <w:p w14:paraId="4540B6D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214.3</w:t>
            </w:r>
          </w:p>
        </w:tc>
        <w:tc>
          <w:tcPr>
            <w:tcW w:w="785" w:type="dxa"/>
            <w:tcBorders>
              <w:top w:val="nil"/>
              <w:left w:val="nil"/>
              <w:bottom w:val="nil"/>
              <w:right w:val="nil"/>
            </w:tcBorders>
            <w:shd w:val="clear" w:color="auto" w:fill="auto"/>
            <w:noWrap/>
            <w:vAlign w:val="bottom"/>
            <w:hideMark/>
          </w:tcPr>
          <w:p w14:paraId="5EB4685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152.0</w:t>
            </w:r>
          </w:p>
        </w:tc>
        <w:tc>
          <w:tcPr>
            <w:tcW w:w="732" w:type="dxa"/>
            <w:tcBorders>
              <w:top w:val="nil"/>
              <w:left w:val="nil"/>
              <w:bottom w:val="nil"/>
              <w:right w:val="nil"/>
            </w:tcBorders>
            <w:shd w:val="clear" w:color="auto" w:fill="auto"/>
            <w:noWrap/>
            <w:vAlign w:val="bottom"/>
            <w:hideMark/>
          </w:tcPr>
          <w:p w14:paraId="4A12ED6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136.3</w:t>
            </w:r>
          </w:p>
        </w:tc>
        <w:tc>
          <w:tcPr>
            <w:tcW w:w="860" w:type="dxa"/>
            <w:tcBorders>
              <w:top w:val="nil"/>
              <w:left w:val="nil"/>
              <w:bottom w:val="nil"/>
              <w:right w:val="nil"/>
            </w:tcBorders>
            <w:shd w:val="clear" w:color="auto" w:fill="auto"/>
            <w:noWrap/>
            <w:vAlign w:val="bottom"/>
            <w:hideMark/>
          </w:tcPr>
          <w:p w14:paraId="532B4E0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185.7</w:t>
            </w:r>
          </w:p>
        </w:tc>
        <w:tc>
          <w:tcPr>
            <w:tcW w:w="960" w:type="dxa"/>
            <w:tcBorders>
              <w:top w:val="nil"/>
              <w:left w:val="nil"/>
              <w:bottom w:val="nil"/>
              <w:right w:val="nil"/>
            </w:tcBorders>
            <w:shd w:val="clear" w:color="auto" w:fill="auto"/>
            <w:noWrap/>
            <w:vAlign w:val="bottom"/>
            <w:hideMark/>
          </w:tcPr>
          <w:p w14:paraId="3F5E58A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164.2</w:t>
            </w:r>
          </w:p>
        </w:tc>
        <w:tc>
          <w:tcPr>
            <w:tcW w:w="689" w:type="dxa"/>
            <w:tcBorders>
              <w:top w:val="nil"/>
              <w:left w:val="nil"/>
              <w:bottom w:val="nil"/>
              <w:right w:val="nil"/>
            </w:tcBorders>
            <w:shd w:val="clear" w:color="auto" w:fill="auto"/>
            <w:noWrap/>
            <w:vAlign w:val="bottom"/>
            <w:hideMark/>
          </w:tcPr>
          <w:p w14:paraId="217C229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24.8</w:t>
            </w:r>
          </w:p>
        </w:tc>
        <w:tc>
          <w:tcPr>
            <w:tcW w:w="1000" w:type="dxa"/>
            <w:tcBorders>
              <w:top w:val="nil"/>
              <w:left w:val="nil"/>
              <w:bottom w:val="nil"/>
              <w:right w:val="nil"/>
            </w:tcBorders>
            <w:shd w:val="clear" w:color="auto" w:fill="auto"/>
            <w:noWrap/>
            <w:vAlign w:val="bottom"/>
            <w:hideMark/>
          </w:tcPr>
          <w:p w14:paraId="3248A4F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123.1</w:t>
            </w:r>
          </w:p>
        </w:tc>
      </w:tr>
      <w:tr w:rsidR="00F26016" w:rsidRPr="00F26016" w14:paraId="403D7A55" w14:textId="77777777" w:rsidTr="00F26016">
        <w:trPr>
          <w:trHeight w:val="300"/>
        </w:trPr>
        <w:tc>
          <w:tcPr>
            <w:tcW w:w="1140" w:type="dxa"/>
            <w:tcBorders>
              <w:top w:val="nil"/>
              <w:left w:val="nil"/>
              <w:bottom w:val="nil"/>
              <w:right w:val="nil"/>
            </w:tcBorders>
            <w:shd w:val="clear" w:color="auto" w:fill="auto"/>
            <w:noWrap/>
            <w:hideMark/>
          </w:tcPr>
          <w:p w14:paraId="07B5DEA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200" w:type="dxa"/>
            <w:tcBorders>
              <w:top w:val="nil"/>
              <w:left w:val="nil"/>
              <w:bottom w:val="nil"/>
              <w:right w:val="nil"/>
            </w:tcBorders>
            <w:shd w:val="clear" w:color="auto" w:fill="auto"/>
            <w:noWrap/>
            <w:hideMark/>
          </w:tcPr>
          <w:p w14:paraId="672C66C4"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2D6F57D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238925B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5F781B0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1DB1643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395F2E5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1381593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64490AE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259.2</w:t>
            </w:r>
          </w:p>
        </w:tc>
        <w:tc>
          <w:tcPr>
            <w:tcW w:w="920" w:type="dxa"/>
            <w:tcBorders>
              <w:top w:val="nil"/>
              <w:left w:val="nil"/>
              <w:bottom w:val="nil"/>
              <w:right w:val="nil"/>
            </w:tcBorders>
            <w:shd w:val="clear" w:color="auto" w:fill="auto"/>
            <w:noWrap/>
            <w:vAlign w:val="bottom"/>
            <w:hideMark/>
          </w:tcPr>
          <w:p w14:paraId="6134B51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30.7</w:t>
            </w:r>
          </w:p>
        </w:tc>
        <w:tc>
          <w:tcPr>
            <w:tcW w:w="741" w:type="dxa"/>
            <w:tcBorders>
              <w:top w:val="nil"/>
              <w:left w:val="nil"/>
              <w:bottom w:val="nil"/>
              <w:right w:val="nil"/>
            </w:tcBorders>
            <w:shd w:val="clear" w:color="auto" w:fill="auto"/>
            <w:noWrap/>
            <w:vAlign w:val="bottom"/>
            <w:hideMark/>
          </w:tcPr>
          <w:p w14:paraId="3E13CD0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46.0</w:t>
            </w:r>
          </w:p>
        </w:tc>
        <w:tc>
          <w:tcPr>
            <w:tcW w:w="785" w:type="dxa"/>
            <w:tcBorders>
              <w:top w:val="nil"/>
              <w:left w:val="nil"/>
              <w:bottom w:val="nil"/>
              <w:right w:val="nil"/>
            </w:tcBorders>
            <w:shd w:val="clear" w:color="auto" w:fill="auto"/>
            <w:noWrap/>
            <w:vAlign w:val="bottom"/>
            <w:hideMark/>
          </w:tcPr>
          <w:p w14:paraId="18AE778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12.0</w:t>
            </w:r>
          </w:p>
        </w:tc>
        <w:tc>
          <w:tcPr>
            <w:tcW w:w="732" w:type="dxa"/>
            <w:tcBorders>
              <w:top w:val="nil"/>
              <w:left w:val="nil"/>
              <w:bottom w:val="nil"/>
              <w:right w:val="nil"/>
            </w:tcBorders>
            <w:shd w:val="clear" w:color="auto" w:fill="auto"/>
            <w:noWrap/>
            <w:vAlign w:val="bottom"/>
            <w:hideMark/>
          </w:tcPr>
          <w:p w14:paraId="782CC0B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1158.8</w:t>
            </w:r>
          </w:p>
        </w:tc>
        <w:tc>
          <w:tcPr>
            <w:tcW w:w="860" w:type="dxa"/>
            <w:tcBorders>
              <w:top w:val="nil"/>
              <w:left w:val="nil"/>
              <w:bottom w:val="nil"/>
              <w:right w:val="nil"/>
            </w:tcBorders>
            <w:shd w:val="clear" w:color="auto" w:fill="auto"/>
            <w:noWrap/>
            <w:vAlign w:val="bottom"/>
            <w:hideMark/>
          </w:tcPr>
          <w:p w14:paraId="67EA600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16.4</w:t>
            </w:r>
          </w:p>
        </w:tc>
        <w:tc>
          <w:tcPr>
            <w:tcW w:w="960" w:type="dxa"/>
            <w:tcBorders>
              <w:top w:val="nil"/>
              <w:left w:val="nil"/>
              <w:bottom w:val="nil"/>
              <w:right w:val="nil"/>
            </w:tcBorders>
            <w:shd w:val="clear" w:color="auto" w:fill="auto"/>
            <w:noWrap/>
            <w:vAlign w:val="bottom"/>
            <w:hideMark/>
          </w:tcPr>
          <w:p w14:paraId="25720EA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97.0</w:t>
            </w:r>
          </w:p>
        </w:tc>
        <w:tc>
          <w:tcPr>
            <w:tcW w:w="689" w:type="dxa"/>
            <w:tcBorders>
              <w:top w:val="nil"/>
              <w:left w:val="nil"/>
              <w:bottom w:val="nil"/>
              <w:right w:val="nil"/>
            </w:tcBorders>
            <w:shd w:val="clear" w:color="auto" w:fill="auto"/>
            <w:noWrap/>
            <w:vAlign w:val="bottom"/>
            <w:hideMark/>
          </w:tcPr>
          <w:p w14:paraId="23A92C6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697.0</w:t>
            </w:r>
          </w:p>
        </w:tc>
        <w:tc>
          <w:tcPr>
            <w:tcW w:w="1000" w:type="dxa"/>
            <w:tcBorders>
              <w:top w:val="nil"/>
              <w:left w:val="nil"/>
              <w:bottom w:val="nil"/>
              <w:right w:val="nil"/>
            </w:tcBorders>
            <w:shd w:val="clear" w:color="auto" w:fill="auto"/>
            <w:noWrap/>
            <w:vAlign w:val="bottom"/>
            <w:hideMark/>
          </w:tcPr>
          <w:p w14:paraId="2C186DE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184.9</w:t>
            </w:r>
          </w:p>
        </w:tc>
      </w:tr>
      <w:tr w:rsidR="00F26016" w:rsidRPr="00F26016" w14:paraId="48FFFFDE" w14:textId="77777777" w:rsidTr="00F26016">
        <w:trPr>
          <w:trHeight w:val="300"/>
        </w:trPr>
        <w:tc>
          <w:tcPr>
            <w:tcW w:w="1140" w:type="dxa"/>
            <w:tcBorders>
              <w:top w:val="nil"/>
              <w:left w:val="nil"/>
              <w:bottom w:val="nil"/>
              <w:right w:val="nil"/>
            </w:tcBorders>
            <w:shd w:val="clear" w:color="auto" w:fill="auto"/>
            <w:noWrap/>
            <w:hideMark/>
          </w:tcPr>
          <w:p w14:paraId="118ADDE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200" w:type="dxa"/>
            <w:tcBorders>
              <w:top w:val="nil"/>
              <w:left w:val="nil"/>
              <w:bottom w:val="nil"/>
              <w:right w:val="nil"/>
            </w:tcBorders>
            <w:shd w:val="clear" w:color="auto" w:fill="auto"/>
            <w:noWrap/>
            <w:hideMark/>
          </w:tcPr>
          <w:p w14:paraId="1770BF24"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5B618D1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486E69F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4EE52FC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4966E4D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0B652BF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4354C79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26791D4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6.6</w:t>
            </w:r>
          </w:p>
        </w:tc>
        <w:tc>
          <w:tcPr>
            <w:tcW w:w="920" w:type="dxa"/>
            <w:tcBorders>
              <w:top w:val="nil"/>
              <w:left w:val="nil"/>
              <w:bottom w:val="nil"/>
              <w:right w:val="nil"/>
            </w:tcBorders>
            <w:shd w:val="clear" w:color="auto" w:fill="auto"/>
            <w:noWrap/>
            <w:vAlign w:val="bottom"/>
            <w:hideMark/>
          </w:tcPr>
          <w:p w14:paraId="0F64321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19.7</w:t>
            </w:r>
          </w:p>
        </w:tc>
        <w:tc>
          <w:tcPr>
            <w:tcW w:w="741" w:type="dxa"/>
            <w:tcBorders>
              <w:top w:val="nil"/>
              <w:left w:val="nil"/>
              <w:bottom w:val="nil"/>
              <w:right w:val="nil"/>
            </w:tcBorders>
            <w:shd w:val="clear" w:color="auto" w:fill="auto"/>
            <w:noWrap/>
            <w:vAlign w:val="bottom"/>
            <w:hideMark/>
          </w:tcPr>
          <w:p w14:paraId="11E1556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40.5</w:t>
            </w:r>
          </w:p>
        </w:tc>
        <w:tc>
          <w:tcPr>
            <w:tcW w:w="785" w:type="dxa"/>
            <w:tcBorders>
              <w:top w:val="nil"/>
              <w:left w:val="nil"/>
              <w:bottom w:val="nil"/>
              <w:right w:val="nil"/>
            </w:tcBorders>
            <w:shd w:val="clear" w:color="auto" w:fill="auto"/>
            <w:noWrap/>
            <w:vAlign w:val="bottom"/>
            <w:hideMark/>
          </w:tcPr>
          <w:p w14:paraId="0C96E04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32.8</w:t>
            </w:r>
          </w:p>
        </w:tc>
        <w:tc>
          <w:tcPr>
            <w:tcW w:w="732" w:type="dxa"/>
            <w:tcBorders>
              <w:top w:val="nil"/>
              <w:left w:val="nil"/>
              <w:bottom w:val="nil"/>
              <w:right w:val="nil"/>
            </w:tcBorders>
            <w:shd w:val="clear" w:color="auto" w:fill="auto"/>
            <w:noWrap/>
            <w:vAlign w:val="bottom"/>
            <w:hideMark/>
          </w:tcPr>
          <w:p w14:paraId="13261D8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32.7</w:t>
            </w:r>
          </w:p>
        </w:tc>
        <w:tc>
          <w:tcPr>
            <w:tcW w:w="860" w:type="dxa"/>
            <w:tcBorders>
              <w:top w:val="nil"/>
              <w:left w:val="nil"/>
              <w:bottom w:val="nil"/>
              <w:right w:val="nil"/>
            </w:tcBorders>
            <w:shd w:val="clear" w:color="auto" w:fill="auto"/>
            <w:noWrap/>
            <w:vAlign w:val="bottom"/>
            <w:hideMark/>
          </w:tcPr>
          <w:p w14:paraId="38472D1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15.4</w:t>
            </w:r>
          </w:p>
        </w:tc>
        <w:tc>
          <w:tcPr>
            <w:tcW w:w="960" w:type="dxa"/>
            <w:tcBorders>
              <w:top w:val="nil"/>
              <w:left w:val="nil"/>
              <w:bottom w:val="nil"/>
              <w:right w:val="nil"/>
            </w:tcBorders>
            <w:shd w:val="clear" w:color="auto" w:fill="auto"/>
            <w:noWrap/>
            <w:vAlign w:val="bottom"/>
            <w:hideMark/>
          </w:tcPr>
          <w:p w14:paraId="1D9A9B6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130.4</w:t>
            </w:r>
          </w:p>
        </w:tc>
        <w:tc>
          <w:tcPr>
            <w:tcW w:w="689" w:type="dxa"/>
            <w:tcBorders>
              <w:top w:val="nil"/>
              <w:left w:val="nil"/>
              <w:bottom w:val="nil"/>
              <w:right w:val="nil"/>
            </w:tcBorders>
            <w:shd w:val="clear" w:color="auto" w:fill="auto"/>
            <w:noWrap/>
            <w:vAlign w:val="bottom"/>
            <w:hideMark/>
          </w:tcPr>
          <w:p w14:paraId="4F48D7D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399.0</w:t>
            </w:r>
          </w:p>
        </w:tc>
        <w:tc>
          <w:tcPr>
            <w:tcW w:w="1000" w:type="dxa"/>
            <w:tcBorders>
              <w:top w:val="nil"/>
              <w:left w:val="nil"/>
              <w:bottom w:val="nil"/>
              <w:right w:val="nil"/>
            </w:tcBorders>
            <w:shd w:val="clear" w:color="auto" w:fill="auto"/>
            <w:noWrap/>
            <w:vAlign w:val="bottom"/>
            <w:hideMark/>
          </w:tcPr>
          <w:p w14:paraId="388E5FD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145.6</w:t>
            </w:r>
          </w:p>
        </w:tc>
      </w:tr>
      <w:tr w:rsidR="00F26016" w:rsidRPr="00F26016" w14:paraId="181094ED" w14:textId="77777777" w:rsidTr="00F26016">
        <w:trPr>
          <w:trHeight w:val="300"/>
        </w:trPr>
        <w:tc>
          <w:tcPr>
            <w:tcW w:w="1140" w:type="dxa"/>
            <w:tcBorders>
              <w:top w:val="nil"/>
              <w:left w:val="nil"/>
              <w:bottom w:val="nil"/>
              <w:right w:val="nil"/>
            </w:tcBorders>
            <w:shd w:val="clear" w:color="auto" w:fill="auto"/>
            <w:noWrap/>
            <w:hideMark/>
          </w:tcPr>
          <w:p w14:paraId="2007C10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200" w:type="dxa"/>
            <w:tcBorders>
              <w:top w:val="nil"/>
              <w:left w:val="nil"/>
              <w:bottom w:val="nil"/>
              <w:right w:val="nil"/>
            </w:tcBorders>
            <w:shd w:val="clear" w:color="auto" w:fill="auto"/>
            <w:noWrap/>
            <w:hideMark/>
          </w:tcPr>
          <w:p w14:paraId="64856ADB"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6D6145A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47BAC9D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63DD84A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4438100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35CBD04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6703328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00B637F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63.3</w:t>
            </w:r>
          </w:p>
        </w:tc>
        <w:tc>
          <w:tcPr>
            <w:tcW w:w="920" w:type="dxa"/>
            <w:tcBorders>
              <w:top w:val="nil"/>
              <w:left w:val="nil"/>
              <w:bottom w:val="nil"/>
              <w:right w:val="nil"/>
            </w:tcBorders>
            <w:shd w:val="clear" w:color="auto" w:fill="auto"/>
            <w:noWrap/>
            <w:vAlign w:val="bottom"/>
            <w:hideMark/>
          </w:tcPr>
          <w:p w14:paraId="698EC1A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40.7</w:t>
            </w:r>
          </w:p>
        </w:tc>
        <w:tc>
          <w:tcPr>
            <w:tcW w:w="741" w:type="dxa"/>
            <w:tcBorders>
              <w:top w:val="nil"/>
              <w:left w:val="nil"/>
              <w:bottom w:val="nil"/>
              <w:right w:val="nil"/>
            </w:tcBorders>
            <w:shd w:val="clear" w:color="auto" w:fill="auto"/>
            <w:noWrap/>
            <w:vAlign w:val="bottom"/>
            <w:hideMark/>
          </w:tcPr>
          <w:p w14:paraId="24A8B86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279.6</w:t>
            </w:r>
          </w:p>
        </w:tc>
        <w:tc>
          <w:tcPr>
            <w:tcW w:w="785" w:type="dxa"/>
            <w:tcBorders>
              <w:top w:val="nil"/>
              <w:left w:val="nil"/>
              <w:bottom w:val="nil"/>
              <w:right w:val="nil"/>
            </w:tcBorders>
            <w:shd w:val="clear" w:color="auto" w:fill="auto"/>
            <w:noWrap/>
            <w:vAlign w:val="bottom"/>
            <w:hideMark/>
          </w:tcPr>
          <w:p w14:paraId="77B63ED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46.1</w:t>
            </w:r>
          </w:p>
        </w:tc>
        <w:tc>
          <w:tcPr>
            <w:tcW w:w="732" w:type="dxa"/>
            <w:tcBorders>
              <w:top w:val="nil"/>
              <w:left w:val="nil"/>
              <w:bottom w:val="nil"/>
              <w:right w:val="nil"/>
            </w:tcBorders>
            <w:shd w:val="clear" w:color="auto" w:fill="auto"/>
            <w:noWrap/>
            <w:vAlign w:val="bottom"/>
            <w:hideMark/>
          </w:tcPr>
          <w:p w14:paraId="2594F97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104.2</w:t>
            </w:r>
          </w:p>
        </w:tc>
        <w:tc>
          <w:tcPr>
            <w:tcW w:w="860" w:type="dxa"/>
            <w:tcBorders>
              <w:top w:val="nil"/>
              <w:left w:val="nil"/>
              <w:bottom w:val="nil"/>
              <w:right w:val="nil"/>
            </w:tcBorders>
            <w:shd w:val="clear" w:color="auto" w:fill="auto"/>
            <w:noWrap/>
            <w:vAlign w:val="bottom"/>
            <w:hideMark/>
          </w:tcPr>
          <w:p w14:paraId="5F33621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21.4</w:t>
            </w:r>
          </w:p>
        </w:tc>
        <w:tc>
          <w:tcPr>
            <w:tcW w:w="960" w:type="dxa"/>
            <w:tcBorders>
              <w:top w:val="nil"/>
              <w:left w:val="nil"/>
              <w:bottom w:val="nil"/>
              <w:right w:val="nil"/>
            </w:tcBorders>
            <w:shd w:val="clear" w:color="auto" w:fill="auto"/>
            <w:noWrap/>
            <w:vAlign w:val="bottom"/>
            <w:hideMark/>
          </w:tcPr>
          <w:p w14:paraId="5147AD2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193.3</w:t>
            </w:r>
          </w:p>
        </w:tc>
        <w:tc>
          <w:tcPr>
            <w:tcW w:w="689" w:type="dxa"/>
            <w:tcBorders>
              <w:top w:val="nil"/>
              <w:left w:val="nil"/>
              <w:bottom w:val="nil"/>
              <w:right w:val="nil"/>
            </w:tcBorders>
            <w:shd w:val="clear" w:color="auto" w:fill="auto"/>
            <w:noWrap/>
            <w:vAlign w:val="bottom"/>
            <w:hideMark/>
          </w:tcPr>
          <w:p w14:paraId="45C9A67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745.4</w:t>
            </w:r>
          </w:p>
        </w:tc>
        <w:tc>
          <w:tcPr>
            <w:tcW w:w="1000" w:type="dxa"/>
            <w:tcBorders>
              <w:top w:val="nil"/>
              <w:left w:val="nil"/>
              <w:bottom w:val="nil"/>
              <w:right w:val="nil"/>
            </w:tcBorders>
            <w:shd w:val="clear" w:color="auto" w:fill="auto"/>
            <w:noWrap/>
            <w:vAlign w:val="bottom"/>
            <w:hideMark/>
          </w:tcPr>
          <w:p w14:paraId="640467D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129.0</w:t>
            </w:r>
          </w:p>
        </w:tc>
      </w:tr>
      <w:tr w:rsidR="00F26016" w:rsidRPr="00F26016" w14:paraId="38D994E5" w14:textId="77777777" w:rsidTr="00F26016">
        <w:trPr>
          <w:trHeight w:val="300"/>
        </w:trPr>
        <w:tc>
          <w:tcPr>
            <w:tcW w:w="1140" w:type="dxa"/>
            <w:tcBorders>
              <w:top w:val="nil"/>
              <w:left w:val="nil"/>
              <w:bottom w:val="nil"/>
              <w:right w:val="nil"/>
            </w:tcBorders>
            <w:shd w:val="clear" w:color="auto" w:fill="auto"/>
            <w:noWrap/>
            <w:hideMark/>
          </w:tcPr>
          <w:p w14:paraId="4F2DF83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200" w:type="dxa"/>
            <w:tcBorders>
              <w:top w:val="nil"/>
              <w:left w:val="nil"/>
              <w:bottom w:val="nil"/>
              <w:right w:val="nil"/>
            </w:tcBorders>
            <w:shd w:val="clear" w:color="auto" w:fill="auto"/>
            <w:noWrap/>
            <w:hideMark/>
          </w:tcPr>
          <w:p w14:paraId="3197ADE5"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22F6FD3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785CE45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1EB0FB1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069E0D7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7877026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08A39BB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07993F7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246.8</w:t>
            </w:r>
          </w:p>
        </w:tc>
        <w:tc>
          <w:tcPr>
            <w:tcW w:w="920" w:type="dxa"/>
            <w:tcBorders>
              <w:top w:val="nil"/>
              <w:left w:val="nil"/>
              <w:bottom w:val="nil"/>
              <w:right w:val="nil"/>
            </w:tcBorders>
            <w:shd w:val="clear" w:color="auto" w:fill="auto"/>
            <w:noWrap/>
            <w:vAlign w:val="bottom"/>
            <w:hideMark/>
          </w:tcPr>
          <w:p w14:paraId="1D2410A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23.7</w:t>
            </w:r>
          </w:p>
        </w:tc>
        <w:tc>
          <w:tcPr>
            <w:tcW w:w="741" w:type="dxa"/>
            <w:tcBorders>
              <w:top w:val="nil"/>
              <w:left w:val="nil"/>
              <w:bottom w:val="nil"/>
              <w:right w:val="nil"/>
            </w:tcBorders>
            <w:shd w:val="clear" w:color="auto" w:fill="auto"/>
            <w:noWrap/>
            <w:vAlign w:val="bottom"/>
            <w:hideMark/>
          </w:tcPr>
          <w:p w14:paraId="0BA04D8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32.0</w:t>
            </w:r>
          </w:p>
        </w:tc>
        <w:tc>
          <w:tcPr>
            <w:tcW w:w="785" w:type="dxa"/>
            <w:tcBorders>
              <w:top w:val="nil"/>
              <w:left w:val="nil"/>
              <w:bottom w:val="nil"/>
              <w:right w:val="nil"/>
            </w:tcBorders>
            <w:shd w:val="clear" w:color="auto" w:fill="auto"/>
            <w:noWrap/>
            <w:vAlign w:val="bottom"/>
            <w:hideMark/>
          </w:tcPr>
          <w:p w14:paraId="1FCC2DD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10.8</w:t>
            </w:r>
          </w:p>
        </w:tc>
        <w:tc>
          <w:tcPr>
            <w:tcW w:w="732" w:type="dxa"/>
            <w:tcBorders>
              <w:top w:val="nil"/>
              <w:left w:val="nil"/>
              <w:bottom w:val="nil"/>
              <w:right w:val="nil"/>
            </w:tcBorders>
            <w:shd w:val="clear" w:color="auto" w:fill="auto"/>
            <w:noWrap/>
            <w:vAlign w:val="bottom"/>
            <w:hideMark/>
          </w:tcPr>
          <w:p w14:paraId="770717C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1107.6</w:t>
            </w:r>
          </w:p>
        </w:tc>
        <w:tc>
          <w:tcPr>
            <w:tcW w:w="860" w:type="dxa"/>
            <w:tcBorders>
              <w:top w:val="nil"/>
              <w:left w:val="nil"/>
              <w:bottom w:val="nil"/>
              <w:right w:val="nil"/>
            </w:tcBorders>
            <w:shd w:val="clear" w:color="auto" w:fill="auto"/>
            <w:noWrap/>
            <w:vAlign w:val="bottom"/>
            <w:hideMark/>
          </w:tcPr>
          <w:p w14:paraId="6627E72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33.6</w:t>
            </w:r>
          </w:p>
        </w:tc>
        <w:tc>
          <w:tcPr>
            <w:tcW w:w="960" w:type="dxa"/>
            <w:tcBorders>
              <w:top w:val="nil"/>
              <w:left w:val="nil"/>
              <w:bottom w:val="nil"/>
              <w:right w:val="nil"/>
            </w:tcBorders>
            <w:shd w:val="clear" w:color="auto" w:fill="auto"/>
            <w:noWrap/>
            <w:vAlign w:val="bottom"/>
            <w:hideMark/>
          </w:tcPr>
          <w:p w14:paraId="23DB0C3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87.6</w:t>
            </w:r>
          </w:p>
        </w:tc>
        <w:tc>
          <w:tcPr>
            <w:tcW w:w="689" w:type="dxa"/>
            <w:tcBorders>
              <w:top w:val="nil"/>
              <w:left w:val="nil"/>
              <w:bottom w:val="nil"/>
              <w:right w:val="nil"/>
            </w:tcBorders>
            <w:shd w:val="clear" w:color="auto" w:fill="auto"/>
            <w:noWrap/>
            <w:vAlign w:val="bottom"/>
            <w:hideMark/>
          </w:tcPr>
          <w:p w14:paraId="2571A14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58.3</w:t>
            </w:r>
          </w:p>
        </w:tc>
        <w:tc>
          <w:tcPr>
            <w:tcW w:w="1000" w:type="dxa"/>
            <w:tcBorders>
              <w:top w:val="nil"/>
              <w:left w:val="nil"/>
              <w:bottom w:val="nil"/>
              <w:right w:val="nil"/>
            </w:tcBorders>
            <w:shd w:val="clear" w:color="auto" w:fill="auto"/>
            <w:noWrap/>
            <w:vAlign w:val="bottom"/>
            <w:hideMark/>
          </w:tcPr>
          <w:p w14:paraId="134428B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202.8</w:t>
            </w:r>
          </w:p>
        </w:tc>
      </w:tr>
      <w:tr w:rsidR="00F26016" w:rsidRPr="00F26016" w14:paraId="3C777BE5" w14:textId="77777777" w:rsidTr="00F26016">
        <w:trPr>
          <w:trHeight w:val="300"/>
        </w:trPr>
        <w:tc>
          <w:tcPr>
            <w:tcW w:w="1140" w:type="dxa"/>
            <w:tcBorders>
              <w:top w:val="nil"/>
              <w:left w:val="nil"/>
              <w:bottom w:val="nil"/>
              <w:right w:val="nil"/>
            </w:tcBorders>
            <w:shd w:val="clear" w:color="auto" w:fill="auto"/>
            <w:noWrap/>
            <w:hideMark/>
          </w:tcPr>
          <w:p w14:paraId="0E31EE6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200" w:type="dxa"/>
            <w:tcBorders>
              <w:top w:val="nil"/>
              <w:left w:val="nil"/>
              <w:bottom w:val="nil"/>
              <w:right w:val="nil"/>
            </w:tcBorders>
            <w:shd w:val="clear" w:color="auto" w:fill="auto"/>
            <w:noWrap/>
            <w:hideMark/>
          </w:tcPr>
          <w:p w14:paraId="2C94D89D"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6546D30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691AA52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3E3DF14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695E082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576BDEC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604ED9A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4C01AA1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11.5</w:t>
            </w:r>
          </w:p>
        </w:tc>
        <w:tc>
          <w:tcPr>
            <w:tcW w:w="920" w:type="dxa"/>
            <w:tcBorders>
              <w:top w:val="nil"/>
              <w:left w:val="nil"/>
              <w:bottom w:val="nil"/>
              <w:right w:val="nil"/>
            </w:tcBorders>
            <w:shd w:val="clear" w:color="auto" w:fill="auto"/>
            <w:noWrap/>
            <w:vAlign w:val="bottom"/>
            <w:hideMark/>
          </w:tcPr>
          <w:p w14:paraId="76E667C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19.1</w:t>
            </w:r>
          </w:p>
        </w:tc>
        <w:tc>
          <w:tcPr>
            <w:tcW w:w="741" w:type="dxa"/>
            <w:tcBorders>
              <w:top w:val="nil"/>
              <w:left w:val="nil"/>
              <w:bottom w:val="nil"/>
              <w:right w:val="nil"/>
            </w:tcBorders>
            <w:shd w:val="clear" w:color="auto" w:fill="auto"/>
            <w:noWrap/>
            <w:vAlign w:val="bottom"/>
            <w:hideMark/>
          </w:tcPr>
          <w:p w14:paraId="0028251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37.0</w:t>
            </w:r>
          </w:p>
        </w:tc>
        <w:tc>
          <w:tcPr>
            <w:tcW w:w="785" w:type="dxa"/>
            <w:tcBorders>
              <w:top w:val="nil"/>
              <w:left w:val="nil"/>
              <w:bottom w:val="nil"/>
              <w:right w:val="nil"/>
            </w:tcBorders>
            <w:shd w:val="clear" w:color="auto" w:fill="auto"/>
            <w:noWrap/>
            <w:vAlign w:val="bottom"/>
            <w:hideMark/>
          </w:tcPr>
          <w:p w14:paraId="1F22ED0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33.9</w:t>
            </w:r>
          </w:p>
        </w:tc>
        <w:tc>
          <w:tcPr>
            <w:tcW w:w="732" w:type="dxa"/>
            <w:tcBorders>
              <w:top w:val="nil"/>
              <w:left w:val="nil"/>
              <w:bottom w:val="nil"/>
              <w:right w:val="nil"/>
            </w:tcBorders>
            <w:shd w:val="clear" w:color="auto" w:fill="auto"/>
            <w:noWrap/>
            <w:vAlign w:val="bottom"/>
            <w:hideMark/>
          </w:tcPr>
          <w:p w14:paraId="19ECA01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50.5</w:t>
            </w:r>
          </w:p>
        </w:tc>
        <w:tc>
          <w:tcPr>
            <w:tcW w:w="860" w:type="dxa"/>
            <w:tcBorders>
              <w:top w:val="nil"/>
              <w:left w:val="nil"/>
              <w:bottom w:val="nil"/>
              <w:right w:val="nil"/>
            </w:tcBorders>
            <w:shd w:val="clear" w:color="auto" w:fill="auto"/>
            <w:noWrap/>
            <w:vAlign w:val="bottom"/>
            <w:hideMark/>
          </w:tcPr>
          <w:p w14:paraId="25C6FD4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11.3</w:t>
            </w:r>
          </w:p>
        </w:tc>
        <w:tc>
          <w:tcPr>
            <w:tcW w:w="960" w:type="dxa"/>
            <w:tcBorders>
              <w:top w:val="nil"/>
              <w:left w:val="nil"/>
              <w:bottom w:val="nil"/>
              <w:right w:val="nil"/>
            </w:tcBorders>
            <w:shd w:val="clear" w:color="auto" w:fill="auto"/>
            <w:noWrap/>
            <w:vAlign w:val="bottom"/>
            <w:hideMark/>
          </w:tcPr>
          <w:p w14:paraId="5DEE917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83.7</w:t>
            </w:r>
          </w:p>
        </w:tc>
        <w:tc>
          <w:tcPr>
            <w:tcW w:w="689" w:type="dxa"/>
            <w:tcBorders>
              <w:top w:val="nil"/>
              <w:left w:val="nil"/>
              <w:bottom w:val="nil"/>
              <w:right w:val="nil"/>
            </w:tcBorders>
            <w:shd w:val="clear" w:color="auto" w:fill="auto"/>
            <w:noWrap/>
            <w:vAlign w:val="bottom"/>
            <w:hideMark/>
          </w:tcPr>
          <w:p w14:paraId="244F367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358.0</w:t>
            </w:r>
          </w:p>
        </w:tc>
        <w:tc>
          <w:tcPr>
            <w:tcW w:w="1000" w:type="dxa"/>
            <w:tcBorders>
              <w:top w:val="nil"/>
              <w:left w:val="nil"/>
              <w:bottom w:val="nil"/>
              <w:right w:val="nil"/>
            </w:tcBorders>
            <w:shd w:val="clear" w:color="auto" w:fill="auto"/>
            <w:noWrap/>
            <w:vAlign w:val="bottom"/>
            <w:hideMark/>
          </w:tcPr>
          <w:p w14:paraId="0DE8F12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148.2</w:t>
            </w:r>
          </w:p>
        </w:tc>
      </w:tr>
      <w:tr w:rsidR="00F26016" w:rsidRPr="00F26016" w14:paraId="554928AA" w14:textId="77777777" w:rsidTr="00F26016">
        <w:trPr>
          <w:trHeight w:val="300"/>
        </w:trPr>
        <w:tc>
          <w:tcPr>
            <w:tcW w:w="1140" w:type="dxa"/>
            <w:tcBorders>
              <w:top w:val="nil"/>
              <w:left w:val="nil"/>
              <w:bottom w:val="nil"/>
              <w:right w:val="nil"/>
            </w:tcBorders>
            <w:shd w:val="clear" w:color="auto" w:fill="auto"/>
            <w:noWrap/>
            <w:hideMark/>
          </w:tcPr>
          <w:p w14:paraId="4ED8D22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200" w:type="dxa"/>
            <w:tcBorders>
              <w:top w:val="nil"/>
              <w:left w:val="nil"/>
              <w:bottom w:val="nil"/>
              <w:right w:val="nil"/>
            </w:tcBorders>
            <w:shd w:val="clear" w:color="auto" w:fill="auto"/>
            <w:noWrap/>
            <w:hideMark/>
          </w:tcPr>
          <w:p w14:paraId="6F036428"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702636A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050AD87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0C1F319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23BD1D1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29126CB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42E0EB5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49B13A0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50.2</w:t>
            </w:r>
          </w:p>
        </w:tc>
        <w:tc>
          <w:tcPr>
            <w:tcW w:w="920" w:type="dxa"/>
            <w:tcBorders>
              <w:top w:val="nil"/>
              <w:left w:val="nil"/>
              <w:bottom w:val="nil"/>
              <w:right w:val="nil"/>
            </w:tcBorders>
            <w:shd w:val="clear" w:color="auto" w:fill="auto"/>
            <w:noWrap/>
            <w:vAlign w:val="bottom"/>
            <w:hideMark/>
          </w:tcPr>
          <w:p w14:paraId="2F0CEF9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62.4</w:t>
            </w:r>
          </w:p>
        </w:tc>
        <w:tc>
          <w:tcPr>
            <w:tcW w:w="741" w:type="dxa"/>
            <w:tcBorders>
              <w:top w:val="nil"/>
              <w:left w:val="nil"/>
              <w:bottom w:val="nil"/>
              <w:right w:val="nil"/>
            </w:tcBorders>
            <w:shd w:val="clear" w:color="auto" w:fill="auto"/>
            <w:noWrap/>
            <w:vAlign w:val="bottom"/>
            <w:hideMark/>
          </w:tcPr>
          <w:p w14:paraId="1E4F8EA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233.2</w:t>
            </w:r>
          </w:p>
        </w:tc>
        <w:tc>
          <w:tcPr>
            <w:tcW w:w="785" w:type="dxa"/>
            <w:tcBorders>
              <w:top w:val="nil"/>
              <w:left w:val="nil"/>
              <w:bottom w:val="nil"/>
              <w:right w:val="nil"/>
            </w:tcBorders>
            <w:shd w:val="clear" w:color="auto" w:fill="auto"/>
            <w:noWrap/>
            <w:vAlign w:val="bottom"/>
            <w:hideMark/>
          </w:tcPr>
          <w:p w14:paraId="6D1F811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60.1</w:t>
            </w:r>
          </w:p>
        </w:tc>
        <w:tc>
          <w:tcPr>
            <w:tcW w:w="732" w:type="dxa"/>
            <w:tcBorders>
              <w:top w:val="nil"/>
              <w:left w:val="nil"/>
              <w:bottom w:val="nil"/>
              <w:right w:val="nil"/>
            </w:tcBorders>
            <w:shd w:val="clear" w:color="auto" w:fill="auto"/>
            <w:noWrap/>
            <w:vAlign w:val="bottom"/>
            <w:hideMark/>
          </w:tcPr>
          <w:p w14:paraId="6CA9327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55.0</w:t>
            </w:r>
          </w:p>
        </w:tc>
        <w:tc>
          <w:tcPr>
            <w:tcW w:w="860" w:type="dxa"/>
            <w:tcBorders>
              <w:top w:val="nil"/>
              <w:left w:val="nil"/>
              <w:bottom w:val="nil"/>
              <w:right w:val="nil"/>
            </w:tcBorders>
            <w:shd w:val="clear" w:color="auto" w:fill="auto"/>
            <w:noWrap/>
            <w:vAlign w:val="bottom"/>
            <w:hideMark/>
          </w:tcPr>
          <w:p w14:paraId="3200EB1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60.9</w:t>
            </w:r>
          </w:p>
        </w:tc>
        <w:tc>
          <w:tcPr>
            <w:tcW w:w="960" w:type="dxa"/>
            <w:tcBorders>
              <w:top w:val="nil"/>
              <w:left w:val="nil"/>
              <w:bottom w:val="nil"/>
              <w:right w:val="nil"/>
            </w:tcBorders>
            <w:shd w:val="clear" w:color="auto" w:fill="auto"/>
            <w:noWrap/>
            <w:vAlign w:val="bottom"/>
            <w:hideMark/>
          </w:tcPr>
          <w:p w14:paraId="6847F40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286.4</w:t>
            </w:r>
          </w:p>
        </w:tc>
        <w:tc>
          <w:tcPr>
            <w:tcW w:w="689" w:type="dxa"/>
            <w:tcBorders>
              <w:top w:val="nil"/>
              <w:left w:val="nil"/>
              <w:bottom w:val="nil"/>
              <w:right w:val="nil"/>
            </w:tcBorders>
            <w:shd w:val="clear" w:color="auto" w:fill="auto"/>
            <w:noWrap/>
            <w:vAlign w:val="bottom"/>
            <w:hideMark/>
          </w:tcPr>
          <w:p w14:paraId="2B69712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474.4</w:t>
            </w:r>
          </w:p>
        </w:tc>
        <w:tc>
          <w:tcPr>
            <w:tcW w:w="1000" w:type="dxa"/>
            <w:tcBorders>
              <w:top w:val="nil"/>
              <w:left w:val="nil"/>
              <w:bottom w:val="nil"/>
              <w:right w:val="nil"/>
            </w:tcBorders>
            <w:shd w:val="clear" w:color="auto" w:fill="auto"/>
            <w:noWrap/>
            <w:vAlign w:val="bottom"/>
            <w:hideMark/>
          </w:tcPr>
          <w:p w14:paraId="0725EED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131.9</w:t>
            </w:r>
          </w:p>
        </w:tc>
      </w:tr>
      <w:tr w:rsidR="00F26016" w:rsidRPr="00F26016" w14:paraId="76C9D899" w14:textId="77777777" w:rsidTr="00F26016">
        <w:trPr>
          <w:trHeight w:val="300"/>
        </w:trPr>
        <w:tc>
          <w:tcPr>
            <w:tcW w:w="1140" w:type="dxa"/>
            <w:tcBorders>
              <w:top w:val="nil"/>
              <w:left w:val="nil"/>
              <w:bottom w:val="nil"/>
              <w:right w:val="nil"/>
            </w:tcBorders>
            <w:shd w:val="clear" w:color="auto" w:fill="auto"/>
            <w:noWrap/>
            <w:hideMark/>
          </w:tcPr>
          <w:p w14:paraId="72A9EB2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w:t>
            </w:r>
          </w:p>
        </w:tc>
        <w:tc>
          <w:tcPr>
            <w:tcW w:w="1200" w:type="dxa"/>
            <w:tcBorders>
              <w:top w:val="nil"/>
              <w:left w:val="nil"/>
              <w:bottom w:val="nil"/>
              <w:right w:val="nil"/>
            </w:tcBorders>
            <w:shd w:val="clear" w:color="auto" w:fill="auto"/>
            <w:noWrap/>
            <w:hideMark/>
          </w:tcPr>
          <w:p w14:paraId="7BB0335A"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31AEF66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202FF79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6B39D60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24D4047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74BCE95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0E50250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33A8DAB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180.9</w:t>
            </w:r>
          </w:p>
        </w:tc>
        <w:tc>
          <w:tcPr>
            <w:tcW w:w="920" w:type="dxa"/>
            <w:tcBorders>
              <w:top w:val="nil"/>
              <w:left w:val="nil"/>
              <w:bottom w:val="nil"/>
              <w:right w:val="nil"/>
            </w:tcBorders>
            <w:shd w:val="clear" w:color="auto" w:fill="auto"/>
            <w:noWrap/>
            <w:vAlign w:val="bottom"/>
            <w:hideMark/>
          </w:tcPr>
          <w:p w14:paraId="6FDAF37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19.4</w:t>
            </w:r>
          </w:p>
        </w:tc>
        <w:tc>
          <w:tcPr>
            <w:tcW w:w="741" w:type="dxa"/>
            <w:tcBorders>
              <w:top w:val="nil"/>
              <w:left w:val="nil"/>
              <w:bottom w:val="nil"/>
              <w:right w:val="nil"/>
            </w:tcBorders>
            <w:shd w:val="clear" w:color="auto" w:fill="auto"/>
            <w:noWrap/>
            <w:vAlign w:val="bottom"/>
            <w:hideMark/>
          </w:tcPr>
          <w:p w14:paraId="3DBB38C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19.2</w:t>
            </w:r>
          </w:p>
        </w:tc>
        <w:tc>
          <w:tcPr>
            <w:tcW w:w="785" w:type="dxa"/>
            <w:tcBorders>
              <w:top w:val="nil"/>
              <w:left w:val="nil"/>
              <w:bottom w:val="nil"/>
              <w:right w:val="nil"/>
            </w:tcBorders>
            <w:shd w:val="clear" w:color="auto" w:fill="auto"/>
            <w:noWrap/>
            <w:vAlign w:val="bottom"/>
            <w:hideMark/>
          </w:tcPr>
          <w:p w14:paraId="527D2F2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11.2</w:t>
            </w:r>
          </w:p>
        </w:tc>
        <w:tc>
          <w:tcPr>
            <w:tcW w:w="732" w:type="dxa"/>
            <w:tcBorders>
              <w:top w:val="nil"/>
              <w:left w:val="nil"/>
              <w:bottom w:val="nil"/>
              <w:right w:val="nil"/>
            </w:tcBorders>
            <w:shd w:val="clear" w:color="auto" w:fill="auto"/>
            <w:noWrap/>
            <w:vAlign w:val="bottom"/>
            <w:hideMark/>
          </w:tcPr>
          <w:p w14:paraId="27880D9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973.1</w:t>
            </w:r>
          </w:p>
        </w:tc>
        <w:tc>
          <w:tcPr>
            <w:tcW w:w="860" w:type="dxa"/>
            <w:tcBorders>
              <w:top w:val="nil"/>
              <w:left w:val="nil"/>
              <w:bottom w:val="nil"/>
              <w:right w:val="nil"/>
            </w:tcBorders>
            <w:shd w:val="clear" w:color="auto" w:fill="auto"/>
            <w:noWrap/>
            <w:vAlign w:val="bottom"/>
            <w:hideMark/>
          </w:tcPr>
          <w:p w14:paraId="297D584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43.4</w:t>
            </w:r>
          </w:p>
        </w:tc>
        <w:tc>
          <w:tcPr>
            <w:tcW w:w="960" w:type="dxa"/>
            <w:tcBorders>
              <w:top w:val="nil"/>
              <w:left w:val="nil"/>
              <w:bottom w:val="nil"/>
              <w:right w:val="nil"/>
            </w:tcBorders>
            <w:shd w:val="clear" w:color="auto" w:fill="auto"/>
            <w:noWrap/>
            <w:vAlign w:val="bottom"/>
            <w:hideMark/>
          </w:tcPr>
          <w:p w14:paraId="48B1800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87.4</w:t>
            </w:r>
          </w:p>
        </w:tc>
        <w:tc>
          <w:tcPr>
            <w:tcW w:w="689" w:type="dxa"/>
            <w:tcBorders>
              <w:top w:val="nil"/>
              <w:left w:val="nil"/>
              <w:bottom w:val="nil"/>
              <w:right w:val="nil"/>
            </w:tcBorders>
            <w:shd w:val="clear" w:color="auto" w:fill="auto"/>
            <w:noWrap/>
            <w:vAlign w:val="bottom"/>
            <w:hideMark/>
          </w:tcPr>
          <w:p w14:paraId="5C886DC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213.8</w:t>
            </w:r>
          </w:p>
        </w:tc>
        <w:tc>
          <w:tcPr>
            <w:tcW w:w="1000" w:type="dxa"/>
            <w:tcBorders>
              <w:top w:val="nil"/>
              <w:left w:val="nil"/>
              <w:bottom w:val="nil"/>
              <w:right w:val="nil"/>
            </w:tcBorders>
            <w:shd w:val="clear" w:color="auto" w:fill="auto"/>
            <w:noWrap/>
            <w:vAlign w:val="bottom"/>
            <w:hideMark/>
          </w:tcPr>
          <w:p w14:paraId="78E7FC6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201.9</w:t>
            </w:r>
          </w:p>
        </w:tc>
      </w:tr>
      <w:tr w:rsidR="00F26016" w:rsidRPr="00F26016" w14:paraId="447366A0" w14:textId="77777777" w:rsidTr="00F26016">
        <w:trPr>
          <w:trHeight w:val="300"/>
        </w:trPr>
        <w:tc>
          <w:tcPr>
            <w:tcW w:w="1140" w:type="dxa"/>
            <w:tcBorders>
              <w:top w:val="nil"/>
              <w:left w:val="nil"/>
              <w:bottom w:val="nil"/>
              <w:right w:val="nil"/>
            </w:tcBorders>
            <w:shd w:val="clear" w:color="auto" w:fill="auto"/>
            <w:noWrap/>
            <w:hideMark/>
          </w:tcPr>
          <w:p w14:paraId="38874AD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w:t>
            </w:r>
          </w:p>
        </w:tc>
        <w:tc>
          <w:tcPr>
            <w:tcW w:w="1200" w:type="dxa"/>
            <w:tcBorders>
              <w:top w:val="nil"/>
              <w:left w:val="nil"/>
              <w:bottom w:val="nil"/>
              <w:right w:val="nil"/>
            </w:tcBorders>
            <w:shd w:val="clear" w:color="auto" w:fill="auto"/>
            <w:noWrap/>
            <w:hideMark/>
          </w:tcPr>
          <w:p w14:paraId="394DD053"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793DD3E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53F7E16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678FBA3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0FE86D0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62AABE1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4B4A71E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0201BCE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920" w:type="dxa"/>
            <w:tcBorders>
              <w:top w:val="nil"/>
              <w:left w:val="nil"/>
              <w:bottom w:val="nil"/>
              <w:right w:val="nil"/>
            </w:tcBorders>
            <w:shd w:val="clear" w:color="auto" w:fill="auto"/>
            <w:noWrap/>
            <w:vAlign w:val="bottom"/>
            <w:hideMark/>
          </w:tcPr>
          <w:p w14:paraId="17B8FD6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18.4</w:t>
            </w:r>
          </w:p>
        </w:tc>
        <w:tc>
          <w:tcPr>
            <w:tcW w:w="741" w:type="dxa"/>
            <w:tcBorders>
              <w:top w:val="nil"/>
              <w:left w:val="nil"/>
              <w:bottom w:val="nil"/>
              <w:right w:val="nil"/>
            </w:tcBorders>
            <w:shd w:val="clear" w:color="auto" w:fill="auto"/>
            <w:noWrap/>
            <w:vAlign w:val="bottom"/>
            <w:hideMark/>
          </w:tcPr>
          <w:p w14:paraId="2EDD37B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14.4</w:t>
            </w:r>
          </w:p>
        </w:tc>
        <w:tc>
          <w:tcPr>
            <w:tcW w:w="785" w:type="dxa"/>
            <w:tcBorders>
              <w:top w:val="nil"/>
              <w:left w:val="nil"/>
              <w:bottom w:val="nil"/>
              <w:right w:val="nil"/>
            </w:tcBorders>
            <w:shd w:val="clear" w:color="auto" w:fill="auto"/>
            <w:noWrap/>
            <w:vAlign w:val="bottom"/>
            <w:hideMark/>
          </w:tcPr>
          <w:p w14:paraId="77AEA71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23.1</w:t>
            </w:r>
          </w:p>
        </w:tc>
        <w:tc>
          <w:tcPr>
            <w:tcW w:w="732" w:type="dxa"/>
            <w:tcBorders>
              <w:top w:val="nil"/>
              <w:left w:val="nil"/>
              <w:bottom w:val="nil"/>
              <w:right w:val="nil"/>
            </w:tcBorders>
            <w:shd w:val="clear" w:color="auto" w:fill="auto"/>
            <w:noWrap/>
            <w:vAlign w:val="bottom"/>
            <w:hideMark/>
          </w:tcPr>
          <w:p w14:paraId="024E029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39.7</w:t>
            </w:r>
          </w:p>
        </w:tc>
        <w:tc>
          <w:tcPr>
            <w:tcW w:w="860" w:type="dxa"/>
            <w:tcBorders>
              <w:top w:val="nil"/>
              <w:left w:val="nil"/>
              <w:bottom w:val="nil"/>
              <w:right w:val="nil"/>
            </w:tcBorders>
            <w:shd w:val="clear" w:color="auto" w:fill="auto"/>
            <w:noWrap/>
            <w:vAlign w:val="bottom"/>
            <w:hideMark/>
          </w:tcPr>
          <w:p w14:paraId="05C71D4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27.2</w:t>
            </w:r>
          </w:p>
        </w:tc>
        <w:tc>
          <w:tcPr>
            <w:tcW w:w="960" w:type="dxa"/>
            <w:tcBorders>
              <w:top w:val="nil"/>
              <w:left w:val="nil"/>
              <w:bottom w:val="nil"/>
              <w:right w:val="nil"/>
            </w:tcBorders>
            <w:shd w:val="clear" w:color="auto" w:fill="auto"/>
            <w:noWrap/>
            <w:vAlign w:val="bottom"/>
            <w:hideMark/>
          </w:tcPr>
          <w:p w14:paraId="42BAD0E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65.7</w:t>
            </w:r>
          </w:p>
        </w:tc>
        <w:tc>
          <w:tcPr>
            <w:tcW w:w="689" w:type="dxa"/>
            <w:tcBorders>
              <w:top w:val="nil"/>
              <w:left w:val="nil"/>
              <w:bottom w:val="nil"/>
              <w:right w:val="nil"/>
            </w:tcBorders>
            <w:shd w:val="clear" w:color="auto" w:fill="auto"/>
            <w:noWrap/>
            <w:vAlign w:val="bottom"/>
            <w:hideMark/>
          </w:tcPr>
          <w:p w14:paraId="13ED5A3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996.4</w:t>
            </w:r>
          </w:p>
        </w:tc>
        <w:tc>
          <w:tcPr>
            <w:tcW w:w="1000" w:type="dxa"/>
            <w:tcBorders>
              <w:top w:val="nil"/>
              <w:left w:val="nil"/>
              <w:bottom w:val="nil"/>
              <w:right w:val="nil"/>
            </w:tcBorders>
            <w:shd w:val="clear" w:color="auto" w:fill="auto"/>
            <w:noWrap/>
            <w:vAlign w:val="bottom"/>
            <w:hideMark/>
          </w:tcPr>
          <w:p w14:paraId="13ABE4C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152.0</w:t>
            </w:r>
          </w:p>
        </w:tc>
      </w:tr>
      <w:tr w:rsidR="00F26016" w:rsidRPr="00F26016" w14:paraId="78CBA2AC" w14:textId="77777777" w:rsidTr="00F26016">
        <w:trPr>
          <w:trHeight w:val="300"/>
        </w:trPr>
        <w:tc>
          <w:tcPr>
            <w:tcW w:w="1140" w:type="dxa"/>
            <w:tcBorders>
              <w:top w:val="nil"/>
              <w:left w:val="nil"/>
              <w:bottom w:val="nil"/>
              <w:right w:val="nil"/>
            </w:tcBorders>
            <w:shd w:val="clear" w:color="auto" w:fill="auto"/>
            <w:noWrap/>
            <w:hideMark/>
          </w:tcPr>
          <w:p w14:paraId="1A34EFE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w:t>
            </w:r>
          </w:p>
        </w:tc>
        <w:tc>
          <w:tcPr>
            <w:tcW w:w="1200" w:type="dxa"/>
            <w:tcBorders>
              <w:top w:val="nil"/>
              <w:left w:val="nil"/>
              <w:bottom w:val="nil"/>
              <w:right w:val="nil"/>
            </w:tcBorders>
            <w:shd w:val="clear" w:color="auto" w:fill="auto"/>
            <w:noWrap/>
            <w:hideMark/>
          </w:tcPr>
          <w:p w14:paraId="7BE43A58"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7D9F427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61C5E33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7FAA84E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4BBA710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4A8F205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6FD87AA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5EE72D3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77.9</w:t>
            </w:r>
          </w:p>
        </w:tc>
        <w:tc>
          <w:tcPr>
            <w:tcW w:w="920" w:type="dxa"/>
            <w:tcBorders>
              <w:top w:val="nil"/>
              <w:left w:val="nil"/>
              <w:bottom w:val="nil"/>
              <w:right w:val="nil"/>
            </w:tcBorders>
            <w:shd w:val="clear" w:color="auto" w:fill="auto"/>
            <w:noWrap/>
            <w:vAlign w:val="bottom"/>
            <w:hideMark/>
          </w:tcPr>
          <w:p w14:paraId="65BE863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90.6</w:t>
            </w:r>
          </w:p>
        </w:tc>
        <w:tc>
          <w:tcPr>
            <w:tcW w:w="741" w:type="dxa"/>
            <w:tcBorders>
              <w:top w:val="nil"/>
              <w:left w:val="nil"/>
              <w:bottom w:val="nil"/>
              <w:right w:val="nil"/>
            </w:tcBorders>
            <w:shd w:val="clear" w:color="auto" w:fill="auto"/>
            <w:noWrap/>
            <w:vAlign w:val="bottom"/>
            <w:hideMark/>
          </w:tcPr>
          <w:p w14:paraId="593114F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224.7</w:t>
            </w:r>
          </w:p>
        </w:tc>
        <w:tc>
          <w:tcPr>
            <w:tcW w:w="785" w:type="dxa"/>
            <w:tcBorders>
              <w:top w:val="nil"/>
              <w:left w:val="nil"/>
              <w:bottom w:val="nil"/>
              <w:right w:val="nil"/>
            </w:tcBorders>
            <w:shd w:val="clear" w:color="auto" w:fill="auto"/>
            <w:noWrap/>
            <w:vAlign w:val="bottom"/>
            <w:hideMark/>
          </w:tcPr>
          <w:p w14:paraId="4AFE787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94.7</w:t>
            </w:r>
          </w:p>
        </w:tc>
        <w:tc>
          <w:tcPr>
            <w:tcW w:w="732" w:type="dxa"/>
            <w:tcBorders>
              <w:top w:val="nil"/>
              <w:left w:val="nil"/>
              <w:bottom w:val="nil"/>
              <w:right w:val="nil"/>
            </w:tcBorders>
            <w:shd w:val="clear" w:color="auto" w:fill="auto"/>
            <w:noWrap/>
            <w:vAlign w:val="bottom"/>
            <w:hideMark/>
          </w:tcPr>
          <w:p w14:paraId="1F6119B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44.2</w:t>
            </w:r>
          </w:p>
        </w:tc>
        <w:tc>
          <w:tcPr>
            <w:tcW w:w="860" w:type="dxa"/>
            <w:tcBorders>
              <w:top w:val="nil"/>
              <w:left w:val="nil"/>
              <w:bottom w:val="nil"/>
              <w:right w:val="nil"/>
            </w:tcBorders>
            <w:shd w:val="clear" w:color="auto" w:fill="auto"/>
            <w:noWrap/>
            <w:vAlign w:val="bottom"/>
            <w:hideMark/>
          </w:tcPr>
          <w:p w14:paraId="6B2383A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117.9</w:t>
            </w:r>
          </w:p>
        </w:tc>
        <w:tc>
          <w:tcPr>
            <w:tcW w:w="960" w:type="dxa"/>
            <w:tcBorders>
              <w:top w:val="nil"/>
              <w:left w:val="nil"/>
              <w:bottom w:val="nil"/>
              <w:right w:val="nil"/>
            </w:tcBorders>
            <w:shd w:val="clear" w:color="auto" w:fill="auto"/>
            <w:noWrap/>
            <w:vAlign w:val="bottom"/>
            <w:hideMark/>
          </w:tcPr>
          <w:p w14:paraId="4C7F5EA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263.6</w:t>
            </w:r>
          </w:p>
        </w:tc>
        <w:tc>
          <w:tcPr>
            <w:tcW w:w="689" w:type="dxa"/>
            <w:tcBorders>
              <w:top w:val="nil"/>
              <w:left w:val="nil"/>
              <w:bottom w:val="nil"/>
              <w:right w:val="nil"/>
            </w:tcBorders>
            <w:shd w:val="clear" w:color="auto" w:fill="auto"/>
            <w:noWrap/>
            <w:vAlign w:val="bottom"/>
            <w:hideMark/>
          </w:tcPr>
          <w:p w14:paraId="4D5F58E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672.0</w:t>
            </w:r>
          </w:p>
        </w:tc>
        <w:tc>
          <w:tcPr>
            <w:tcW w:w="1000" w:type="dxa"/>
            <w:tcBorders>
              <w:top w:val="nil"/>
              <w:left w:val="nil"/>
              <w:bottom w:val="nil"/>
              <w:right w:val="nil"/>
            </w:tcBorders>
            <w:shd w:val="clear" w:color="auto" w:fill="auto"/>
            <w:noWrap/>
            <w:vAlign w:val="bottom"/>
            <w:hideMark/>
          </w:tcPr>
          <w:p w14:paraId="5DE36CA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128.8</w:t>
            </w:r>
          </w:p>
        </w:tc>
      </w:tr>
      <w:tr w:rsidR="00F26016" w:rsidRPr="00F26016" w14:paraId="6629DDA5" w14:textId="77777777" w:rsidTr="00F26016">
        <w:trPr>
          <w:trHeight w:val="300"/>
        </w:trPr>
        <w:tc>
          <w:tcPr>
            <w:tcW w:w="1140" w:type="dxa"/>
            <w:tcBorders>
              <w:top w:val="nil"/>
              <w:left w:val="nil"/>
              <w:bottom w:val="nil"/>
              <w:right w:val="nil"/>
            </w:tcBorders>
            <w:shd w:val="clear" w:color="auto" w:fill="auto"/>
            <w:noWrap/>
            <w:hideMark/>
          </w:tcPr>
          <w:p w14:paraId="372C8B2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w:t>
            </w:r>
          </w:p>
        </w:tc>
        <w:tc>
          <w:tcPr>
            <w:tcW w:w="1200" w:type="dxa"/>
            <w:tcBorders>
              <w:top w:val="nil"/>
              <w:left w:val="nil"/>
              <w:bottom w:val="nil"/>
              <w:right w:val="nil"/>
            </w:tcBorders>
            <w:shd w:val="clear" w:color="auto" w:fill="auto"/>
            <w:noWrap/>
            <w:hideMark/>
          </w:tcPr>
          <w:p w14:paraId="42E456BA"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4CDFF07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4617F4D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2018DB7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74A8F5C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10EA4D1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079CCF1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25C072E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142.7</w:t>
            </w:r>
          </w:p>
        </w:tc>
        <w:tc>
          <w:tcPr>
            <w:tcW w:w="920" w:type="dxa"/>
            <w:tcBorders>
              <w:top w:val="nil"/>
              <w:left w:val="nil"/>
              <w:bottom w:val="nil"/>
              <w:right w:val="nil"/>
            </w:tcBorders>
            <w:shd w:val="clear" w:color="auto" w:fill="auto"/>
            <w:noWrap/>
            <w:vAlign w:val="bottom"/>
            <w:hideMark/>
          </w:tcPr>
          <w:p w14:paraId="6303E1F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19.2</w:t>
            </w:r>
          </w:p>
        </w:tc>
        <w:tc>
          <w:tcPr>
            <w:tcW w:w="741" w:type="dxa"/>
            <w:tcBorders>
              <w:top w:val="nil"/>
              <w:left w:val="nil"/>
              <w:bottom w:val="nil"/>
              <w:right w:val="nil"/>
            </w:tcBorders>
            <w:shd w:val="clear" w:color="auto" w:fill="auto"/>
            <w:noWrap/>
            <w:vAlign w:val="bottom"/>
            <w:hideMark/>
          </w:tcPr>
          <w:p w14:paraId="27001AA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33.5</w:t>
            </w:r>
          </w:p>
        </w:tc>
        <w:tc>
          <w:tcPr>
            <w:tcW w:w="785" w:type="dxa"/>
            <w:tcBorders>
              <w:top w:val="nil"/>
              <w:left w:val="nil"/>
              <w:bottom w:val="nil"/>
              <w:right w:val="nil"/>
            </w:tcBorders>
            <w:shd w:val="clear" w:color="auto" w:fill="auto"/>
            <w:noWrap/>
            <w:vAlign w:val="bottom"/>
            <w:hideMark/>
          </w:tcPr>
          <w:p w14:paraId="4A0BE17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12.7</w:t>
            </w:r>
          </w:p>
        </w:tc>
        <w:tc>
          <w:tcPr>
            <w:tcW w:w="732" w:type="dxa"/>
            <w:tcBorders>
              <w:top w:val="nil"/>
              <w:left w:val="nil"/>
              <w:bottom w:val="nil"/>
              <w:right w:val="nil"/>
            </w:tcBorders>
            <w:shd w:val="clear" w:color="auto" w:fill="auto"/>
            <w:noWrap/>
            <w:vAlign w:val="bottom"/>
            <w:hideMark/>
          </w:tcPr>
          <w:p w14:paraId="44D5A02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232.1</w:t>
            </w:r>
          </w:p>
        </w:tc>
        <w:tc>
          <w:tcPr>
            <w:tcW w:w="860" w:type="dxa"/>
            <w:tcBorders>
              <w:top w:val="nil"/>
              <w:left w:val="nil"/>
              <w:bottom w:val="nil"/>
              <w:right w:val="nil"/>
            </w:tcBorders>
            <w:shd w:val="clear" w:color="auto" w:fill="auto"/>
            <w:noWrap/>
            <w:vAlign w:val="bottom"/>
            <w:hideMark/>
          </w:tcPr>
          <w:p w14:paraId="526D865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20.2</w:t>
            </w:r>
          </w:p>
        </w:tc>
        <w:tc>
          <w:tcPr>
            <w:tcW w:w="960" w:type="dxa"/>
            <w:tcBorders>
              <w:top w:val="nil"/>
              <w:left w:val="nil"/>
              <w:bottom w:val="nil"/>
              <w:right w:val="nil"/>
            </w:tcBorders>
            <w:shd w:val="clear" w:color="auto" w:fill="auto"/>
            <w:noWrap/>
            <w:vAlign w:val="bottom"/>
            <w:hideMark/>
          </w:tcPr>
          <w:p w14:paraId="4EC72B0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103.8</w:t>
            </w:r>
          </w:p>
        </w:tc>
        <w:tc>
          <w:tcPr>
            <w:tcW w:w="689" w:type="dxa"/>
            <w:tcBorders>
              <w:top w:val="nil"/>
              <w:left w:val="nil"/>
              <w:bottom w:val="nil"/>
              <w:right w:val="nil"/>
            </w:tcBorders>
            <w:shd w:val="clear" w:color="auto" w:fill="auto"/>
            <w:noWrap/>
            <w:vAlign w:val="bottom"/>
            <w:hideMark/>
          </w:tcPr>
          <w:p w14:paraId="49CA24E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627.1</w:t>
            </w:r>
          </w:p>
        </w:tc>
        <w:tc>
          <w:tcPr>
            <w:tcW w:w="1000" w:type="dxa"/>
            <w:tcBorders>
              <w:top w:val="nil"/>
              <w:left w:val="nil"/>
              <w:bottom w:val="nil"/>
              <w:right w:val="nil"/>
            </w:tcBorders>
            <w:shd w:val="clear" w:color="auto" w:fill="auto"/>
            <w:noWrap/>
            <w:vAlign w:val="bottom"/>
            <w:hideMark/>
          </w:tcPr>
          <w:p w14:paraId="6AF578D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168.4</w:t>
            </w:r>
          </w:p>
        </w:tc>
      </w:tr>
      <w:tr w:rsidR="00F26016" w:rsidRPr="00F26016" w14:paraId="5CD34D93" w14:textId="77777777" w:rsidTr="00F26016">
        <w:trPr>
          <w:trHeight w:val="300"/>
        </w:trPr>
        <w:tc>
          <w:tcPr>
            <w:tcW w:w="1140" w:type="dxa"/>
            <w:tcBorders>
              <w:top w:val="nil"/>
              <w:left w:val="nil"/>
              <w:bottom w:val="nil"/>
              <w:right w:val="nil"/>
            </w:tcBorders>
            <w:shd w:val="clear" w:color="auto" w:fill="auto"/>
            <w:noWrap/>
            <w:hideMark/>
          </w:tcPr>
          <w:p w14:paraId="6F28E16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w:t>
            </w:r>
          </w:p>
        </w:tc>
        <w:tc>
          <w:tcPr>
            <w:tcW w:w="1200" w:type="dxa"/>
            <w:tcBorders>
              <w:top w:val="nil"/>
              <w:left w:val="nil"/>
              <w:bottom w:val="nil"/>
              <w:right w:val="nil"/>
            </w:tcBorders>
            <w:shd w:val="clear" w:color="auto" w:fill="auto"/>
            <w:noWrap/>
            <w:hideMark/>
          </w:tcPr>
          <w:p w14:paraId="0E5CEE50"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1E2F332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13C9381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29792ED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29076E5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1D21A15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2E37E30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310E05A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12.9</w:t>
            </w:r>
          </w:p>
        </w:tc>
        <w:tc>
          <w:tcPr>
            <w:tcW w:w="920" w:type="dxa"/>
            <w:tcBorders>
              <w:top w:val="nil"/>
              <w:left w:val="nil"/>
              <w:bottom w:val="nil"/>
              <w:right w:val="nil"/>
            </w:tcBorders>
            <w:shd w:val="clear" w:color="auto" w:fill="auto"/>
            <w:noWrap/>
            <w:vAlign w:val="bottom"/>
            <w:hideMark/>
          </w:tcPr>
          <w:p w14:paraId="01FC67D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32.0</w:t>
            </w:r>
          </w:p>
        </w:tc>
        <w:tc>
          <w:tcPr>
            <w:tcW w:w="741" w:type="dxa"/>
            <w:tcBorders>
              <w:top w:val="nil"/>
              <w:left w:val="nil"/>
              <w:bottom w:val="nil"/>
              <w:right w:val="nil"/>
            </w:tcBorders>
            <w:shd w:val="clear" w:color="auto" w:fill="auto"/>
            <w:noWrap/>
            <w:vAlign w:val="bottom"/>
            <w:hideMark/>
          </w:tcPr>
          <w:p w14:paraId="4B273F4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14.8</w:t>
            </w:r>
          </w:p>
        </w:tc>
        <w:tc>
          <w:tcPr>
            <w:tcW w:w="785" w:type="dxa"/>
            <w:tcBorders>
              <w:top w:val="nil"/>
              <w:left w:val="nil"/>
              <w:bottom w:val="nil"/>
              <w:right w:val="nil"/>
            </w:tcBorders>
            <w:shd w:val="clear" w:color="auto" w:fill="auto"/>
            <w:noWrap/>
            <w:vAlign w:val="bottom"/>
            <w:hideMark/>
          </w:tcPr>
          <w:p w14:paraId="3BB245E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21.2</w:t>
            </w:r>
          </w:p>
        </w:tc>
        <w:tc>
          <w:tcPr>
            <w:tcW w:w="732" w:type="dxa"/>
            <w:tcBorders>
              <w:top w:val="nil"/>
              <w:left w:val="nil"/>
              <w:bottom w:val="nil"/>
              <w:right w:val="nil"/>
            </w:tcBorders>
            <w:shd w:val="clear" w:color="auto" w:fill="auto"/>
            <w:noWrap/>
            <w:vAlign w:val="bottom"/>
            <w:hideMark/>
          </w:tcPr>
          <w:p w14:paraId="4131977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70.1</w:t>
            </w:r>
          </w:p>
        </w:tc>
        <w:tc>
          <w:tcPr>
            <w:tcW w:w="860" w:type="dxa"/>
            <w:tcBorders>
              <w:top w:val="nil"/>
              <w:left w:val="nil"/>
              <w:bottom w:val="nil"/>
              <w:right w:val="nil"/>
            </w:tcBorders>
            <w:shd w:val="clear" w:color="auto" w:fill="auto"/>
            <w:noWrap/>
            <w:vAlign w:val="bottom"/>
            <w:hideMark/>
          </w:tcPr>
          <w:p w14:paraId="268CD8E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34.9</w:t>
            </w:r>
          </w:p>
        </w:tc>
        <w:tc>
          <w:tcPr>
            <w:tcW w:w="960" w:type="dxa"/>
            <w:tcBorders>
              <w:top w:val="nil"/>
              <w:left w:val="nil"/>
              <w:bottom w:val="nil"/>
              <w:right w:val="nil"/>
            </w:tcBorders>
            <w:shd w:val="clear" w:color="auto" w:fill="auto"/>
            <w:noWrap/>
            <w:vAlign w:val="bottom"/>
            <w:hideMark/>
          </w:tcPr>
          <w:p w14:paraId="04699E2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85.1</w:t>
            </w:r>
          </w:p>
        </w:tc>
        <w:tc>
          <w:tcPr>
            <w:tcW w:w="689" w:type="dxa"/>
            <w:tcBorders>
              <w:top w:val="nil"/>
              <w:left w:val="nil"/>
              <w:bottom w:val="nil"/>
              <w:right w:val="nil"/>
            </w:tcBorders>
            <w:shd w:val="clear" w:color="auto" w:fill="auto"/>
            <w:noWrap/>
            <w:vAlign w:val="bottom"/>
            <w:hideMark/>
          </w:tcPr>
          <w:p w14:paraId="62E563F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234.5</w:t>
            </w:r>
          </w:p>
        </w:tc>
        <w:tc>
          <w:tcPr>
            <w:tcW w:w="1000" w:type="dxa"/>
            <w:tcBorders>
              <w:top w:val="nil"/>
              <w:left w:val="nil"/>
              <w:bottom w:val="nil"/>
              <w:right w:val="nil"/>
            </w:tcBorders>
            <w:shd w:val="clear" w:color="auto" w:fill="auto"/>
            <w:noWrap/>
            <w:vAlign w:val="bottom"/>
            <w:hideMark/>
          </w:tcPr>
          <w:p w14:paraId="1539934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136.7</w:t>
            </w:r>
          </w:p>
        </w:tc>
      </w:tr>
      <w:tr w:rsidR="00F26016" w:rsidRPr="00F26016" w14:paraId="22B614B5" w14:textId="77777777" w:rsidTr="00F26016">
        <w:trPr>
          <w:trHeight w:val="300"/>
        </w:trPr>
        <w:tc>
          <w:tcPr>
            <w:tcW w:w="1140" w:type="dxa"/>
            <w:tcBorders>
              <w:top w:val="nil"/>
              <w:left w:val="nil"/>
              <w:bottom w:val="nil"/>
              <w:right w:val="nil"/>
            </w:tcBorders>
            <w:shd w:val="clear" w:color="auto" w:fill="auto"/>
            <w:noWrap/>
            <w:hideMark/>
          </w:tcPr>
          <w:p w14:paraId="3153F13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w:t>
            </w:r>
          </w:p>
        </w:tc>
        <w:tc>
          <w:tcPr>
            <w:tcW w:w="1200" w:type="dxa"/>
            <w:tcBorders>
              <w:top w:val="nil"/>
              <w:left w:val="nil"/>
              <w:bottom w:val="nil"/>
              <w:right w:val="nil"/>
            </w:tcBorders>
            <w:shd w:val="clear" w:color="auto" w:fill="auto"/>
            <w:noWrap/>
            <w:hideMark/>
          </w:tcPr>
          <w:p w14:paraId="7C5AC67D"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417DA9F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0CEF1D1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4C3AB39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0308C4A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026E27B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56F695E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4CE1005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80.0</w:t>
            </w:r>
          </w:p>
        </w:tc>
        <w:tc>
          <w:tcPr>
            <w:tcW w:w="920" w:type="dxa"/>
            <w:tcBorders>
              <w:top w:val="nil"/>
              <w:left w:val="nil"/>
              <w:bottom w:val="nil"/>
              <w:right w:val="nil"/>
            </w:tcBorders>
            <w:shd w:val="clear" w:color="auto" w:fill="auto"/>
            <w:noWrap/>
            <w:vAlign w:val="bottom"/>
            <w:hideMark/>
          </w:tcPr>
          <w:p w14:paraId="6ED7353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80.5</w:t>
            </w:r>
          </w:p>
        </w:tc>
        <w:tc>
          <w:tcPr>
            <w:tcW w:w="741" w:type="dxa"/>
            <w:tcBorders>
              <w:top w:val="nil"/>
              <w:left w:val="nil"/>
              <w:bottom w:val="nil"/>
              <w:right w:val="nil"/>
            </w:tcBorders>
            <w:shd w:val="clear" w:color="auto" w:fill="auto"/>
            <w:noWrap/>
            <w:vAlign w:val="bottom"/>
            <w:hideMark/>
          </w:tcPr>
          <w:p w14:paraId="512070F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327.3</w:t>
            </w:r>
          </w:p>
        </w:tc>
        <w:tc>
          <w:tcPr>
            <w:tcW w:w="785" w:type="dxa"/>
            <w:tcBorders>
              <w:top w:val="nil"/>
              <w:left w:val="nil"/>
              <w:bottom w:val="nil"/>
              <w:right w:val="nil"/>
            </w:tcBorders>
            <w:shd w:val="clear" w:color="auto" w:fill="auto"/>
            <w:noWrap/>
            <w:vAlign w:val="bottom"/>
            <w:hideMark/>
          </w:tcPr>
          <w:p w14:paraId="649B922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75.9</w:t>
            </w:r>
          </w:p>
        </w:tc>
        <w:tc>
          <w:tcPr>
            <w:tcW w:w="732" w:type="dxa"/>
            <w:tcBorders>
              <w:top w:val="nil"/>
              <w:left w:val="nil"/>
              <w:bottom w:val="nil"/>
              <w:right w:val="nil"/>
            </w:tcBorders>
            <w:shd w:val="clear" w:color="auto" w:fill="auto"/>
            <w:noWrap/>
            <w:vAlign w:val="bottom"/>
            <w:hideMark/>
          </w:tcPr>
          <w:p w14:paraId="3F4369E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23.6</w:t>
            </w:r>
          </w:p>
        </w:tc>
        <w:tc>
          <w:tcPr>
            <w:tcW w:w="860" w:type="dxa"/>
            <w:tcBorders>
              <w:top w:val="nil"/>
              <w:left w:val="nil"/>
              <w:bottom w:val="nil"/>
              <w:right w:val="nil"/>
            </w:tcBorders>
            <w:shd w:val="clear" w:color="auto" w:fill="auto"/>
            <w:noWrap/>
            <w:vAlign w:val="bottom"/>
            <w:hideMark/>
          </w:tcPr>
          <w:p w14:paraId="18431E3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96.2</w:t>
            </w:r>
          </w:p>
        </w:tc>
        <w:tc>
          <w:tcPr>
            <w:tcW w:w="960" w:type="dxa"/>
            <w:tcBorders>
              <w:top w:val="nil"/>
              <w:left w:val="nil"/>
              <w:bottom w:val="nil"/>
              <w:right w:val="nil"/>
            </w:tcBorders>
            <w:shd w:val="clear" w:color="auto" w:fill="auto"/>
            <w:noWrap/>
            <w:vAlign w:val="bottom"/>
            <w:hideMark/>
          </w:tcPr>
          <w:p w14:paraId="61EBB0A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314.2</w:t>
            </w:r>
          </w:p>
        </w:tc>
        <w:tc>
          <w:tcPr>
            <w:tcW w:w="689" w:type="dxa"/>
            <w:tcBorders>
              <w:top w:val="nil"/>
              <w:left w:val="nil"/>
              <w:bottom w:val="nil"/>
              <w:right w:val="nil"/>
            </w:tcBorders>
            <w:shd w:val="clear" w:color="auto" w:fill="auto"/>
            <w:noWrap/>
            <w:vAlign w:val="bottom"/>
            <w:hideMark/>
          </w:tcPr>
          <w:p w14:paraId="29E59E4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380.4</w:t>
            </w:r>
          </w:p>
        </w:tc>
        <w:tc>
          <w:tcPr>
            <w:tcW w:w="1000" w:type="dxa"/>
            <w:tcBorders>
              <w:top w:val="nil"/>
              <w:left w:val="nil"/>
              <w:bottom w:val="nil"/>
              <w:right w:val="nil"/>
            </w:tcBorders>
            <w:shd w:val="clear" w:color="auto" w:fill="auto"/>
            <w:noWrap/>
            <w:vAlign w:val="bottom"/>
            <w:hideMark/>
          </w:tcPr>
          <w:p w14:paraId="68F539C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118.7</w:t>
            </w:r>
          </w:p>
        </w:tc>
      </w:tr>
      <w:tr w:rsidR="00F26016" w:rsidRPr="00F26016" w14:paraId="1FB06BEA" w14:textId="77777777" w:rsidTr="00F26016">
        <w:trPr>
          <w:trHeight w:val="300"/>
        </w:trPr>
        <w:tc>
          <w:tcPr>
            <w:tcW w:w="1140" w:type="dxa"/>
            <w:tcBorders>
              <w:top w:val="nil"/>
              <w:left w:val="nil"/>
              <w:bottom w:val="nil"/>
              <w:right w:val="nil"/>
            </w:tcBorders>
            <w:shd w:val="clear" w:color="auto" w:fill="auto"/>
            <w:noWrap/>
            <w:hideMark/>
          </w:tcPr>
          <w:p w14:paraId="3E452AF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w:t>
            </w:r>
          </w:p>
        </w:tc>
        <w:tc>
          <w:tcPr>
            <w:tcW w:w="1200" w:type="dxa"/>
            <w:tcBorders>
              <w:top w:val="nil"/>
              <w:left w:val="nil"/>
              <w:bottom w:val="nil"/>
              <w:right w:val="nil"/>
            </w:tcBorders>
            <w:shd w:val="clear" w:color="auto" w:fill="auto"/>
            <w:noWrap/>
            <w:hideMark/>
          </w:tcPr>
          <w:p w14:paraId="7E8D0217"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0296227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54B42D1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1F3244E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668A9E0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6EDD1DE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33D1ED7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178F6BC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43.3</w:t>
            </w:r>
          </w:p>
        </w:tc>
        <w:tc>
          <w:tcPr>
            <w:tcW w:w="920" w:type="dxa"/>
            <w:tcBorders>
              <w:top w:val="nil"/>
              <w:left w:val="nil"/>
              <w:bottom w:val="nil"/>
              <w:right w:val="nil"/>
            </w:tcBorders>
            <w:shd w:val="clear" w:color="auto" w:fill="auto"/>
            <w:noWrap/>
            <w:vAlign w:val="bottom"/>
            <w:hideMark/>
          </w:tcPr>
          <w:p w14:paraId="7425CB8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8.0</w:t>
            </w:r>
          </w:p>
        </w:tc>
        <w:tc>
          <w:tcPr>
            <w:tcW w:w="741" w:type="dxa"/>
            <w:tcBorders>
              <w:top w:val="nil"/>
              <w:left w:val="nil"/>
              <w:bottom w:val="nil"/>
              <w:right w:val="nil"/>
            </w:tcBorders>
            <w:shd w:val="clear" w:color="auto" w:fill="auto"/>
            <w:noWrap/>
            <w:vAlign w:val="bottom"/>
            <w:hideMark/>
          </w:tcPr>
          <w:p w14:paraId="68FE53B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13.6</w:t>
            </w:r>
          </w:p>
        </w:tc>
        <w:tc>
          <w:tcPr>
            <w:tcW w:w="785" w:type="dxa"/>
            <w:tcBorders>
              <w:top w:val="nil"/>
              <w:left w:val="nil"/>
              <w:bottom w:val="nil"/>
              <w:right w:val="nil"/>
            </w:tcBorders>
            <w:shd w:val="clear" w:color="auto" w:fill="auto"/>
            <w:noWrap/>
            <w:vAlign w:val="bottom"/>
            <w:hideMark/>
          </w:tcPr>
          <w:p w14:paraId="7FDE3A3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8.8</w:t>
            </w:r>
          </w:p>
        </w:tc>
        <w:tc>
          <w:tcPr>
            <w:tcW w:w="732" w:type="dxa"/>
            <w:tcBorders>
              <w:top w:val="nil"/>
              <w:left w:val="nil"/>
              <w:bottom w:val="nil"/>
              <w:right w:val="nil"/>
            </w:tcBorders>
            <w:shd w:val="clear" w:color="auto" w:fill="auto"/>
            <w:noWrap/>
            <w:vAlign w:val="bottom"/>
            <w:hideMark/>
          </w:tcPr>
          <w:p w14:paraId="0B6C4CA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215.8</w:t>
            </w:r>
          </w:p>
        </w:tc>
        <w:tc>
          <w:tcPr>
            <w:tcW w:w="860" w:type="dxa"/>
            <w:tcBorders>
              <w:top w:val="nil"/>
              <w:left w:val="nil"/>
              <w:bottom w:val="nil"/>
              <w:right w:val="nil"/>
            </w:tcBorders>
            <w:shd w:val="clear" w:color="auto" w:fill="auto"/>
            <w:noWrap/>
            <w:vAlign w:val="bottom"/>
            <w:hideMark/>
          </w:tcPr>
          <w:p w14:paraId="54C5D2D3" w14:textId="77777777" w:rsidR="00F26016" w:rsidRPr="00F26016" w:rsidRDefault="00F26016" w:rsidP="00F26016">
            <w:pPr>
              <w:rPr>
                <w:rFonts w:ascii="Calibri" w:eastAsia="Times New Roman" w:hAnsi="Calibri" w:cs="Times New Roman"/>
                <w:color w:val="000000"/>
                <w:sz w:val="16"/>
                <w:szCs w:val="16"/>
              </w:rPr>
            </w:pPr>
          </w:p>
        </w:tc>
        <w:tc>
          <w:tcPr>
            <w:tcW w:w="960" w:type="dxa"/>
            <w:tcBorders>
              <w:top w:val="nil"/>
              <w:left w:val="nil"/>
              <w:bottom w:val="nil"/>
              <w:right w:val="nil"/>
            </w:tcBorders>
            <w:shd w:val="clear" w:color="auto" w:fill="auto"/>
            <w:noWrap/>
            <w:vAlign w:val="bottom"/>
            <w:hideMark/>
          </w:tcPr>
          <w:p w14:paraId="4435C3E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76.5</w:t>
            </w:r>
          </w:p>
        </w:tc>
        <w:tc>
          <w:tcPr>
            <w:tcW w:w="689" w:type="dxa"/>
            <w:tcBorders>
              <w:top w:val="nil"/>
              <w:left w:val="nil"/>
              <w:bottom w:val="nil"/>
              <w:right w:val="nil"/>
            </w:tcBorders>
            <w:shd w:val="clear" w:color="auto" w:fill="auto"/>
            <w:noWrap/>
            <w:vAlign w:val="bottom"/>
            <w:hideMark/>
          </w:tcPr>
          <w:p w14:paraId="5DA9CAF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1123.0</w:t>
            </w:r>
          </w:p>
        </w:tc>
        <w:tc>
          <w:tcPr>
            <w:tcW w:w="1000" w:type="dxa"/>
            <w:tcBorders>
              <w:top w:val="nil"/>
              <w:left w:val="nil"/>
              <w:bottom w:val="nil"/>
              <w:right w:val="nil"/>
            </w:tcBorders>
            <w:shd w:val="clear" w:color="auto" w:fill="auto"/>
            <w:noWrap/>
            <w:vAlign w:val="bottom"/>
            <w:hideMark/>
          </w:tcPr>
          <w:p w14:paraId="55DD23B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186.4</w:t>
            </w:r>
          </w:p>
        </w:tc>
      </w:tr>
      <w:tr w:rsidR="00F26016" w:rsidRPr="00F26016" w14:paraId="667FDB82" w14:textId="77777777" w:rsidTr="00F26016">
        <w:trPr>
          <w:trHeight w:val="300"/>
        </w:trPr>
        <w:tc>
          <w:tcPr>
            <w:tcW w:w="1140" w:type="dxa"/>
            <w:tcBorders>
              <w:top w:val="nil"/>
              <w:left w:val="nil"/>
              <w:bottom w:val="nil"/>
              <w:right w:val="nil"/>
            </w:tcBorders>
            <w:shd w:val="clear" w:color="auto" w:fill="auto"/>
            <w:noWrap/>
            <w:hideMark/>
          </w:tcPr>
          <w:p w14:paraId="4E28C59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w:t>
            </w:r>
          </w:p>
        </w:tc>
        <w:tc>
          <w:tcPr>
            <w:tcW w:w="1200" w:type="dxa"/>
            <w:tcBorders>
              <w:top w:val="nil"/>
              <w:left w:val="nil"/>
              <w:bottom w:val="nil"/>
              <w:right w:val="nil"/>
            </w:tcBorders>
            <w:shd w:val="clear" w:color="auto" w:fill="auto"/>
            <w:noWrap/>
            <w:hideMark/>
          </w:tcPr>
          <w:p w14:paraId="0D3082E1"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1919A97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0887D94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5EA773D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5913493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53ED45A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5095329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06C2A36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7.2</w:t>
            </w:r>
          </w:p>
        </w:tc>
        <w:tc>
          <w:tcPr>
            <w:tcW w:w="920" w:type="dxa"/>
            <w:tcBorders>
              <w:top w:val="nil"/>
              <w:left w:val="nil"/>
              <w:bottom w:val="nil"/>
              <w:right w:val="nil"/>
            </w:tcBorders>
            <w:shd w:val="clear" w:color="auto" w:fill="auto"/>
            <w:noWrap/>
            <w:vAlign w:val="bottom"/>
            <w:hideMark/>
          </w:tcPr>
          <w:p w14:paraId="7404348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19.6</w:t>
            </w:r>
          </w:p>
        </w:tc>
        <w:tc>
          <w:tcPr>
            <w:tcW w:w="741" w:type="dxa"/>
            <w:tcBorders>
              <w:top w:val="nil"/>
              <w:left w:val="nil"/>
              <w:bottom w:val="nil"/>
              <w:right w:val="nil"/>
            </w:tcBorders>
            <w:shd w:val="clear" w:color="auto" w:fill="auto"/>
            <w:noWrap/>
            <w:vAlign w:val="bottom"/>
            <w:hideMark/>
          </w:tcPr>
          <w:p w14:paraId="60603E7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40.7</w:t>
            </w:r>
          </w:p>
        </w:tc>
        <w:tc>
          <w:tcPr>
            <w:tcW w:w="785" w:type="dxa"/>
            <w:tcBorders>
              <w:top w:val="nil"/>
              <w:left w:val="nil"/>
              <w:bottom w:val="nil"/>
              <w:right w:val="nil"/>
            </w:tcBorders>
            <w:shd w:val="clear" w:color="auto" w:fill="auto"/>
            <w:noWrap/>
            <w:vAlign w:val="bottom"/>
            <w:hideMark/>
          </w:tcPr>
          <w:p w14:paraId="674A2FA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28.9</w:t>
            </w:r>
          </w:p>
        </w:tc>
        <w:tc>
          <w:tcPr>
            <w:tcW w:w="732" w:type="dxa"/>
            <w:tcBorders>
              <w:top w:val="nil"/>
              <w:left w:val="nil"/>
              <w:bottom w:val="nil"/>
              <w:right w:val="nil"/>
            </w:tcBorders>
            <w:shd w:val="clear" w:color="auto" w:fill="auto"/>
            <w:noWrap/>
            <w:vAlign w:val="bottom"/>
            <w:hideMark/>
          </w:tcPr>
          <w:p w14:paraId="241214B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54.6</w:t>
            </w:r>
          </w:p>
        </w:tc>
        <w:tc>
          <w:tcPr>
            <w:tcW w:w="860" w:type="dxa"/>
            <w:tcBorders>
              <w:top w:val="nil"/>
              <w:left w:val="nil"/>
              <w:bottom w:val="nil"/>
              <w:right w:val="nil"/>
            </w:tcBorders>
            <w:shd w:val="clear" w:color="auto" w:fill="auto"/>
            <w:noWrap/>
            <w:vAlign w:val="bottom"/>
            <w:hideMark/>
          </w:tcPr>
          <w:p w14:paraId="64B2B46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15.6</w:t>
            </w:r>
          </w:p>
        </w:tc>
        <w:tc>
          <w:tcPr>
            <w:tcW w:w="960" w:type="dxa"/>
            <w:tcBorders>
              <w:top w:val="nil"/>
              <w:left w:val="nil"/>
              <w:bottom w:val="nil"/>
              <w:right w:val="nil"/>
            </w:tcBorders>
            <w:shd w:val="clear" w:color="auto" w:fill="auto"/>
            <w:noWrap/>
            <w:vAlign w:val="bottom"/>
            <w:hideMark/>
          </w:tcPr>
          <w:p w14:paraId="36BEFB0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93.8</w:t>
            </w:r>
          </w:p>
        </w:tc>
        <w:tc>
          <w:tcPr>
            <w:tcW w:w="689" w:type="dxa"/>
            <w:tcBorders>
              <w:top w:val="nil"/>
              <w:left w:val="nil"/>
              <w:bottom w:val="nil"/>
              <w:right w:val="nil"/>
            </w:tcBorders>
            <w:shd w:val="clear" w:color="auto" w:fill="auto"/>
            <w:noWrap/>
            <w:vAlign w:val="bottom"/>
            <w:hideMark/>
          </w:tcPr>
          <w:p w14:paraId="57B0225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405.6</w:t>
            </w:r>
          </w:p>
        </w:tc>
        <w:tc>
          <w:tcPr>
            <w:tcW w:w="1000" w:type="dxa"/>
            <w:tcBorders>
              <w:top w:val="nil"/>
              <w:left w:val="nil"/>
              <w:bottom w:val="nil"/>
              <w:right w:val="nil"/>
            </w:tcBorders>
            <w:shd w:val="clear" w:color="auto" w:fill="auto"/>
            <w:noWrap/>
            <w:vAlign w:val="bottom"/>
            <w:hideMark/>
          </w:tcPr>
          <w:p w14:paraId="1B2145C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141.8</w:t>
            </w:r>
          </w:p>
        </w:tc>
      </w:tr>
      <w:tr w:rsidR="00F26016" w:rsidRPr="00F26016" w14:paraId="216E385D" w14:textId="77777777" w:rsidTr="00F26016">
        <w:trPr>
          <w:trHeight w:val="300"/>
        </w:trPr>
        <w:tc>
          <w:tcPr>
            <w:tcW w:w="1140" w:type="dxa"/>
            <w:tcBorders>
              <w:top w:val="nil"/>
              <w:left w:val="nil"/>
              <w:bottom w:val="nil"/>
              <w:right w:val="nil"/>
            </w:tcBorders>
            <w:shd w:val="clear" w:color="auto" w:fill="auto"/>
            <w:noWrap/>
            <w:hideMark/>
          </w:tcPr>
          <w:p w14:paraId="5214E4B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w:t>
            </w:r>
          </w:p>
        </w:tc>
        <w:tc>
          <w:tcPr>
            <w:tcW w:w="1200" w:type="dxa"/>
            <w:tcBorders>
              <w:top w:val="nil"/>
              <w:left w:val="nil"/>
              <w:bottom w:val="nil"/>
              <w:right w:val="nil"/>
            </w:tcBorders>
            <w:shd w:val="clear" w:color="auto" w:fill="auto"/>
            <w:noWrap/>
            <w:hideMark/>
          </w:tcPr>
          <w:p w14:paraId="069810B0"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12C4E43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2674C9C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696CE9E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1255EEE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05BADF4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6D15361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61C99F4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33.5</w:t>
            </w:r>
          </w:p>
        </w:tc>
        <w:tc>
          <w:tcPr>
            <w:tcW w:w="920" w:type="dxa"/>
            <w:tcBorders>
              <w:top w:val="nil"/>
              <w:left w:val="nil"/>
              <w:bottom w:val="nil"/>
              <w:right w:val="nil"/>
            </w:tcBorders>
            <w:shd w:val="clear" w:color="auto" w:fill="auto"/>
            <w:noWrap/>
            <w:vAlign w:val="bottom"/>
            <w:hideMark/>
          </w:tcPr>
          <w:p w14:paraId="0EF0F94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42.6</w:t>
            </w:r>
          </w:p>
        </w:tc>
        <w:tc>
          <w:tcPr>
            <w:tcW w:w="741" w:type="dxa"/>
            <w:tcBorders>
              <w:top w:val="nil"/>
              <w:left w:val="nil"/>
              <w:bottom w:val="nil"/>
              <w:right w:val="nil"/>
            </w:tcBorders>
            <w:shd w:val="clear" w:color="auto" w:fill="auto"/>
            <w:noWrap/>
            <w:vAlign w:val="bottom"/>
            <w:hideMark/>
          </w:tcPr>
          <w:p w14:paraId="4D9719D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235.3</w:t>
            </w:r>
          </w:p>
        </w:tc>
        <w:tc>
          <w:tcPr>
            <w:tcW w:w="785" w:type="dxa"/>
            <w:tcBorders>
              <w:top w:val="nil"/>
              <w:left w:val="nil"/>
              <w:bottom w:val="nil"/>
              <w:right w:val="nil"/>
            </w:tcBorders>
            <w:shd w:val="clear" w:color="auto" w:fill="auto"/>
            <w:noWrap/>
            <w:vAlign w:val="bottom"/>
            <w:hideMark/>
          </w:tcPr>
          <w:p w14:paraId="38C818A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64.5</w:t>
            </w:r>
          </w:p>
        </w:tc>
        <w:tc>
          <w:tcPr>
            <w:tcW w:w="732" w:type="dxa"/>
            <w:tcBorders>
              <w:top w:val="nil"/>
              <w:left w:val="nil"/>
              <w:bottom w:val="nil"/>
              <w:right w:val="nil"/>
            </w:tcBorders>
            <w:shd w:val="clear" w:color="auto" w:fill="auto"/>
            <w:noWrap/>
            <w:vAlign w:val="bottom"/>
            <w:hideMark/>
          </w:tcPr>
          <w:p w14:paraId="6F670261" w14:textId="77777777" w:rsidR="00F26016" w:rsidRPr="00F26016" w:rsidRDefault="00F26016" w:rsidP="00F26016">
            <w:pPr>
              <w:rPr>
                <w:rFonts w:ascii="Calibri" w:eastAsia="Times New Roman" w:hAnsi="Calibri" w:cs="Times New Roman"/>
                <w:color w:val="000000"/>
                <w:sz w:val="16"/>
                <w:szCs w:val="16"/>
              </w:rPr>
            </w:pPr>
          </w:p>
        </w:tc>
        <w:tc>
          <w:tcPr>
            <w:tcW w:w="860" w:type="dxa"/>
            <w:tcBorders>
              <w:top w:val="nil"/>
              <w:left w:val="nil"/>
              <w:bottom w:val="nil"/>
              <w:right w:val="nil"/>
            </w:tcBorders>
            <w:shd w:val="clear" w:color="auto" w:fill="auto"/>
            <w:noWrap/>
            <w:vAlign w:val="bottom"/>
            <w:hideMark/>
          </w:tcPr>
          <w:p w14:paraId="5DD32E2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35.7</w:t>
            </w:r>
          </w:p>
        </w:tc>
        <w:tc>
          <w:tcPr>
            <w:tcW w:w="960" w:type="dxa"/>
            <w:tcBorders>
              <w:top w:val="nil"/>
              <w:left w:val="nil"/>
              <w:bottom w:val="nil"/>
              <w:right w:val="nil"/>
            </w:tcBorders>
            <w:shd w:val="clear" w:color="auto" w:fill="auto"/>
            <w:noWrap/>
            <w:vAlign w:val="bottom"/>
            <w:hideMark/>
          </w:tcPr>
          <w:p w14:paraId="099EBC8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255.2</w:t>
            </w:r>
          </w:p>
        </w:tc>
        <w:tc>
          <w:tcPr>
            <w:tcW w:w="689" w:type="dxa"/>
            <w:tcBorders>
              <w:top w:val="nil"/>
              <w:left w:val="nil"/>
              <w:bottom w:val="nil"/>
              <w:right w:val="nil"/>
            </w:tcBorders>
            <w:shd w:val="clear" w:color="auto" w:fill="auto"/>
            <w:noWrap/>
            <w:vAlign w:val="bottom"/>
            <w:hideMark/>
          </w:tcPr>
          <w:p w14:paraId="29B3548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951.5</w:t>
            </w:r>
          </w:p>
        </w:tc>
        <w:tc>
          <w:tcPr>
            <w:tcW w:w="1000" w:type="dxa"/>
            <w:tcBorders>
              <w:top w:val="nil"/>
              <w:left w:val="nil"/>
              <w:bottom w:val="nil"/>
              <w:right w:val="nil"/>
            </w:tcBorders>
            <w:shd w:val="clear" w:color="auto" w:fill="auto"/>
            <w:noWrap/>
            <w:vAlign w:val="bottom"/>
            <w:hideMark/>
          </w:tcPr>
          <w:p w14:paraId="5FBE451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134.3</w:t>
            </w:r>
          </w:p>
        </w:tc>
      </w:tr>
      <w:tr w:rsidR="00F26016" w:rsidRPr="00F26016" w14:paraId="101044A7" w14:textId="77777777" w:rsidTr="00F26016">
        <w:trPr>
          <w:trHeight w:val="300"/>
        </w:trPr>
        <w:tc>
          <w:tcPr>
            <w:tcW w:w="1140" w:type="dxa"/>
            <w:tcBorders>
              <w:top w:val="nil"/>
              <w:left w:val="nil"/>
              <w:bottom w:val="nil"/>
              <w:right w:val="nil"/>
            </w:tcBorders>
            <w:shd w:val="clear" w:color="auto" w:fill="auto"/>
            <w:noWrap/>
            <w:hideMark/>
          </w:tcPr>
          <w:p w14:paraId="1C74FE8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w:t>
            </w:r>
          </w:p>
        </w:tc>
        <w:tc>
          <w:tcPr>
            <w:tcW w:w="1200" w:type="dxa"/>
            <w:tcBorders>
              <w:top w:val="nil"/>
              <w:left w:val="nil"/>
              <w:bottom w:val="nil"/>
              <w:right w:val="nil"/>
            </w:tcBorders>
            <w:shd w:val="clear" w:color="auto" w:fill="auto"/>
            <w:noWrap/>
            <w:hideMark/>
          </w:tcPr>
          <w:p w14:paraId="4F568552"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45457EA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161944D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627269A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5A4B45E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14C6089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0C442F8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2EDFD0A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51.3</w:t>
            </w:r>
          </w:p>
        </w:tc>
        <w:tc>
          <w:tcPr>
            <w:tcW w:w="920" w:type="dxa"/>
            <w:tcBorders>
              <w:top w:val="nil"/>
              <w:left w:val="nil"/>
              <w:bottom w:val="nil"/>
              <w:right w:val="nil"/>
            </w:tcBorders>
            <w:shd w:val="clear" w:color="auto" w:fill="auto"/>
            <w:noWrap/>
            <w:vAlign w:val="bottom"/>
            <w:hideMark/>
          </w:tcPr>
          <w:p w14:paraId="5B54F14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5.8</w:t>
            </w:r>
          </w:p>
        </w:tc>
        <w:tc>
          <w:tcPr>
            <w:tcW w:w="741" w:type="dxa"/>
            <w:tcBorders>
              <w:top w:val="nil"/>
              <w:left w:val="nil"/>
              <w:bottom w:val="nil"/>
              <w:right w:val="nil"/>
            </w:tcBorders>
            <w:shd w:val="clear" w:color="auto" w:fill="auto"/>
            <w:noWrap/>
            <w:vAlign w:val="bottom"/>
            <w:hideMark/>
          </w:tcPr>
          <w:p w14:paraId="64BA3E9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23.7</w:t>
            </w:r>
          </w:p>
        </w:tc>
        <w:tc>
          <w:tcPr>
            <w:tcW w:w="785" w:type="dxa"/>
            <w:tcBorders>
              <w:top w:val="nil"/>
              <w:left w:val="nil"/>
              <w:bottom w:val="nil"/>
              <w:right w:val="nil"/>
            </w:tcBorders>
            <w:shd w:val="clear" w:color="auto" w:fill="auto"/>
            <w:noWrap/>
            <w:vAlign w:val="bottom"/>
            <w:hideMark/>
          </w:tcPr>
          <w:p w14:paraId="57FFE6F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15.6</w:t>
            </w:r>
          </w:p>
        </w:tc>
        <w:tc>
          <w:tcPr>
            <w:tcW w:w="732" w:type="dxa"/>
            <w:tcBorders>
              <w:top w:val="nil"/>
              <w:left w:val="nil"/>
              <w:bottom w:val="nil"/>
              <w:right w:val="nil"/>
            </w:tcBorders>
            <w:shd w:val="clear" w:color="auto" w:fill="auto"/>
            <w:noWrap/>
            <w:vAlign w:val="bottom"/>
            <w:hideMark/>
          </w:tcPr>
          <w:p w14:paraId="0F4D8AB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130.0</w:t>
            </w:r>
          </w:p>
        </w:tc>
        <w:tc>
          <w:tcPr>
            <w:tcW w:w="860" w:type="dxa"/>
            <w:tcBorders>
              <w:top w:val="nil"/>
              <w:left w:val="nil"/>
              <w:bottom w:val="nil"/>
              <w:right w:val="nil"/>
            </w:tcBorders>
            <w:shd w:val="clear" w:color="auto" w:fill="auto"/>
            <w:noWrap/>
            <w:vAlign w:val="bottom"/>
            <w:hideMark/>
          </w:tcPr>
          <w:p w14:paraId="2CCEA22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w:t>
            </w:r>
          </w:p>
        </w:tc>
        <w:tc>
          <w:tcPr>
            <w:tcW w:w="960" w:type="dxa"/>
            <w:tcBorders>
              <w:top w:val="nil"/>
              <w:left w:val="nil"/>
              <w:bottom w:val="nil"/>
              <w:right w:val="nil"/>
            </w:tcBorders>
            <w:shd w:val="clear" w:color="auto" w:fill="auto"/>
            <w:noWrap/>
            <w:vAlign w:val="bottom"/>
            <w:hideMark/>
          </w:tcPr>
          <w:p w14:paraId="0E2ED98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154.4</w:t>
            </w:r>
          </w:p>
        </w:tc>
        <w:tc>
          <w:tcPr>
            <w:tcW w:w="689" w:type="dxa"/>
            <w:tcBorders>
              <w:top w:val="nil"/>
              <w:left w:val="nil"/>
              <w:bottom w:val="nil"/>
              <w:right w:val="nil"/>
            </w:tcBorders>
            <w:shd w:val="clear" w:color="auto" w:fill="auto"/>
            <w:noWrap/>
            <w:vAlign w:val="bottom"/>
            <w:hideMark/>
          </w:tcPr>
          <w:p w14:paraId="365BEE7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720.8</w:t>
            </w:r>
          </w:p>
        </w:tc>
        <w:tc>
          <w:tcPr>
            <w:tcW w:w="1000" w:type="dxa"/>
            <w:tcBorders>
              <w:top w:val="nil"/>
              <w:left w:val="nil"/>
              <w:bottom w:val="nil"/>
              <w:right w:val="nil"/>
            </w:tcBorders>
            <w:shd w:val="clear" w:color="auto" w:fill="auto"/>
            <w:noWrap/>
            <w:vAlign w:val="bottom"/>
            <w:hideMark/>
          </w:tcPr>
          <w:p w14:paraId="7FD7ACE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179.0</w:t>
            </w:r>
          </w:p>
        </w:tc>
      </w:tr>
      <w:tr w:rsidR="00F26016" w:rsidRPr="00F26016" w14:paraId="623061D9" w14:textId="77777777" w:rsidTr="00F26016">
        <w:trPr>
          <w:trHeight w:val="300"/>
        </w:trPr>
        <w:tc>
          <w:tcPr>
            <w:tcW w:w="1140" w:type="dxa"/>
            <w:tcBorders>
              <w:top w:val="nil"/>
              <w:left w:val="nil"/>
              <w:bottom w:val="nil"/>
              <w:right w:val="nil"/>
            </w:tcBorders>
            <w:shd w:val="clear" w:color="auto" w:fill="auto"/>
            <w:noWrap/>
            <w:hideMark/>
          </w:tcPr>
          <w:p w14:paraId="5B26798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w:t>
            </w:r>
          </w:p>
        </w:tc>
        <w:tc>
          <w:tcPr>
            <w:tcW w:w="1200" w:type="dxa"/>
            <w:tcBorders>
              <w:top w:val="nil"/>
              <w:left w:val="nil"/>
              <w:bottom w:val="nil"/>
              <w:right w:val="nil"/>
            </w:tcBorders>
            <w:shd w:val="clear" w:color="auto" w:fill="auto"/>
            <w:noWrap/>
            <w:hideMark/>
          </w:tcPr>
          <w:p w14:paraId="6E113F74"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26BC384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1DC8E93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3FA7DDD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25F73CE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18E9418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4784251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3390F5D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5.6</w:t>
            </w:r>
          </w:p>
        </w:tc>
        <w:tc>
          <w:tcPr>
            <w:tcW w:w="920" w:type="dxa"/>
            <w:tcBorders>
              <w:top w:val="nil"/>
              <w:left w:val="nil"/>
              <w:bottom w:val="nil"/>
              <w:right w:val="nil"/>
            </w:tcBorders>
            <w:shd w:val="clear" w:color="auto" w:fill="auto"/>
            <w:noWrap/>
            <w:vAlign w:val="bottom"/>
            <w:hideMark/>
          </w:tcPr>
          <w:p w14:paraId="5B353D2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42.2</w:t>
            </w:r>
          </w:p>
        </w:tc>
        <w:tc>
          <w:tcPr>
            <w:tcW w:w="741" w:type="dxa"/>
            <w:tcBorders>
              <w:top w:val="nil"/>
              <w:left w:val="nil"/>
              <w:bottom w:val="nil"/>
              <w:right w:val="nil"/>
            </w:tcBorders>
            <w:shd w:val="clear" w:color="auto" w:fill="auto"/>
            <w:noWrap/>
            <w:vAlign w:val="bottom"/>
            <w:hideMark/>
          </w:tcPr>
          <w:p w14:paraId="24781CD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6.3</w:t>
            </w:r>
          </w:p>
        </w:tc>
        <w:tc>
          <w:tcPr>
            <w:tcW w:w="785" w:type="dxa"/>
            <w:tcBorders>
              <w:top w:val="nil"/>
              <w:left w:val="nil"/>
              <w:bottom w:val="nil"/>
              <w:right w:val="nil"/>
            </w:tcBorders>
            <w:shd w:val="clear" w:color="auto" w:fill="auto"/>
            <w:noWrap/>
            <w:vAlign w:val="bottom"/>
            <w:hideMark/>
          </w:tcPr>
          <w:p w14:paraId="2EF85BB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12.9</w:t>
            </w:r>
          </w:p>
        </w:tc>
        <w:tc>
          <w:tcPr>
            <w:tcW w:w="732" w:type="dxa"/>
            <w:tcBorders>
              <w:top w:val="nil"/>
              <w:left w:val="nil"/>
              <w:bottom w:val="nil"/>
              <w:right w:val="nil"/>
            </w:tcBorders>
            <w:shd w:val="clear" w:color="auto" w:fill="auto"/>
            <w:noWrap/>
            <w:vAlign w:val="bottom"/>
            <w:hideMark/>
          </w:tcPr>
          <w:p w14:paraId="08E3915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79.4</w:t>
            </w:r>
          </w:p>
        </w:tc>
        <w:tc>
          <w:tcPr>
            <w:tcW w:w="860" w:type="dxa"/>
            <w:tcBorders>
              <w:top w:val="nil"/>
              <w:left w:val="nil"/>
              <w:bottom w:val="nil"/>
              <w:right w:val="nil"/>
            </w:tcBorders>
            <w:shd w:val="clear" w:color="auto" w:fill="auto"/>
            <w:noWrap/>
            <w:vAlign w:val="bottom"/>
            <w:hideMark/>
          </w:tcPr>
          <w:p w14:paraId="1D4B74E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44.1</w:t>
            </w:r>
          </w:p>
        </w:tc>
        <w:tc>
          <w:tcPr>
            <w:tcW w:w="960" w:type="dxa"/>
            <w:tcBorders>
              <w:top w:val="nil"/>
              <w:left w:val="nil"/>
              <w:bottom w:val="nil"/>
              <w:right w:val="nil"/>
            </w:tcBorders>
            <w:shd w:val="clear" w:color="auto" w:fill="auto"/>
            <w:noWrap/>
            <w:vAlign w:val="bottom"/>
            <w:hideMark/>
          </w:tcPr>
          <w:p w14:paraId="72CF66A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178.3</w:t>
            </w:r>
          </w:p>
        </w:tc>
        <w:tc>
          <w:tcPr>
            <w:tcW w:w="689" w:type="dxa"/>
            <w:tcBorders>
              <w:top w:val="nil"/>
              <w:left w:val="nil"/>
              <w:bottom w:val="nil"/>
              <w:right w:val="nil"/>
            </w:tcBorders>
            <w:shd w:val="clear" w:color="auto" w:fill="auto"/>
            <w:noWrap/>
            <w:vAlign w:val="bottom"/>
            <w:hideMark/>
          </w:tcPr>
          <w:p w14:paraId="19A2E89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764.2</w:t>
            </w:r>
          </w:p>
        </w:tc>
        <w:tc>
          <w:tcPr>
            <w:tcW w:w="1000" w:type="dxa"/>
            <w:tcBorders>
              <w:top w:val="nil"/>
              <w:left w:val="nil"/>
              <w:bottom w:val="nil"/>
              <w:right w:val="nil"/>
            </w:tcBorders>
            <w:shd w:val="clear" w:color="auto" w:fill="auto"/>
            <w:noWrap/>
            <w:vAlign w:val="bottom"/>
            <w:hideMark/>
          </w:tcPr>
          <w:p w14:paraId="19C2D34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141.4</w:t>
            </w:r>
          </w:p>
        </w:tc>
      </w:tr>
      <w:tr w:rsidR="00F26016" w:rsidRPr="00F26016" w14:paraId="0D680901" w14:textId="77777777" w:rsidTr="00F26016">
        <w:trPr>
          <w:trHeight w:val="300"/>
        </w:trPr>
        <w:tc>
          <w:tcPr>
            <w:tcW w:w="1140" w:type="dxa"/>
            <w:tcBorders>
              <w:top w:val="nil"/>
              <w:left w:val="nil"/>
              <w:bottom w:val="nil"/>
              <w:right w:val="nil"/>
            </w:tcBorders>
            <w:shd w:val="clear" w:color="auto" w:fill="auto"/>
            <w:noWrap/>
            <w:hideMark/>
          </w:tcPr>
          <w:p w14:paraId="7526A2D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w:t>
            </w:r>
          </w:p>
        </w:tc>
        <w:tc>
          <w:tcPr>
            <w:tcW w:w="1200" w:type="dxa"/>
            <w:tcBorders>
              <w:top w:val="nil"/>
              <w:left w:val="nil"/>
              <w:bottom w:val="nil"/>
              <w:right w:val="nil"/>
            </w:tcBorders>
            <w:shd w:val="clear" w:color="auto" w:fill="auto"/>
            <w:noWrap/>
            <w:hideMark/>
          </w:tcPr>
          <w:p w14:paraId="6642DABD"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2DCE789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64F4792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11D9315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54461AA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2079B99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78D264F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660" w:type="dxa"/>
            <w:tcBorders>
              <w:top w:val="nil"/>
              <w:left w:val="nil"/>
              <w:bottom w:val="nil"/>
              <w:right w:val="nil"/>
            </w:tcBorders>
            <w:shd w:val="clear" w:color="auto" w:fill="auto"/>
            <w:noWrap/>
            <w:vAlign w:val="bottom"/>
            <w:hideMark/>
          </w:tcPr>
          <w:p w14:paraId="3A77787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35.9</w:t>
            </w:r>
          </w:p>
        </w:tc>
        <w:tc>
          <w:tcPr>
            <w:tcW w:w="920" w:type="dxa"/>
            <w:tcBorders>
              <w:top w:val="nil"/>
              <w:left w:val="nil"/>
              <w:bottom w:val="nil"/>
              <w:right w:val="nil"/>
            </w:tcBorders>
            <w:shd w:val="clear" w:color="auto" w:fill="auto"/>
            <w:noWrap/>
            <w:vAlign w:val="bottom"/>
            <w:hideMark/>
          </w:tcPr>
          <w:p w14:paraId="14567F3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44.8</w:t>
            </w:r>
          </w:p>
        </w:tc>
        <w:tc>
          <w:tcPr>
            <w:tcW w:w="741" w:type="dxa"/>
            <w:tcBorders>
              <w:top w:val="nil"/>
              <w:left w:val="nil"/>
              <w:bottom w:val="nil"/>
              <w:right w:val="nil"/>
            </w:tcBorders>
            <w:shd w:val="clear" w:color="auto" w:fill="auto"/>
            <w:noWrap/>
            <w:vAlign w:val="bottom"/>
            <w:hideMark/>
          </w:tcPr>
          <w:p w14:paraId="555B747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94.7</w:t>
            </w:r>
          </w:p>
        </w:tc>
        <w:tc>
          <w:tcPr>
            <w:tcW w:w="785" w:type="dxa"/>
            <w:tcBorders>
              <w:top w:val="nil"/>
              <w:left w:val="nil"/>
              <w:bottom w:val="nil"/>
              <w:right w:val="nil"/>
            </w:tcBorders>
            <w:shd w:val="clear" w:color="auto" w:fill="auto"/>
            <w:noWrap/>
            <w:vAlign w:val="bottom"/>
            <w:hideMark/>
          </w:tcPr>
          <w:p w14:paraId="308ED88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42.1</w:t>
            </w:r>
          </w:p>
        </w:tc>
        <w:tc>
          <w:tcPr>
            <w:tcW w:w="732" w:type="dxa"/>
            <w:tcBorders>
              <w:top w:val="nil"/>
              <w:left w:val="nil"/>
              <w:bottom w:val="nil"/>
              <w:right w:val="nil"/>
            </w:tcBorders>
            <w:shd w:val="clear" w:color="auto" w:fill="auto"/>
            <w:noWrap/>
            <w:vAlign w:val="bottom"/>
            <w:hideMark/>
          </w:tcPr>
          <w:p w14:paraId="7314DBA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222.1</w:t>
            </w:r>
          </w:p>
        </w:tc>
        <w:tc>
          <w:tcPr>
            <w:tcW w:w="860" w:type="dxa"/>
            <w:tcBorders>
              <w:top w:val="nil"/>
              <w:left w:val="nil"/>
              <w:bottom w:val="nil"/>
              <w:right w:val="nil"/>
            </w:tcBorders>
            <w:shd w:val="clear" w:color="auto" w:fill="auto"/>
            <w:noWrap/>
            <w:vAlign w:val="bottom"/>
            <w:hideMark/>
          </w:tcPr>
          <w:p w14:paraId="023C5DA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47.7</w:t>
            </w:r>
          </w:p>
        </w:tc>
        <w:tc>
          <w:tcPr>
            <w:tcW w:w="960" w:type="dxa"/>
            <w:tcBorders>
              <w:top w:val="nil"/>
              <w:left w:val="nil"/>
              <w:bottom w:val="nil"/>
              <w:right w:val="nil"/>
            </w:tcBorders>
            <w:shd w:val="clear" w:color="auto" w:fill="auto"/>
            <w:noWrap/>
            <w:vAlign w:val="bottom"/>
            <w:hideMark/>
          </w:tcPr>
          <w:p w14:paraId="60E0C4F9" w14:textId="77777777" w:rsidR="00F26016" w:rsidRPr="00F26016" w:rsidRDefault="00F26016" w:rsidP="00F26016">
            <w:pPr>
              <w:rPr>
                <w:rFonts w:ascii="Calibri" w:eastAsia="Times New Roman" w:hAnsi="Calibri" w:cs="Times New Roman"/>
                <w:color w:val="000000"/>
                <w:sz w:val="16"/>
                <w:szCs w:val="16"/>
              </w:rPr>
            </w:pPr>
          </w:p>
        </w:tc>
        <w:tc>
          <w:tcPr>
            <w:tcW w:w="689" w:type="dxa"/>
            <w:tcBorders>
              <w:top w:val="nil"/>
              <w:left w:val="nil"/>
              <w:bottom w:val="nil"/>
              <w:right w:val="nil"/>
            </w:tcBorders>
            <w:shd w:val="clear" w:color="auto" w:fill="auto"/>
            <w:noWrap/>
            <w:vAlign w:val="bottom"/>
            <w:hideMark/>
          </w:tcPr>
          <w:p w14:paraId="29F17C5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1126.4</w:t>
            </w:r>
          </w:p>
        </w:tc>
        <w:tc>
          <w:tcPr>
            <w:tcW w:w="1000" w:type="dxa"/>
            <w:tcBorders>
              <w:top w:val="nil"/>
              <w:left w:val="nil"/>
              <w:bottom w:val="nil"/>
              <w:right w:val="nil"/>
            </w:tcBorders>
            <w:shd w:val="clear" w:color="auto" w:fill="auto"/>
            <w:noWrap/>
            <w:vAlign w:val="bottom"/>
            <w:hideMark/>
          </w:tcPr>
          <w:p w14:paraId="303C1E6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144.6</w:t>
            </w:r>
          </w:p>
        </w:tc>
      </w:tr>
      <w:tr w:rsidR="00F26016" w:rsidRPr="00F26016" w14:paraId="6A53F9E8" w14:textId="77777777" w:rsidTr="00F26016">
        <w:trPr>
          <w:trHeight w:val="300"/>
        </w:trPr>
        <w:tc>
          <w:tcPr>
            <w:tcW w:w="1140" w:type="dxa"/>
            <w:tcBorders>
              <w:top w:val="nil"/>
              <w:left w:val="nil"/>
              <w:bottom w:val="nil"/>
              <w:right w:val="nil"/>
            </w:tcBorders>
            <w:shd w:val="clear" w:color="auto" w:fill="auto"/>
            <w:noWrap/>
            <w:hideMark/>
          </w:tcPr>
          <w:p w14:paraId="6B2E10D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w:t>
            </w:r>
          </w:p>
        </w:tc>
        <w:tc>
          <w:tcPr>
            <w:tcW w:w="1200" w:type="dxa"/>
            <w:tcBorders>
              <w:top w:val="nil"/>
              <w:left w:val="nil"/>
              <w:bottom w:val="nil"/>
              <w:right w:val="nil"/>
            </w:tcBorders>
            <w:shd w:val="clear" w:color="auto" w:fill="auto"/>
            <w:noWrap/>
            <w:hideMark/>
          </w:tcPr>
          <w:p w14:paraId="614867F6"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31C9253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0CA517C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348D151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236FD6B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148E35B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2EB0005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3109759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318.0</w:t>
            </w:r>
          </w:p>
        </w:tc>
        <w:tc>
          <w:tcPr>
            <w:tcW w:w="920" w:type="dxa"/>
            <w:tcBorders>
              <w:top w:val="nil"/>
              <w:left w:val="nil"/>
              <w:bottom w:val="nil"/>
              <w:right w:val="nil"/>
            </w:tcBorders>
            <w:shd w:val="clear" w:color="auto" w:fill="auto"/>
            <w:noWrap/>
            <w:vAlign w:val="bottom"/>
            <w:hideMark/>
          </w:tcPr>
          <w:p w14:paraId="52F15BA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50.7</w:t>
            </w:r>
          </w:p>
        </w:tc>
        <w:tc>
          <w:tcPr>
            <w:tcW w:w="741" w:type="dxa"/>
            <w:tcBorders>
              <w:top w:val="nil"/>
              <w:left w:val="nil"/>
              <w:bottom w:val="nil"/>
              <w:right w:val="nil"/>
            </w:tcBorders>
            <w:shd w:val="clear" w:color="auto" w:fill="auto"/>
            <w:noWrap/>
            <w:vAlign w:val="bottom"/>
            <w:hideMark/>
          </w:tcPr>
          <w:p w14:paraId="1056E7A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56.6</w:t>
            </w:r>
          </w:p>
        </w:tc>
        <w:tc>
          <w:tcPr>
            <w:tcW w:w="785" w:type="dxa"/>
            <w:tcBorders>
              <w:top w:val="nil"/>
              <w:left w:val="nil"/>
              <w:bottom w:val="nil"/>
              <w:right w:val="nil"/>
            </w:tcBorders>
            <w:shd w:val="clear" w:color="auto" w:fill="auto"/>
            <w:noWrap/>
            <w:vAlign w:val="bottom"/>
            <w:hideMark/>
          </w:tcPr>
          <w:p w14:paraId="7102739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21.0</w:t>
            </w:r>
          </w:p>
        </w:tc>
        <w:tc>
          <w:tcPr>
            <w:tcW w:w="732" w:type="dxa"/>
            <w:tcBorders>
              <w:top w:val="nil"/>
              <w:left w:val="nil"/>
              <w:bottom w:val="nil"/>
              <w:right w:val="nil"/>
            </w:tcBorders>
            <w:shd w:val="clear" w:color="auto" w:fill="auto"/>
            <w:noWrap/>
            <w:vAlign w:val="bottom"/>
            <w:hideMark/>
          </w:tcPr>
          <w:p w14:paraId="061889D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1457.8</w:t>
            </w:r>
          </w:p>
        </w:tc>
        <w:tc>
          <w:tcPr>
            <w:tcW w:w="860" w:type="dxa"/>
            <w:tcBorders>
              <w:top w:val="nil"/>
              <w:left w:val="nil"/>
              <w:bottom w:val="nil"/>
              <w:right w:val="nil"/>
            </w:tcBorders>
            <w:shd w:val="clear" w:color="auto" w:fill="auto"/>
            <w:noWrap/>
            <w:vAlign w:val="bottom"/>
            <w:hideMark/>
          </w:tcPr>
          <w:p w14:paraId="766C18C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93.5</w:t>
            </w:r>
          </w:p>
        </w:tc>
        <w:tc>
          <w:tcPr>
            <w:tcW w:w="960" w:type="dxa"/>
            <w:tcBorders>
              <w:top w:val="nil"/>
              <w:left w:val="nil"/>
              <w:bottom w:val="nil"/>
              <w:right w:val="nil"/>
            </w:tcBorders>
            <w:shd w:val="clear" w:color="auto" w:fill="auto"/>
            <w:noWrap/>
            <w:vAlign w:val="bottom"/>
            <w:hideMark/>
          </w:tcPr>
          <w:p w14:paraId="2BFF5BD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689" w:type="dxa"/>
            <w:tcBorders>
              <w:top w:val="nil"/>
              <w:left w:val="nil"/>
              <w:bottom w:val="nil"/>
              <w:right w:val="nil"/>
            </w:tcBorders>
            <w:shd w:val="clear" w:color="auto" w:fill="auto"/>
            <w:noWrap/>
            <w:vAlign w:val="bottom"/>
            <w:hideMark/>
          </w:tcPr>
          <w:p w14:paraId="7E722C60" w14:textId="77777777" w:rsidR="00F26016" w:rsidRPr="00F26016" w:rsidRDefault="00F26016" w:rsidP="00F26016">
            <w:pPr>
              <w:rPr>
                <w:rFonts w:ascii="Calibri" w:eastAsia="Times New Roman" w:hAnsi="Calibri" w:cs="Times New Roman"/>
                <w:color w:val="000000"/>
                <w:sz w:val="16"/>
                <w:szCs w:val="16"/>
              </w:rPr>
            </w:pPr>
          </w:p>
        </w:tc>
        <w:tc>
          <w:tcPr>
            <w:tcW w:w="1000" w:type="dxa"/>
            <w:tcBorders>
              <w:top w:val="nil"/>
              <w:left w:val="nil"/>
              <w:bottom w:val="nil"/>
              <w:right w:val="nil"/>
            </w:tcBorders>
            <w:shd w:val="clear" w:color="auto" w:fill="auto"/>
            <w:noWrap/>
            <w:vAlign w:val="bottom"/>
            <w:hideMark/>
          </w:tcPr>
          <w:p w14:paraId="7D1D5BB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150.5</w:t>
            </w:r>
          </w:p>
        </w:tc>
      </w:tr>
      <w:tr w:rsidR="00F26016" w:rsidRPr="00F26016" w14:paraId="0FA13023" w14:textId="77777777" w:rsidTr="00F26016">
        <w:trPr>
          <w:trHeight w:val="300"/>
        </w:trPr>
        <w:tc>
          <w:tcPr>
            <w:tcW w:w="1140" w:type="dxa"/>
            <w:tcBorders>
              <w:top w:val="nil"/>
              <w:left w:val="nil"/>
              <w:bottom w:val="nil"/>
              <w:right w:val="nil"/>
            </w:tcBorders>
            <w:shd w:val="clear" w:color="auto" w:fill="auto"/>
            <w:noWrap/>
            <w:hideMark/>
          </w:tcPr>
          <w:p w14:paraId="32A71A5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w:t>
            </w:r>
          </w:p>
        </w:tc>
        <w:tc>
          <w:tcPr>
            <w:tcW w:w="1200" w:type="dxa"/>
            <w:tcBorders>
              <w:top w:val="nil"/>
              <w:left w:val="nil"/>
              <w:bottom w:val="nil"/>
              <w:right w:val="nil"/>
            </w:tcBorders>
            <w:shd w:val="clear" w:color="auto" w:fill="auto"/>
            <w:noWrap/>
            <w:hideMark/>
          </w:tcPr>
          <w:p w14:paraId="4FA95185"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2DA928B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4D8BE6A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0B1D276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787E83B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2890251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3CEC28A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4ADFFF6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5.8</w:t>
            </w:r>
          </w:p>
        </w:tc>
        <w:tc>
          <w:tcPr>
            <w:tcW w:w="920" w:type="dxa"/>
            <w:tcBorders>
              <w:top w:val="nil"/>
              <w:left w:val="nil"/>
              <w:bottom w:val="nil"/>
              <w:right w:val="nil"/>
            </w:tcBorders>
            <w:shd w:val="clear" w:color="auto" w:fill="auto"/>
            <w:noWrap/>
            <w:vAlign w:val="bottom"/>
            <w:hideMark/>
          </w:tcPr>
          <w:p w14:paraId="0E552A5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41.1</w:t>
            </w:r>
          </w:p>
        </w:tc>
        <w:tc>
          <w:tcPr>
            <w:tcW w:w="741" w:type="dxa"/>
            <w:tcBorders>
              <w:top w:val="nil"/>
              <w:left w:val="nil"/>
              <w:bottom w:val="nil"/>
              <w:right w:val="nil"/>
            </w:tcBorders>
            <w:shd w:val="clear" w:color="auto" w:fill="auto"/>
            <w:noWrap/>
            <w:vAlign w:val="bottom"/>
            <w:hideMark/>
          </w:tcPr>
          <w:p w14:paraId="7446405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44.7</w:t>
            </w:r>
          </w:p>
        </w:tc>
        <w:tc>
          <w:tcPr>
            <w:tcW w:w="785" w:type="dxa"/>
            <w:tcBorders>
              <w:top w:val="nil"/>
              <w:left w:val="nil"/>
              <w:bottom w:val="nil"/>
              <w:right w:val="nil"/>
            </w:tcBorders>
            <w:shd w:val="clear" w:color="auto" w:fill="auto"/>
            <w:noWrap/>
            <w:vAlign w:val="bottom"/>
            <w:hideMark/>
          </w:tcPr>
          <w:p w14:paraId="461F49A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39.2</w:t>
            </w:r>
          </w:p>
        </w:tc>
        <w:tc>
          <w:tcPr>
            <w:tcW w:w="732" w:type="dxa"/>
            <w:tcBorders>
              <w:top w:val="nil"/>
              <w:left w:val="nil"/>
              <w:bottom w:val="nil"/>
              <w:right w:val="nil"/>
            </w:tcBorders>
            <w:shd w:val="clear" w:color="auto" w:fill="auto"/>
            <w:noWrap/>
            <w:vAlign w:val="bottom"/>
            <w:hideMark/>
          </w:tcPr>
          <w:p w14:paraId="39599C3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49.5</w:t>
            </w:r>
          </w:p>
        </w:tc>
        <w:tc>
          <w:tcPr>
            <w:tcW w:w="860" w:type="dxa"/>
            <w:tcBorders>
              <w:top w:val="nil"/>
              <w:left w:val="nil"/>
              <w:bottom w:val="nil"/>
              <w:right w:val="nil"/>
            </w:tcBorders>
            <w:shd w:val="clear" w:color="auto" w:fill="auto"/>
            <w:noWrap/>
            <w:vAlign w:val="bottom"/>
            <w:hideMark/>
          </w:tcPr>
          <w:p w14:paraId="3DCA5F7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25.7</w:t>
            </w:r>
          </w:p>
        </w:tc>
        <w:tc>
          <w:tcPr>
            <w:tcW w:w="960" w:type="dxa"/>
            <w:tcBorders>
              <w:top w:val="nil"/>
              <w:left w:val="nil"/>
              <w:bottom w:val="nil"/>
              <w:right w:val="nil"/>
            </w:tcBorders>
            <w:shd w:val="clear" w:color="auto" w:fill="auto"/>
            <w:noWrap/>
            <w:vAlign w:val="bottom"/>
            <w:hideMark/>
          </w:tcPr>
          <w:p w14:paraId="17BE2E2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25.9</w:t>
            </w:r>
          </w:p>
        </w:tc>
        <w:tc>
          <w:tcPr>
            <w:tcW w:w="689" w:type="dxa"/>
            <w:tcBorders>
              <w:top w:val="nil"/>
              <w:left w:val="nil"/>
              <w:bottom w:val="nil"/>
              <w:right w:val="nil"/>
            </w:tcBorders>
            <w:shd w:val="clear" w:color="auto" w:fill="auto"/>
            <w:noWrap/>
            <w:vAlign w:val="bottom"/>
            <w:hideMark/>
          </w:tcPr>
          <w:p w14:paraId="75FC7B2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65.1</w:t>
            </w:r>
          </w:p>
        </w:tc>
        <w:tc>
          <w:tcPr>
            <w:tcW w:w="1000" w:type="dxa"/>
            <w:tcBorders>
              <w:top w:val="nil"/>
              <w:left w:val="nil"/>
              <w:bottom w:val="nil"/>
              <w:right w:val="nil"/>
            </w:tcBorders>
            <w:shd w:val="clear" w:color="auto" w:fill="auto"/>
            <w:noWrap/>
            <w:vAlign w:val="bottom"/>
            <w:hideMark/>
          </w:tcPr>
          <w:p w14:paraId="720D9F3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137.9</w:t>
            </w:r>
          </w:p>
        </w:tc>
      </w:tr>
      <w:tr w:rsidR="00F26016" w:rsidRPr="00F26016" w14:paraId="52933D9A" w14:textId="77777777" w:rsidTr="00F26016">
        <w:trPr>
          <w:trHeight w:val="300"/>
        </w:trPr>
        <w:tc>
          <w:tcPr>
            <w:tcW w:w="1140" w:type="dxa"/>
            <w:tcBorders>
              <w:top w:val="nil"/>
              <w:left w:val="nil"/>
              <w:bottom w:val="nil"/>
              <w:right w:val="nil"/>
            </w:tcBorders>
            <w:shd w:val="clear" w:color="auto" w:fill="auto"/>
            <w:noWrap/>
            <w:hideMark/>
          </w:tcPr>
          <w:p w14:paraId="35C062A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w:t>
            </w:r>
          </w:p>
        </w:tc>
        <w:tc>
          <w:tcPr>
            <w:tcW w:w="1200" w:type="dxa"/>
            <w:tcBorders>
              <w:top w:val="nil"/>
              <w:left w:val="nil"/>
              <w:bottom w:val="nil"/>
              <w:right w:val="nil"/>
            </w:tcBorders>
            <w:shd w:val="clear" w:color="auto" w:fill="auto"/>
            <w:noWrap/>
            <w:hideMark/>
          </w:tcPr>
          <w:p w14:paraId="309502B3"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5F954DB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7DD24FC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084B3BE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494669E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2D58CFD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4329D1D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3664903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67.9</w:t>
            </w:r>
          </w:p>
        </w:tc>
        <w:tc>
          <w:tcPr>
            <w:tcW w:w="920" w:type="dxa"/>
            <w:tcBorders>
              <w:top w:val="nil"/>
              <w:left w:val="nil"/>
              <w:bottom w:val="nil"/>
              <w:right w:val="nil"/>
            </w:tcBorders>
            <w:shd w:val="clear" w:color="auto" w:fill="auto"/>
            <w:noWrap/>
            <w:vAlign w:val="bottom"/>
            <w:hideMark/>
          </w:tcPr>
          <w:p w14:paraId="4AFE00D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92.2</w:t>
            </w:r>
          </w:p>
        </w:tc>
        <w:tc>
          <w:tcPr>
            <w:tcW w:w="741" w:type="dxa"/>
            <w:tcBorders>
              <w:top w:val="nil"/>
              <w:left w:val="nil"/>
              <w:bottom w:val="nil"/>
              <w:right w:val="nil"/>
            </w:tcBorders>
            <w:shd w:val="clear" w:color="auto" w:fill="auto"/>
            <w:noWrap/>
            <w:vAlign w:val="bottom"/>
            <w:hideMark/>
          </w:tcPr>
          <w:p w14:paraId="0D726CE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341.5</w:t>
            </w:r>
          </w:p>
        </w:tc>
        <w:tc>
          <w:tcPr>
            <w:tcW w:w="785" w:type="dxa"/>
            <w:tcBorders>
              <w:top w:val="nil"/>
              <w:left w:val="nil"/>
              <w:bottom w:val="nil"/>
              <w:right w:val="nil"/>
            </w:tcBorders>
            <w:shd w:val="clear" w:color="auto" w:fill="auto"/>
            <w:noWrap/>
            <w:vAlign w:val="bottom"/>
            <w:hideMark/>
          </w:tcPr>
          <w:p w14:paraId="79C7BF7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82.1</w:t>
            </w:r>
          </w:p>
        </w:tc>
        <w:tc>
          <w:tcPr>
            <w:tcW w:w="732" w:type="dxa"/>
            <w:tcBorders>
              <w:top w:val="nil"/>
              <w:left w:val="nil"/>
              <w:bottom w:val="nil"/>
              <w:right w:val="nil"/>
            </w:tcBorders>
            <w:shd w:val="clear" w:color="auto" w:fill="auto"/>
            <w:noWrap/>
            <w:vAlign w:val="bottom"/>
            <w:hideMark/>
          </w:tcPr>
          <w:p w14:paraId="7F0A10B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93.8</w:t>
            </w:r>
          </w:p>
        </w:tc>
        <w:tc>
          <w:tcPr>
            <w:tcW w:w="860" w:type="dxa"/>
            <w:tcBorders>
              <w:top w:val="nil"/>
              <w:left w:val="nil"/>
              <w:bottom w:val="nil"/>
              <w:right w:val="nil"/>
            </w:tcBorders>
            <w:shd w:val="clear" w:color="auto" w:fill="auto"/>
            <w:noWrap/>
            <w:vAlign w:val="bottom"/>
            <w:hideMark/>
          </w:tcPr>
          <w:p w14:paraId="403176C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79.1</w:t>
            </w:r>
          </w:p>
        </w:tc>
        <w:tc>
          <w:tcPr>
            <w:tcW w:w="960" w:type="dxa"/>
            <w:tcBorders>
              <w:top w:val="nil"/>
              <w:left w:val="nil"/>
              <w:bottom w:val="nil"/>
              <w:right w:val="nil"/>
            </w:tcBorders>
            <w:shd w:val="clear" w:color="auto" w:fill="auto"/>
            <w:noWrap/>
            <w:vAlign w:val="bottom"/>
            <w:hideMark/>
          </w:tcPr>
          <w:p w14:paraId="44A6B93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130.8</w:t>
            </w:r>
          </w:p>
        </w:tc>
        <w:tc>
          <w:tcPr>
            <w:tcW w:w="689" w:type="dxa"/>
            <w:tcBorders>
              <w:top w:val="nil"/>
              <w:left w:val="nil"/>
              <w:bottom w:val="nil"/>
              <w:right w:val="nil"/>
            </w:tcBorders>
            <w:shd w:val="clear" w:color="auto" w:fill="auto"/>
            <w:noWrap/>
            <w:vAlign w:val="bottom"/>
            <w:hideMark/>
          </w:tcPr>
          <w:p w14:paraId="4B1B3AC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47.2</w:t>
            </w:r>
          </w:p>
        </w:tc>
        <w:tc>
          <w:tcPr>
            <w:tcW w:w="1000" w:type="dxa"/>
            <w:tcBorders>
              <w:top w:val="nil"/>
              <w:left w:val="nil"/>
              <w:bottom w:val="nil"/>
              <w:right w:val="nil"/>
            </w:tcBorders>
            <w:shd w:val="clear" w:color="auto" w:fill="auto"/>
            <w:noWrap/>
            <w:vAlign w:val="bottom"/>
            <w:hideMark/>
          </w:tcPr>
          <w:p w14:paraId="6EABDEE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132.9</w:t>
            </w:r>
          </w:p>
        </w:tc>
      </w:tr>
      <w:tr w:rsidR="00F26016" w:rsidRPr="00F26016" w14:paraId="5FF2F831" w14:textId="77777777" w:rsidTr="00F26016">
        <w:trPr>
          <w:trHeight w:val="300"/>
        </w:trPr>
        <w:tc>
          <w:tcPr>
            <w:tcW w:w="1140" w:type="dxa"/>
            <w:tcBorders>
              <w:top w:val="nil"/>
              <w:left w:val="nil"/>
              <w:bottom w:val="nil"/>
              <w:right w:val="nil"/>
            </w:tcBorders>
            <w:shd w:val="clear" w:color="auto" w:fill="auto"/>
            <w:noWrap/>
            <w:hideMark/>
          </w:tcPr>
          <w:p w14:paraId="75AF162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w:t>
            </w:r>
          </w:p>
        </w:tc>
        <w:tc>
          <w:tcPr>
            <w:tcW w:w="1200" w:type="dxa"/>
            <w:tcBorders>
              <w:top w:val="nil"/>
              <w:left w:val="nil"/>
              <w:bottom w:val="nil"/>
              <w:right w:val="nil"/>
            </w:tcBorders>
            <w:shd w:val="clear" w:color="auto" w:fill="auto"/>
            <w:noWrap/>
            <w:hideMark/>
          </w:tcPr>
          <w:p w14:paraId="58F2EFBA"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7AE386B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05B3F3A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6396E0C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2E39F1F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0005132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5DBCD1B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2FC6B18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246.6</w:t>
            </w:r>
          </w:p>
        </w:tc>
        <w:tc>
          <w:tcPr>
            <w:tcW w:w="920" w:type="dxa"/>
            <w:tcBorders>
              <w:top w:val="nil"/>
              <w:left w:val="nil"/>
              <w:bottom w:val="nil"/>
              <w:right w:val="nil"/>
            </w:tcBorders>
            <w:shd w:val="clear" w:color="auto" w:fill="auto"/>
            <w:noWrap/>
            <w:vAlign w:val="bottom"/>
            <w:hideMark/>
          </w:tcPr>
          <w:p w14:paraId="7494568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50.0</w:t>
            </w:r>
          </w:p>
        </w:tc>
        <w:tc>
          <w:tcPr>
            <w:tcW w:w="741" w:type="dxa"/>
            <w:tcBorders>
              <w:top w:val="nil"/>
              <w:left w:val="nil"/>
              <w:bottom w:val="nil"/>
              <w:right w:val="nil"/>
            </w:tcBorders>
            <w:shd w:val="clear" w:color="auto" w:fill="auto"/>
            <w:noWrap/>
            <w:vAlign w:val="bottom"/>
            <w:hideMark/>
          </w:tcPr>
          <w:p w14:paraId="79C8BA3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30.3</w:t>
            </w:r>
          </w:p>
        </w:tc>
        <w:tc>
          <w:tcPr>
            <w:tcW w:w="785" w:type="dxa"/>
            <w:tcBorders>
              <w:top w:val="nil"/>
              <w:left w:val="nil"/>
              <w:bottom w:val="nil"/>
              <w:right w:val="nil"/>
            </w:tcBorders>
            <w:shd w:val="clear" w:color="auto" w:fill="auto"/>
            <w:noWrap/>
            <w:vAlign w:val="bottom"/>
            <w:hideMark/>
          </w:tcPr>
          <w:p w14:paraId="249C679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28.0</w:t>
            </w:r>
          </w:p>
        </w:tc>
        <w:tc>
          <w:tcPr>
            <w:tcW w:w="732" w:type="dxa"/>
            <w:tcBorders>
              <w:top w:val="nil"/>
              <w:left w:val="nil"/>
              <w:bottom w:val="nil"/>
              <w:right w:val="nil"/>
            </w:tcBorders>
            <w:shd w:val="clear" w:color="auto" w:fill="auto"/>
            <w:noWrap/>
            <w:vAlign w:val="bottom"/>
            <w:hideMark/>
          </w:tcPr>
          <w:p w14:paraId="1F3EA15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293.7</w:t>
            </w:r>
          </w:p>
        </w:tc>
        <w:tc>
          <w:tcPr>
            <w:tcW w:w="860" w:type="dxa"/>
            <w:tcBorders>
              <w:top w:val="nil"/>
              <w:left w:val="nil"/>
              <w:bottom w:val="nil"/>
              <w:right w:val="nil"/>
            </w:tcBorders>
            <w:shd w:val="clear" w:color="auto" w:fill="auto"/>
            <w:noWrap/>
            <w:vAlign w:val="bottom"/>
            <w:hideMark/>
          </w:tcPr>
          <w:p w14:paraId="40C1254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220.9</w:t>
            </w:r>
          </w:p>
        </w:tc>
        <w:tc>
          <w:tcPr>
            <w:tcW w:w="960" w:type="dxa"/>
            <w:tcBorders>
              <w:top w:val="nil"/>
              <w:left w:val="nil"/>
              <w:bottom w:val="nil"/>
              <w:right w:val="nil"/>
            </w:tcBorders>
            <w:shd w:val="clear" w:color="auto" w:fill="auto"/>
            <w:noWrap/>
            <w:vAlign w:val="bottom"/>
            <w:hideMark/>
          </w:tcPr>
          <w:p w14:paraId="4CC0135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34.2</w:t>
            </w:r>
          </w:p>
        </w:tc>
        <w:tc>
          <w:tcPr>
            <w:tcW w:w="689" w:type="dxa"/>
            <w:tcBorders>
              <w:top w:val="nil"/>
              <w:left w:val="nil"/>
              <w:bottom w:val="nil"/>
              <w:right w:val="nil"/>
            </w:tcBorders>
            <w:shd w:val="clear" w:color="auto" w:fill="auto"/>
            <w:noWrap/>
            <w:vAlign w:val="bottom"/>
            <w:hideMark/>
          </w:tcPr>
          <w:p w14:paraId="7FB30F2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25.6</w:t>
            </w:r>
          </w:p>
        </w:tc>
        <w:tc>
          <w:tcPr>
            <w:tcW w:w="1000" w:type="dxa"/>
            <w:tcBorders>
              <w:top w:val="nil"/>
              <w:left w:val="nil"/>
              <w:bottom w:val="nil"/>
              <w:right w:val="nil"/>
            </w:tcBorders>
            <w:shd w:val="clear" w:color="auto" w:fill="auto"/>
            <w:noWrap/>
            <w:vAlign w:val="bottom"/>
            <w:hideMark/>
          </w:tcPr>
          <w:p w14:paraId="1359327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155.5</w:t>
            </w:r>
          </w:p>
        </w:tc>
      </w:tr>
      <w:tr w:rsidR="00F26016" w:rsidRPr="00F26016" w14:paraId="05FCFB30" w14:textId="77777777" w:rsidTr="00F26016">
        <w:trPr>
          <w:trHeight w:val="300"/>
        </w:trPr>
        <w:tc>
          <w:tcPr>
            <w:tcW w:w="1140" w:type="dxa"/>
            <w:tcBorders>
              <w:top w:val="nil"/>
              <w:left w:val="nil"/>
              <w:bottom w:val="nil"/>
              <w:right w:val="nil"/>
            </w:tcBorders>
            <w:shd w:val="clear" w:color="auto" w:fill="auto"/>
            <w:noWrap/>
            <w:hideMark/>
          </w:tcPr>
          <w:p w14:paraId="072869A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w:t>
            </w:r>
          </w:p>
        </w:tc>
        <w:tc>
          <w:tcPr>
            <w:tcW w:w="1200" w:type="dxa"/>
            <w:tcBorders>
              <w:top w:val="nil"/>
              <w:left w:val="nil"/>
              <w:bottom w:val="nil"/>
              <w:right w:val="nil"/>
            </w:tcBorders>
            <w:shd w:val="clear" w:color="auto" w:fill="auto"/>
            <w:noWrap/>
            <w:hideMark/>
          </w:tcPr>
          <w:p w14:paraId="34695307"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47A311F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55F4926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22A0A42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07C62AE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5867FB3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281D420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057AC03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9.2</w:t>
            </w:r>
          </w:p>
        </w:tc>
        <w:tc>
          <w:tcPr>
            <w:tcW w:w="920" w:type="dxa"/>
            <w:tcBorders>
              <w:top w:val="nil"/>
              <w:left w:val="nil"/>
              <w:bottom w:val="nil"/>
              <w:right w:val="nil"/>
            </w:tcBorders>
            <w:shd w:val="clear" w:color="auto" w:fill="auto"/>
            <w:noWrap/>
            <w:vAlign w:val="bottom"/>
            <w:hideMark/>
          </w:tcPr>
          <w:p w14:paraId="512DB8C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23.1</w:t>
            </w:r>
          </w:p>
        </w:tc>
        <w:tc>
          <w:tcPr>
            <w:tcW w:w="741" w:type="dxa"/>
            <w:tcBorders>
              <w:top w:val="nil"/>
              <w:left w:val="nil"/>
              <w:bottom w:val="nil"/>
              <w:right w:val="nil"/>
            </w:tcBorders>
            <w:shd w:val="clear" w:color="auto" w:fill="auto"/>
            <w:noWrap/>
            <w:vAlign w:val="bottom"/>
            <w:hideMark/>
          </w:tcPr>
          <w:p w14:paraId="6215A0B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19.6</w:t>
            </w:r>
          </w:p>
        </w:tc>
        <w:tc>
          <w:tcPr>
            <w:tcW w:w="785" w:type="dxa"/>
            <w:tcBorders>
              <w:top w:val="nil"/>
              <w:left w:val="nil"/>
              <w:bottom w:val="nil"/>
              <w:right w:val="nil"/>
            </w:tcBorders>
            <w:shd w:val="clear" w:color="auto" w:fill="auto"/>
            <w:noWrap/>
            <w:vAlign w:val="bottom"/>
            <w:hideMark/>
          </w:tcPr>
          <w:p w14:paraId="72C3C68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28.2</w:t>
            </w:r>
          </w:p>
        </w:tc>
        <w:tc>
          <w:tcPr>
            <w:tcW w:w="732" w:type="dxa"/>
            <w:tcBorders>
              <w:top w:val="nil"/>
              <w:left w:val="nil"/>
              <w:bottom w:val="nil"/>
              <w:right w:val="nil"/>
            </w:tcBorders>
            <w:shd w:val="clear" w:color="auto" w:fill="auto"/>
            <w:noWrap/>
            <w:vAlign w:val="bottom"/>
            <w:hideMark/>
          </w:tcPr>
          <w:p w14:paraId="5BA4036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45.1</w:t>
            </w:r>
          </w:p>
        </w:tc>
        <w:tc>
          <w:tcPr>
            <w:tcW w:w="860" w:type="dxa"/>
            <w:tcBorders>
              <w:top w:val="nil"/>
              <w:left w:val="nil"/>
              <w:bottom w:val="nil"/>
              <w:right w:val="nil"/>
            </w:tcBorders>
            <w:shd w:val="clear" w:color="auto" w:fill="auto"/>
            <w:noWrap/>
            <w:vAlign w:val="bottom"/>
            <w:hideMark/>
          </w:tcPr>
          <w:p w14:paraId="3E23890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15.4</w:t>
            </w:r>
          </w:p>
        </w:tc>
        <w:tc>
          <w:tcPr>
            <w:tcW w:w="960" w:type="dxa"/>
            <w:tcBorders>
              <w:top w:val="nil"/>
              <w:left w:val="nil"/>
              <w:bottom w:val="nil"/>
              <w:right w:val="nil"/>
            </w:tcBorders>
            <w:shd w:val="clear" w:color="auto" w:fill="auto"/>
            <w:noWrap/>
            <w:vAlign w:val="bottom"/>
            <w:hideMark/>
          </w:tcPr>
          <w:p w14:paraId="744C4F4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14.0</w:t>
            </w:r>
          </w:p>
        </w:tc>
        <w:tc>
          <w:tcPr>
            <w:tcW w:w="689" w:type="dxa"/>
            <w:tcBorders>
              <w:top w:val="nil"/>
              <w:left w:val="nil"/>
              <w:bottom w:val="nil"/>
              <w:right w:val="nil"/>
            </w:tcBorders>
            <w:shd w:val="clear" w:color="auto" w:fill="auto"/>
            <w:noWrap/>
            <w:vAlign w:val="bottom"/>
            <w:hideMark/>
          </w:tcPr>
          <w:p w14:paraId="2E8ADF3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53.9</w:t>
            </w:r>
          </w:p>
        </w:tc>
        <w:tc>
          <w:tcPr>
            <w:tcW w:w="1000" w:type="dxa"/>
            <w:tcBorders>
              <w:top w:val="nil"/>
              <w:left w:val="nil"/>
              <w:bottom w:val="nil"/>
              <w:right w:val="nil"/>
            </w:tcBorders>
            <w:shd w:val="clear" w:color="auto" w:fill="auto"/>
            <w:noWrap/>
            <w:vAlign w:val="bottom"/>
            <w:hideMark/>
          </w:tcPr>
          <w:p w14:paraId="20A21B4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150.7</w:t>
            </w:r>
          </w:p>
        </w:tc>
      </w:tr>
      <w:tr w:rsidR="00F26016" w:rsidRPr="00F26016" w14:paraId="23AF5D0D" w14:textId="77777777" w:rsidTr="00F26016">
        <w:trPr>
          <w:trHeight w:val="300"/>
        </w:trPr>
        <w:tc>
          <w:tcPr>
            <w:tcW w:w="1140" w:type="dxa"/>
            <w:tcBorders>
              <w:top w:val="nil"/>
              <w:left w:val="nil"/>
              <w:bottom w:val="nil"/>
              <w:right w:val="nil"/>
            </w:tcBorders>
            <w:shd w:val="clear" w:color="auto" w:fill="auto"/>
            <w:noWrap/>
            <w:hideMark/>
          </w:tcPr>
          <w:p w14:paraId="553D211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w:t>
            </w:r>
          </w:p>
        </w:tc>
        <w:tc>
          <w:tcPr>
            <w:tcW w:w="1200" w:type="dxa"/>
            <w:tcBorders>
              <w:top w:val="nil"/>
              <w:left w:val="nil"/>
              <w:bottom w:val="nil"/>
              <w:right w:val="nil"/>
            </w:tcBorders>
            <w:shd w:val="clear" w:color="auto" w:fill="auto"/>
            <w:noWrap/>
            <w:hideMark/>
          </w:tcPr>
          <w:p w14:paraId="252BB2EC"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187BBE5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5E4292D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3B08C7A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5AE13C2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0DCE354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3ADEE81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1479B70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54.6</w:t>
            </w:r>
          </w:p>
        </w:tc>
        <w:tc>
          <w:tcPr>
            <w:tcW w:w="920" w:type="dxa"/>
            <w:tcBorders>
              <w:top w:val="nil"/>
              <w:left w:val="nil"/>
              <w:bottom w:val="nil"/>
              <w:right w:val="nil"/>
            </w:tcBorders>
            <w:shd w:val="clear" w:color="auto" w:fill="auto"/>
            <w:noWrap/>
            <w:vAlign w:val="bottom"/>
            <w:hideMark/>
          </w:tcPr>
          <w:p w14:paraId="1C6E919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123.3</w:t>
            </w:r>
          </w:p>
        </w:tc>
        <w:tc>
          <w:tcPr>
            <w:tcW w:w="741" w:type="dxa"/>
            <w:tcBorders>
              <w:top w:val="nil"/>
              <w:left w:val="nil"/>
              <w:bottom w:val="nil"/>
              <w:right w:val="nil"/>
            </w:tcBorders>
            <w:shd w:val="clear" w:color="auto" w:fill="auto"/>
            <w:noWrap/>
            <w:vAlign w:val="bottom"/>
            <w:hideMark/>
          </w:tcPr>
          <w:p w14:paraId="58D4C4E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257.2</w:t>
            </w:r>
          </w:p>
        </w:tc>
        <w:tc>
          <w:tcPr>
            <w:tcW w:w="785" w:type="dxa"/>
            <w:tcBorders>
              <w:top w:val="nil"/>
              <w:left w:val="nil"/>
              <w:bottom w:val="nil"/>
              <w:right w:val="nil"/>
            </w:tcBorders>
            <w:shd w:val="clear" w:color="auto" w:fill="auto"/>
            <w:noWrap/>
            <w:vAlign w:val="bottom"/>
            <w:hideMark/>
          </w:tcPr>
          <w:p w14:paraId="75925A0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81.1</w:t>
            </w:r>
          </w:p>
        </w:tc>
        <w:tc>
          <w:tcPr>
            <w:tcW w:w="732" w:type="dxa"/>
            <w:tcBorders>
              <w:top w:val="nil"/>
              <w:left w:val="nil"/>
              <w:bottom w:val="nil"/>
              <w:right w:val="nil"/>
            </w:tcBorders>
            <w:shd w:val="clear" w:color="auto" w:fill="auto"/>
            <w:noWrap/>
            <w:vAlign w:val="bottom"/>
            <w:hideMark/>
          </w:tcPr>
          <w:p w14:paraId="0A93F03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73.3</w:t>
            </w:r>
          </w:p>
        </w:tc>
        <w:tc>
          <w:tcPr>
            <w:tcW w:w="860" w:type="dxa"/>
            <w:tcBorders>
              <w:top w:val="nil"/>
              <w:left w:val="nil"/>
              <w:bottom w:val="nil"/>
              <w:right w:val="nil"/>
            </w:tcBorders>
            <w:shd w:val="clear" w:color="auto" w:fill="auto"/>
            <w:noWrap/>
            <w:vAlign w:val="bottom"/>
            <w:hideMark/>
          </w:tcPr>
          <w:p w14:paraId="68745B8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84.9</w:t>
            </w:r>
          </w:p>
        </w:tc>
        <w:tc>
          <w:tcPr>
            <w:tcW w:w="960" w:type="dxa"/>
            <w:tcBorders>
              <w:top w:val="nil"/>
              <w:left w:val="nil"/>
              <w:bottom w:val="nil"/>
              <w:right w:val="nil"/>
            </w:tcBorders>
            <w:shd w:val="clear" w:color="auto" w:fill="auto"/>
            <w:noWrap/>
            <w:vAlign w:val="bottom"/>
            <w:hideMark/>
          </w:tcPr>
          <w:p w14:paraId="52E9390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48.5</w:t>
            </w:r>
          </w:p>
        </w:tc>
        <w:tc>
          <w:tcPr>
            <w:tcW w:w="689" w:type="dxa"/>
            <w:tcBorders>
              <w:top w:val="nil"/>
              <w:left w:val="nil"/>
              <w:bottom w:val="nil"/>
              <w:right w:val="nil"/>
            </w:tcBorders>
            <w:shd w:val="clear" w:color="auto" w:fill="auto"/>
            <w:noWrap/>
            <w:vAlign w:val="bottom"/>
            <w:hideMark/>
          </w:tcPr>
          <w:p w14:paraId="583E286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43.4</w:t>
            </w:r>
          </w:p>
        </w:tc>
        <w:tc>
          <w:tcPr>
            <w:tcW w:w="1000" w:type="dxa"/>
            <w:tcBorders>
              <w:top w:val="nil"/>
              <w:left w:val="nil"/>
              <w:bottom w:val="nil"/>
              <w:right w:val="nil"/>
            </w:tcBorders>
            <w:shd w:val="clear" w:color="auto" w:fill="auto"/>
            <w:noWrap/>
            <w:vAlign w:val="bottom"/>
            <w:hideMark/>
          </w:tcPr>
          <w:p w14:paraId="63A09CE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112.7</w:t>
            </w:r>
          </w:p>
        </w:tc>
      </w:tr>
      <w:tr w:rsidR="00F26016" w:rsidRPr="00F26016" w14:paraId="55AEBA0C" w14:textId="77777777" w:rsidTr="00F26016">
        <w:trPr>
          <w:trHeight w:val="300"/>
        </w:trPr>
        <w:tc>
          <w:tcPr>
            <w:tcW w:w="1140" w:type="dxa"/>
            <w:tcBorders>
              <w:top w:val="nil"/>
              <w:left w:val="nil"/>
              <w:bottom w:val="nil"/>
              <w:right w:val="nil"/>
            </w:tcBorders>
            <w:shd w:val="clear" w:color="auto" w:fill="auto"/>
            <w:noWrap/>
            <w:hideMark/>
          </w:tcPr>
          <w:p w14:paraId="1991722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w:t>
            </w:r>
          </w:p>
        </w:tc>
        <w:tc>
          <w:tcPr>
            <w:tcW w:w="1200" w:type="dxa"/>
            <w:tcBorders>
              <w:top w:val="nil"/>
              <w:left w:val="nil"/>
              <w:bottom w:val="nil"/>
              <w:right w:val="nil"/>
            </w:tcBorders>
            <w:shd w:val="clear" w:color="auto" w:fill="auto"/>
            <w:noWrap/>
            <w:hideMark/>
          </w:tcPr>
          <w:p w14:paraId="7BD3E427"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0AE4A4A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008D778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4E2E6BB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65E78C9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7F08A5B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09CA2DC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2C4C06E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201.1</w:t>
            </w:r>
          </w:p>
        </w:tc>
        <w:tc>
          <w:tcPr>
            <w:tcW w:w="920" w:type="dxa"/>
            <w:tcBorders>
              <w:top w:val="nil"/>
              <w:left w:val="nil"/>
              <w:bottom w:val="nil"/>
              <w:right w:val="nil"/>
            </w:tcBorders>
            <w:shd w:val="clear" w:color="auto" w:fill="auto"/>
            <w:noWrap/>
            <w:vAlign w:val="bottom"/>
            <w:hideMark/>
          </w:tcPr>
          <w:p w14:paraId="7BB0FE2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60.3</w:t>
            </w:r>
          </w:p>
        </w:tc>
        <w:tc>
          <w:tcPr>
            <w:tcW w:w="741" w:type="dxa"/>
            <w:tcBorders>
              <w:top w:val="nil"/>
              <w:left w:val="nil"/>
              <w:bottom w:val="nil"/>
              <w:right w:val="nil"/>
            </w:tcBorders>
            <w:shd w:val="clear" w:color="auto" w:fill="auto"/>
            <w:noWrap/>
            <w:vAlign w:val="bottom"/>
            <w:hideMark/>
          </w:tcPr>
          <w:p w14:paraId="5012967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27.4</w:t>
            </w:r>
          </w:p>
        </w:tc>
        <w:tc>
          <w:tcPr>
            <w:tcW w:w="785" w:type="dxa"/>
            <w:tcBorders>
              <w:top w:val="nil"/>
              <w:left w:val="nil"/>
              <w:bottom w:val="nil"/>
              <w:right w:val="nil"/>
            </w:tcBorders>
            <w:shd w:val="clear" w:color="auto" w:fill="auto"/>
            <w:noWrap/>
            <w:vAlign w:val="bottom"/>
            <w:hideMark/>
          </w:tcPr>
          <w:p w14:paraId="74229ED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21.1</w:t>
            </w:r>
          </w:p>
        </w:tc>
        <w:tc>
          <w:tcPr>
            <w:tcW w:w="732" w:type="dxa"/>
            <w:tcBorders>
              <w:top w:val="nil"/>
              <w:left w:val="nil"/>
              <w:bottom w:val="nil"/>
              <w:right w:val="nil"/>
            </w:tcBorders>
            <w:shd w:val="clear" w:color="auto" w:fill="auto"/>
            <w:noWrap/>
            <w:vAlign w:val="bottom"/>
            <w:hideMark/>
          </w:tcPr>
          <w:p w14:paraId="6F3512A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277.3</w:t>
            </w:r>
          </w:p>
        </w:tc>
        <w:tc>
          <w:tcPr>
            <w:tcW w:w="860" w:type="dxa"/>
            <w:tcBorders>
              <w:top w:val="nil"/>
              <w:left w:val="nil"/>
              <w:bottom w:val="nil"/>
              <w:right w:val="nil"/>
            </w:tcBorders>
            <w:shd w:val="clear" w:color="auto" w:fill="auto"/>
            <w:noWrap/>
            <w:vAlign w:val="bottom"/>
            <w:hideMark/>
          </w:tcPr>
          <w:p w14:paraId="621A258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166.1</w:t>
            </w:r>
          </w:p>
        </w:tc>
        <w:tc>
          <w:tcPr>
            <w:tcW w:w="960" w:type="dxa"/>
            <w:tcBorders>
              <w:top w:val="nil"/>
              <w:left w:val="nil"/>
              <w:bottom w:val="nil"/>
              <w:right w:val="nil"/>
            </w:tcBorders>
            <w:shd w:val="clear" w:color="auto" w:fill="auto"/>
            <w:noWrap/>
            <w:vAlign w:val="bottom"/>
            <w:hideMark/>
          </w:tcPr>
          <w:p w14:paraId="201E8C2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38.0</w:t>
            </w:r>
          </w:p>
        </w:tc>
        <w:tc>
          <w:tcPr>
            <w:tcW w:w="689" w:type="dxa"/>
            <w:tcBorders>
              <w:top w:val="nil"/>
              <w:left w:val="nil"/>
              <w:bottom w:val="nil"/>
              <w:right w:val="nil"/>
            </w:tcBorders>
            <w:shd w:val="clear" w:color="auto" w:fill="auto"/>
            <w:noWrap/>
            <w:vAlign w:val="bottom"/>
            <w:hideMark/>
          </w:tcPr>
          <w:p w14:paraId="4EF475E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w:t>
            </w:r>
          </w:p>
        </w:tc>
        <w:tc>
          <w:tcPr>
            <w:tcW w:w="1000" w:type="dxa"/>
            <w:tcBorders>
              <w:top w:val="nil"/>
              <w:left w:val="nil"/>
              <w:bottom w:val="nil"/>
              <w:right w:val="nil"/>
            </w:tcBorders>
            <w:shd w:val="clear" w:color="auto" w:fill="auto"/>
            <w:noWrap/>
            <w:vAlign w:val="bottom"/>
            <w:hideMark/>
          </w:tcPr>
          <w:p w14:paraId="135C442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161.8</w:t>
            </w:r>
          </w:p>
        </w:tc>
      </w:tr>
      <w:tr w:rsidR="00F26016" w:rsidRPr="00F26016" w14:paraId="5267B373" w14:textId="77777777" w:rsidTr="00F26016">
        <w:trPr>
          <w:trHeight w:val="300"/>
        </w:trPr>
        <w:tc>
          <w:tcPr>
            <w:tcW w:w="1140" w:type="dxa"/>
            <w:tcBorders>
              <w:top w:val="nil"/>
              <w:left w:val="nil"/>
              <w:bottom w:val="nil"/>
              <w:right w:val="nil"/>
            </w:tcBorders>
            <w:shd w:val="clear" w:color="auto" w:fill="auto"/>
            <w:noWrap/>
            <w:hideMark/>
          </w:tcPr>
          <w:p w14:paraId="2B24353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w:t>
            </w:r>
          </w:p>
        </w:tc>
        <w:tc>
          <w:tcPr>
            <w:tcW w:w="1200" w:type="dxa"/>
            <w:tcBorders>
              <w:top w:val="nil"/>
              <w:left w:val="nil"/>
              <w:bottom w:val="nil"/>
              <w:right w:val="nil"/>
            </w:tcBorders>
            <w:shd w:val="clear" w:color="auto" w:fill="auto"/>
            <w:noWrap/>
            <w:hideMark/>
          </w:tcPr>
          <w:p w14:paraId="2719D360"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24CEC84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2BE6A47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4A410E9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3CD8FBF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6B46EF0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1B4D81A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07743C9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7.9</w:t>
            </w:r>
          </w:p>
        </w:tc>
        <w:tc>
          <w:tcPr>
            <w:tcW w:w="920" w:type="dxa"/>
            <w:tcBorders>
              <w:top w:val="nil"/>
              <w:left w:val="nil"/>
              <w:bottom w:val="nil"/>
              <w:right w:val="nil"/>
            </w:tcBorders>
            <w:shd w:val="clear" w:color="auto" w:fill="auto"/>
            <w:noWrap/>
            <w:vAlign w:val="bottom"/>
            <w:hideMark/>
          </w:tcPr>
          <w:p w14:paraId="11451A9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29.9</w:t>
            </w:r>
          </w:p>
        </w:tc>
        <w:tc>
          <w:tcPr>
            <w:tcW w:w="741" w:type="dxa"/>
            <w:tcBorders>
              <w:top w:val="nil"/>
              <w:left w:val="nil"/>
              <w:bottom w:val="nil"/>
              <w:right w:val="nil"/>
            </w:tcBorders>
            <w:shd w:val="clear" w:color="auto" w:fill="auto"/>
            <w:noWrap/>
            <w:vAlign w:val="bottom"/>
            <w:hideMark/>
          </w:tcPr>
          <w:p w14:paraId="2318D88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23.0</w:t>
            </w:r>
          </w:p>
        </w:tc>
        <w:tc>
          <w:tcPr>
            <w:tcW w:w="785" w:type="dxa"/>
            <w:tcBorders>
              <w:top w:val="nil"/>
              <w:left w:val="nil"/>
              <w:bottom w:val="nil"/>
              <w:right w:val="nil"/>
            </w:tcBorders>
            <w:shd w:val="clear" w:color="auto" w:fill="auto"/>
            <w:noWrap/>
            <w:vAlign w:val="bottom"/>
            <w:hideMark/>
          </w:tcPr>
          <w:p w14:paraId="0B36D70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25.2</w:t>
            </w:r>
          </w:p>
        </w:tc>
        <w:tc>
          <w:tcPr>
            <w:tcW w:w="732" w:type="dxa"/>
            <w:tcBorders>
              <w:top w:val="nil"/>
              <w:left w:val="nil"/>
              <w:bottom w:val="nil"/>
              <w:right w:val="nil"/>
            </w:tcBorders>
            <w:shd w:val="clear" w:color="auto" w:fill="auto"/>
            <w:noWrap/>
            <w:vAlign w:val="bottom"/>
            <w:hideMark/>
          </w:tcPr>
          <w:p w14:paraId="51E425A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53.1</w:t>
            </w:r>
          </w:p>
        </w:tc>
        <w:tc>
          <w:tcPr>
            <w:tcW w:w="860" w:type="dxa"/>
            <w:tcBorders>
              <w:top w:val="nil"/>
              <w:left w:val="nil"/>
              <w:bottom w:val="nil"/>
              <w:right w:val="nil"/>
            </w:tcBorders>
            <w:shd w:val="clear" w:color="auto" w:fill="auto"/>
            <w:noWrap/>
            <w:vAlign w:val="bottom"/>
            <w:hideMark/>
          </w:tcPr>
          <w:p w14:paraId="38851FA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34.7</w:t>
            </w:r>
          </w:p>
        </w:tc>
        <w:tc>
          <w:tcPr>
            <w:tcW w:w="960" w:type="dxa"/>
            <w:tcBorders>
              <w:top w:val="nil"/>
              <w:left w:val="nil"/>
              <w:bottom w:val="nil"/>
              <w:right w:val="nil"/>
            </w:tcBorders>
            <w:shd w:val="clear" w:color="auto" w:fill="auto"/>
            <w:noWrap/>
            <w:vAlign w:val="bottom"/>
            <w:hideMark/>
          </w:tcPr>
          <w:p w14:paraId="661D2FE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14.8</w:t>
            </w:r>
          </w:p>
        </w:tc>
        <w:tc>
          <w:tcPr>
            <w:tcW w:w="689" w:type="dxa"/>
            <w:tcBorders>
              <w:top w:val="nil"/>
              <w:left w:val="nil"/>
              <w:bottom w:val="nil"/>
              <w:right w:val="nil"/>
            </w:tcBorders>
            <w:shd w:val="clear" w:color="auto" w:fill="auto"/>
            <w:noWrap/>
            <w:vAlign w:val="bottom"/>
            <w:hideMark/>
          </w:tcPr>
          <w:p w14:paraId="08C374A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32.4</w:t>
            </w:r>
          </w:p>
        </w:tc>
        <w:tc>
          <w:tcPr>
            <w:tcW w:w="1000" w:type="dxa"/>
            <w:tcBorders>
              <w:top w:val="nil"/>
              <w:left w:val="nil"/>
              <w:bottom w:val="nil"/>
              <w:right w:val="nil"/>
            </w:tcBorders>
            <w:shd w:val="clear" w:color="auto" w:fill="auto"/>
            <w:noWrap/>
            <w:vAlign w:val="bottom"/>
            <w:hideMark/>
          </w:tcPr>
          <w:p w14:paraId="4D5F0C4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139.8</w:t>
            </w:r>
          </w:p>
        </w:tc>
      </w:tr>
      <w:tr w:rsidR="00F26016" w:rsidRPr="00F26016" w14:paraId="25D41A07" w14:textId="77777777" w:rsidTr="00F26016">
        <w:trPr>
          <w:trHeight w:val="300"/>
        </w:trPr>
        <w:tc>
          <w:tcPr>
            <w:tcW w:w="1140" w:type="dxa"/>
            <w:tcBorders>
              <w:top w:val="nil"/>
              <w:left w:val="nil"/>
              <w:bottom w:val="nil"/>
              <w:right w:val="nil"/>
            </w:tcBorders>
            <w:shd w:val="clear" w:color="auto" w:fill="auto"/>
            <w:noWrap/>
            <w:hideMark/>
          </w:tcPr>
          <w:p w14:paraId="6F5C159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w:t>
            </w:r>
          </w:p>
        </w:tc>
        <w:tc>
          <w:tcPr>
            <w:tcW w:w="1200" w:type="dxa"/>
            <w:tcBorders>
              <w:top w:val="nil"/>
              <w:left w:val="nil"/>
              <w:bottom w:val="nil"/>
              <w:right w:val="nil"/>
            </w:tcBorders>
            <w:shd w:val="clear" w:color="auto" w:fill="auto"/>
            <w:noWrap/>
            <w:hideMark/>
          </w:tcPr>
          <w:p w14:paraId="3AB4773A"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384EC93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4189C7A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5DBC290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167DEA1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7789A52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7691C99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51EFB2F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58.0</w:t>
            </w:r>
          </w:p>
        </w:tc>
        <w:tc>
          <w:tcPr>
            <w:tcW w:w="920" w:type="dxa"/>
            <w:tcBorders>
              <w:top w:val="nil"/>
              <w:left w:val="nil"/>
              <w:bottom w:val="nil"/>
              <w:right w:val="nil"/>
            </w:tcBorders>
            <w:shd w:val="clear" w:color="auto" w:fill="auto"/>
            <w:noWrap/>
            <w:vAlign w:val="bottom"/>
            <w:hideMark/>
          </w:tcPr>
          <w:p w14:paraId="73B0C8F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138.5</w:t>
            </w:r>
          </w:p>
        </w:tc>
        <w:tc>
          <w:tcPr>
            <w:tcW w:w="741" w:type="dxa"/>
            <w:tcBorders>
              <w:top w:val="nil"/>
              <w:left w:val="nil"/>
              <w:bottom w:val="nil"/>
              <w:right w:val="nil"/>
            </w:tcBorders>
            <w:shd w:val="clear" w:color="auto" w:fill="auto"/>
            <w:noWrap/>
            <w:vAlign w:val="bottom"/>
            <w:hideMark/>
          </w:tcPr>
          <w:p w14:paraId="601A06B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197.0</w:t>
            </w:r>
          </w:p>
        </w:tc>
        <w:tc>
          <w:tcPr>
            <w:tcW w:w="785" w:type="dxa"/>
            <w:tcBorders>
              <w:top w:val="nil"/>
              <w:left w:val="nil"/>
              <w:bottom w:val="nil"/>
              <w:right w:val="nil"/>
            </w:tcBorders>
            <w:shd w:val="clear" w:color="auto" w:fill="auto"/>
            <w:noWrap/>
            <w:vAlign w:val="bottom"/>
            <w:hideMark/>
          </w:tcPr>
          <w:p w14:paraId="61807EC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86.8</w:t>
            </w:r>
          </w:p>
        </w:tc>
        <w:tc>
          <w:tcPr>
            <w:tcW w:w="732" w:type="dxa"/>
            <w:tcBorders>
              <w:top w:val="nil"/>
              <w:left w:val="nil"/>
              <w:bottom w:val="nil"/>
              <w:right w:val="nil"/>
            </w:tcBorders>
            <w:shd w:val="clear" w:color="auto" w:fill="auto"/>
            <w:noWrap/>
            <w:vAlign w:val="bottom"/>
            <w:hideMark/>
          </w:tcPr>
          <w:p w14:paraId="198DAD5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72.6</w:t>
            </w:r>
          </w:p>
        </w:tc>
        <w:tc>
          <w:tcPr>
            <w:tcW w:w="860" w:type="dxa"/>
            <w:tcBorders>
              <w:top w:val="nil"/>
              <w:left w:val="nil"/>
              <w:bottom w:val="nil"/>
              <w:right w:val="nil"/>
            </w:tcBorders>
            <w:shd w:val="clear" w:color="auto" w:fill="auto"/>
            <w:noWrap/>
            <w:vAlign w:val="bottom"/>
            <w:hideMark/>
          </w:tcPr>
          <w:p w14:paraId="6B4053F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143.6</w:t>
            </w:r>
          </w:p>
        </w:tc>
        <w:tc>
          <w:tcPr>
            <w:tcW w:w="960" w:type="dxa"/>
            <w:tcBorders>
              <w:top w:val="nil"/>
              <w:left w:val="nil"/>
              <w:bottom w:val="nil"/>
              <w:right w:val="nil"/>
            </w:tcBorders>
            <w:shd w:val="clear" w:color="auto" w:fill="auto"/>
            <w:noWrap/>
            <w:vAlign w:val="bottom"/>
            <w:hideMark/>
          </w:tcPr>
          <w:p w14:paraId="1DE16D9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81.0</w:t>
            </w:r>
          </w:p>
        </w:tc>
        <w:tc>
          <w:tcPr>
            <w:tcW w:w="689" w:type="dxa"/>
            <w:tcBorders>
              <w:top w:val="nil"/>
              <w:left w:val="nil"/>
              <w:bottom w:val="nil"/>
              <w:right w:val="nil"/>
            </w:tcBorders>
            <w:shd w:val="clear" w:color="auto" w:fill="auto"/>
            <w:noWrap/>
            <w:vAlign w:val="bottom"/>
            <w:hideMark/>
          </w:tcPr>
          <w:p w14:paraId="6C360B4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158.9</w:t>
            </w:r>
          </w:p>
        </w:tc>
        <w:tc>
          <w:tcPr>
            <w:tcW w:w="1000" w:type="dxa"/>
            <w:tcBorders>
              <w:top w:val="nil"/>
              <w:left w:val="nil"/>
              <w:bottom w:val="nil"/>
              <w:right w:val="nil"/>
            </w:tcBorders>
            <w:shd w:val="clear" w:color="auto" w:fill="auto"/>
            <w:noWrap/>
            <w:vAlign w:val="bottom"/>
            <w:hideMark/>
          </w:tcPr>
          <w:p w14:paraId="705C73D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116.7</w:t>
            </w:r>
          </w:p>
        </w:tc>
      </w:tr>
      <w:tr w:rsidR="00F26016" w:rsidRPr="00F26016" w14:paraId="3C8F6B47" w14:textId="77777777" w:rsidTr="00F26016">
        <w:trPr>
          <w:trHeight w:val="300"/>
        </w:trPr>
        <w:tc>
          <w:tcPr>
            <w:tcW w:w="1140" w:type="dxa"/>
            <w:tcBorders>
              <w:top w:val="nil"/>
              <w:left w:val="nil"/>
              <w:bottom w:val="nil"/>
              <w:right w:val="nil"/>
            </w:tcBorders>
            <w:shd w:val="clear" w:color="auto" w:fill="auto"/>
            <w:noWrap/>
            <w:hideMark/>
          </w:tcPr>
          <w:p w14:paraId="54F7572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w:t>
            </w:r>
          </w:p>
        </w:tc>
        <w:tc>
          <w:tcPr>
            <w:tcW w:w="1200" w:type="dxa"/>
            <w:tcBorders>
              <w:top w:val="nil"/>
              <w:left w:val="nil"/>
              <w:bottom w:val="nil"/>
              <w:right w:val="nil"/>
            </w:tcBorders>
            <w:shd w:val="clear" w:color="auto" w:fill="auto"/>
            <w:noWrap/>
            <w:hideMark/>
          </w:tcPr>
          <w:p w14:paraId="2FD87B58"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1F00AD9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780F824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06056EC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1978914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416B273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46CC469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25BBFD7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330.9</w:t>
            </w:r>
          </w:p>
        </w:tc>
        <w:tc>
          <w:tcPr>
            <w:tcW w:w="920" w:type="dxa"/>
            <w:tcBorders>
              <w:top w:val="nil"/>
              <w:left w:val="nil"/>
              <w:bottom w:val="nil"/>
              <w:right w:val="nil"/>
            </w:tcBorders>
            <w:shd w:val="clear" w:color="auto" w:fill="auto"/>
            <w:noWrap/>
            <w:vAlign w:val="bottom"/>
            <w:hideMark/>
          </w:tcPr>
          <w:p w14:paraId="37F8BC4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34.7</w:t>
            </w:r>
          </w:p>
        </w:tc>
        <w:tc>
          <w:tcPr>
            <w:tcW w:w="741" w:type="dxa"/>
            <w:tcBorders>
              <w:top w:val="nil"/>
              <w:left w:val="nil"/>
              <w:bottom w:val="nil"/>
              <w:right w:val="nil"/>
            </w:tcBorders>
            <w:shd w:val="clear" w:color="auto" w:fill="auto"/>
            <w:noWrap/>
            <w:vAlign w:val="bottom"/>
            <w:hideMark/>
          </w:tcPr>
          <w:p w14:paraId="5C5C43D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36.9</w:t>
            </w:r>
          </w:p>
        </w:tc>
        <w:tc>
          <w:tcPr>
            <w:tcW w:w="785" w:type="dxa"/>
            <w:tcBorders>
              <w:top w:val="nil"/>
              <w:left w:val="nil"/>
              <w:bottom w:val="nil"/>
              <w:right w:val="nil"/>
            </w:tcBorders>
            <w:shd w:val="clear" w:color="auto" w:fill="auto"/>
            <w:noWrap/>
            <w:vAlign w:val="bottom"/>
            <w:hideMark/>
          </w:tcPr>
          <w:p w14:paraId="5AA36A9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18.5</w:t>
            </w:r>
          </w:p>
        </w:tc>
        <w:tc>
          <w:tcPr>
            <w:tcW w:w="732" w:type="dxa"/>
            <w:tcBorders>
              <w:top w:val="nil"/>
              <w:left w:val="nil"/>
              <w:bottom w:val="nil"/>
              <w:right w:val="nil"/>
            </w:tcBorders>
            <w:shd w:val="clear" w:color="auto" w:fill="auto"/>
            <w:noWrap/>
            <w:vAlign w:val="bottom"/>
            <w:hideMark/>
          </w:tcPr>
          <w:p w14:paraId="4A3D1AB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1004.6</w:t>
            </w:r>
          </w:p>
        </w:tc>
        <w:tc>
          <w:tcPr>
            <w:tcW w:w="860" w:type="dxa"/>
            <w:tcBorders>
              <w:top w:val="nil"/>
              <w:left w:val="nil"/>
              <w:bottom w:val="nil"/>
              <w:right w:val="nil"/>
            </w:tcBorders>
            <w:shd w:val="clear" w:color="auto" w:fill="auto"/>
            <w:noWrap/>
            <w:vAlign w:val="bottom"/>
            <w:hideMark/>
          </w:tcPr>
          <w:p w14:paraId="2537B67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211.4</w:t>
            </w:r>
          </w:p>
        </w:tc>
        <w:tc>
          <w:tcPr>
            <w:tcW w:w="960" w:type="dxa"/>
            <w:tcBorders>
              <w:top w:val="nil"/>
              <w:left w:val="nil"/>
              <w:bottom w:val="nil"/>
              <w:right w:val="nil"/>
            </w:tcBorders>
            <w:shd w:val="clear" w:color="auto" w:fill="auto"/>
            <w:noWrap/>
            <w:vAlign w:val="bottom"/>
            <w:hideMark/>
          </w:tcPr>
          <w:p w14:paraId="65603CC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47.4</w:t>
            </w:r>
          </w:p>
        </w:tc>
        <w:tc>
          <w:tcPr>
            <w:tcW w:w="689" w:type="dxa"/>
            <w:tcBorders>
              <w:top w:val="nil"/>
              <w:left w:val="nil"/>
              <w:bottom w:val="nil"/>
              <w:right w:val="nil"/>
            </w:tcBorders>
            <w:shd w:val="clear" w:color="auto" w:fill="auto"/>
            <w:noWrap/>
            <w:vAlign w:val="bottom"/>
            <w:hideMark/>
          </w:tcPr>
          <w:p w14:paraId="3808DC6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14.4</w:t>
            </w:r>
          </w:p>
        </w:tc>
        <w:tc>
          <w:tcPr>
            <w:tcW w:w="1000" w:type="dxa"/>
            <w:tcBorders>
              <w:top w:val="nil"/>
              <w:left w:val="nil"/>
              <w:bottom w:val="nil"/>
              <w:right w:val="nil"/>
            </w:tcBorders>
            <w:shd w:val="clear" w:color="auto" w:fill="auto"/>
            <w:noWrap/>
            <w:vAlign w:val="bottom"/>
            <w:hideMark/>
          </w:tcPr>
          <w:p w14:paraId="46FB94F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143.8</w:t>
            </w:r>
          </w:p>
        </w:tc>
      </w:tr>
      <w:tr w:rsidR="00F26016" w:rsidRPr="00F26016" w14:paraId="06B52490" w14:textId="77777777" w:rsidTr="00F26016">
        <w:trPr>
          <w:trHeight w:val="300"/>
        </w:trPr>
        <w:tc>
          <w:tcPr>
            <w:tcW w:w="1140" w:type="dxa"/>
            <w:tcBorders>
              <w:top w:val="nil"/>
              <w:left w:val="nil"/>
              <w:bottom w:val="nil"/>
              <w:right w:val="nil"/>
            </w:tcBorders>
            <w:shd w:val="clear" w:color="auto" w:fill="auto"/>
            <w:noWrap/>
            <w:hideMark/>
          </w:tcPr>
          <w:p w14:paraId="6513539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w:t>
            </w:r>
          </w:p>
        </w:tc>
        <w:tc>
          <w:tcPr>
            <w:tcW w:w="1200" w:type="dxa"/>
            <w:tcBorders>
              <w:top w:val="nil"/>
              <w:left w:val="nil"/>
              <w:bottom w:val="nil"/>
              <w:right w:val="nil"/>
            </w:tcBorders>
            <w:shd w:val="clear" w:color="auto" w:fill="auto"/>
            <w:noWrap/>
            <w:hideMark/>
          </w:tcPr>
          <w:p w14:paraId="3179B42C"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2501D54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5260B23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62A2514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08160F4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5155E16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66B408F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23CA18C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920" w:type="dxa"/>
            <w:tcBorders>
              <w:top w:val="nil"/>
              <w:left w:val="nil"/>
              <w:bottom w:val="nil"/>
              <w:right w:val="nil"/>
            </w:tcBorders>
            <w:shd w:val="clear" w:color="auto" w:fill="auto"/>
            <w:noWrap/>
            <w:vAlign w:val="bottom"/>
            <w:hideMark/>
          </w:tcPr>
          <w:p w14:paraId="1B251A4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39.5</w:t>
            </w:r>
          </w:p>
        </w:tc>
        <w:tc>
          <w:tcPr>
            <w:tcW w:w="741" w:type="dxa"/>
            <w:tcBorders>
              <w:top w:val="nil"/>
              <w:left w:val="nil"/>
              <w:bottom w:val="nil"/>
              <w:right w:val="nil"/>
            </w:tcBorders>
            <w:shd w:val="clear" w:color="auto" w:fill="auto"/>
            <w:noWrap/>
            <w:vAlign w:val="bottom"/>
            <w:hideMark/>
          </w:tcPr>
          <w:p w14:paraId="796CFD8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23.3</w:t>
            </w:r>
          </w:p>
        </w:tc>
        <w:tc>
          <w:tcPr>
            <w:tcW w:w="785" w:type="dxa"/>
            <w:tcBorders>
              <w:top w:val="nil"/>
              <w:left w:val="nil"/>
              <w:bottom w:val="nil"/>
              <w:right w:val="nil"/>
            </w:tcBorders>
            <w:shd w:val="clear" w:color="auto" w:fill="auto"/>
            <w:noWrap/>
            <w:vAlign w:val="bottom"/>
            <w:hideMark/>
          </w:tcPr>
          <w:p w14:paraId="65476D6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32.0</w:t>
            </w:r>
          </w:p>
        </w:tc>
        <w:tc>
          <w:tcPr>
            <w:tcW w:w="732" w:type="dxa"/>
            <w:tcBorders>
              <w:top w:val="nil"/>
              <w:left w:val="nil"/>
              <w:bottom w:val="nil"/>
              <w:right w:val="nil"/>
            </w:tcBorders>
            <w:shd w:val="clear" w:color="auto" w:fill="auto"/>
            <w:noWrap/>
            <w:vAlign w:val="bottom"/>
            <w:hideMark/>
          </w:tcPr>
          <w:p w14:paraId="003BD86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62.3</w:t>
            </w:r>
          </w:p>
        </w:tc>
        <w:tc>
          <w:tcPr>
            <w:tcW w:w="860" w:type="dxa"/>
            <w:tcBorders>
              <w:top w:val="nil"/>
              <w:left w:val="nil"/>
              <w:bottom w:val="nil"/>
              <w:right w:val="nil"/>
            </w:tcBorders>
            <w:shd w:val="clear" w:color="auto" w:fill="auto"/>
            <w:noWrap/>
            <w:vAlign w:val="bottom"/>
            <w:hideMark/>
          </w:tcPr>
          <w:p w14:paraId="12EA1A8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24.2</w:t>
            </w:r>
          </w:p>
        </w:tc>
        <w:tc>
          <w:tcPr>
            <w:tcW w:w="960" w:type="dxa"/>
            <w:tcBorders>
              <w:top w:val="nil"/>
              <w:left w:val="nil"/>
              <w:bottom w:val="nil"/>
              <w:right w:val="nil"/>
            </w:tcBorders>
            <w:shd w:val="clear" w:color="auto" w:fill="auto"/>
            <w:noWrap/>
            <w:vAlign w:val="bottom"/>
            <w:hideMark/>
          </w:tcPr>
          <w:p w14:paraId="3A0758A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19.1</w:t>
            </w:r>
          </w:p>
        </w:tc>
        <w:tc>
          <w:tcPr>
            <w:tcW w:w="689" w:type="dxa"/>
            <w:tcBorders>
              <w:top w:val="nil"/>
              <w:left w:val="nil"/>
              <w:bottom w:val="nil"/>
              <w:right w:val="nil"/>
            </w:tcBorders>
            <w:shd w:val="clear" w:color="auto" w:fill="auto"/>
            <w:noWrap/>
            <w:vAlign w:val="bottom"/>
            <w:hideMark/>
          </w:tcPr>
          <w:p w14:paraId="46DFB5D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17.7</w:t>
            </w:r>
          </w:p>
        </w:tc>
        <w:tc>
          <w:tcPr>
            <w:tcW w:w="1000" w:type="dxa"/>
            <w:tcBorders>
              <w:top w:val="nil"/>
              <w:left w:val="nil"/>
              <w:bottom w:val="nil"/>
              <w:right w:val="nil"/>
            </w:tcBorders>
            <w:shd w:val="clear" w:color="auto" w:fill="auto"/>
            <w:noWrap/>
            <w:vAlign w:val="bottom"/>
            <w:hideMark/>
          </w:tcPr>
          <w:p w14:paraId="0F4FE29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148.6</w:t>
            </w:r>
          </w:p>
        </w:tc>
      </w:tr>
      <w:tr w:rsidR="00F26016" w:rsidRPr="00F26016" w14:paraId="5BB1F8E5" w14:textId="77777777" w:rsidTr="00F26016">
        <w:trPr>
          <w:trHeight w:val="300"/>
        </w:trPr>
        <w:tc>
          <w:tcPr>
            <w:tcW w:w="1140" w:type="dxa"/>
            <w:tcBorders>
              <w:top w:val="nil"/>
              <w:left w:val="nil"/>
              <w:bottom w:val="nil"/>
              <w:right w:val="nil"/>
            </w:tcBorders>
            <w:shd w:val="clear" w:color="auto" w:fill="auto"/>
            <w:noWrap/>
            <w:hideMark/>
          </w:tcPr>
          <w:p w14:paraId="6E484A0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w:t>
            </w:r>
          </w:p>
        </w:tc>
        <w:tc>
          <w:tcPr>
            <w:tcW w:w="1200" w:type="dxa"/>
            <w:tcBorders>
              <w:top w:val="nil"/>
              <w:left w:val="nil"/>
              <w:bottom w:val="nil"/>
              <w:right w:val="nil"/>
            </w:tcBorders>
            <w:shd w:val="clear" w:color="auto" w:fill="auto"/>
            <w:noWrap/>
            <w:hideMark/>
          </w:tcPr>
          <w:p w14:paraId="664CE4B4"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2EEEB87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1727765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5FF48C0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43ADA66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77D511B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4416371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234CF08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77.4</w:t>
            </w:r>
          </w:p>
        </w:tc>
        <w:tc>
          <w:tcPr>
            <w:tcW w:w="920" w:type="dxa"/>
            <w:tcBorders>
              <w:top w:val="nil"/>
              <w:left w:val="nil"/>
              <w:bottom w:val="nil"/>
              <w:right w:val="nil"/>
            </w:tcBorders>
            <w:shd w:val="clear" w:color="auto" w:fill="auto"/>
            <w:noWrap/>
            <w:vAlign w:val="bottom"/>
            <w:hideMark/>
          </w:tcPr>
          <w:p w14:paraId="59B4768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146.4</w:t>
            </w:r>
          </w:p>
        </w:tc>
        <w:tc>
          <w:tcPr>
            <w:tcW w:w="741" w:type="dxa"/>
            <w:tcBorders>
              <w:top w:val="nil"/>
              <w:left w:val="nil"/>
              <w:bottom w:val="nil"/>
              <w:right w:val="nil"/>
            </w:tcBorders>
            <w:shd w:val="clear" w:color="auto" w:fill="auto"/>
            <w:noWrap/>
            <w:vAlign w:val="bottom"/>
            <w:hideMark/>
          </w:tcPr>
          <w:p w14:paraId="7B352E0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249.5</w:t>
            </w:r>
          </w:p>
        </w:tc>
        <w:tc>
          <w:tcPr>
            <w:tcW w:w="785" w:type="dxa"/>
            <w:tcBorders>
              <w:top w:val="nil"/>
              <w:left w:val="nil"/>
              <w:bottom w:val="nil"/>
              <w:right w:val="nil"/>
            </w:tcBorders>
            <w:shd w:val="clear" w:color="auto" w:fill="auto"/>
            <w:noWrap/>
            <w:vAlign w:val="bottom"/>
            <w:hideMark/>
          </w:tcPr>
          <w:p w14:paraId="4233B9D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100.3</w:t>
            </w:r>
          </w:p>
        </w:tc>
        <w:tc>
          <w:tcPr>
            <w:tcW w:w="732" w:type="dxa"/>
            <w:tcBorders>
              <w:top w:val="nil"/>
              <w:left w:val="nil"/>
              <w:bottom w:val="nil"/>
              <w:right w:val="nil"/>
            </w:tcBorders>
            <w:shd w:val="clear" w:color="auto" w:fill="auto"/>
            <w:noWrap/>
            <w:vAlign w:val="bottom"/>
            <w:hideMark/>
          </w:tcPr>
          <w:p w14:paraId="556CDA7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120.0</w:t>
            </w:r>
          </w:p>
        </w:tc>
        <w:tc>
          <w:tcPr>
            <w:tcW w:w="860" w:type="dxa"/>
            <w:tcBorders>
              <w:top w:val="nil"/>
              <w:left w:val="nil"/>
              <w:bottom w:val="nil"/>
              <w:right w:val="nil"/>
            </w:tcBorders>
            <w:shd w:val="clear" w:color="auto" w:fill="auto"/>
            <w:noWrap/>
            <w:vAlign w:val="bottom"/>
            <w:hideMark/>
          </w:tcPr>
          <w:p w14:paraId="4C053ED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167.3</w:t>
            </w:r>
          </w:p>
        </w:tc>
        <w:tc>
          <w:tcPr>
            <w:tcW w:w="960" w:type="dxa"/>
            <w:tcBorders>
              <w:top w:val="nil"/>
              <w:left w:val="nil"/>
              <w:bottom w:val="nil"/>
              <w:right w:val="nil"/>
            </w:tcBorders>
            <w:shd w:val="clear" w:color="auto" w:fill="auto"/>
            <w:noWrap/>
            <w:vAlign w:val="bottom"/>
            <w:hideMark/>
          </w:tcPr>
          <w:p w14:paraId="0048F93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64.8</w:t>
            </w:r>
          </w:p>
        </w:tc>
        <w:tc>
          <w:tcPr>
            <w:tcW w:w="689" w:type="dxa"/>
            <w:tcBorders>
              <w:top w:val="nil"/>
              <w:left w:val="nil"/>
              <w:bottom w:val="nil"/>
              <w:right w:val="nil"/>
            </w:tcBorders>
            <w:shd w:val="clear" w:color="auto" w:fill="auto"/>
            <w:noWrap/>
            <w:vAlign w:val="bottom"/>
            <w:hideMark/>
          </w:tcPr>
          <w:p w14:paraId="0A8D08B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228.9</w:t>
            </w:r>
          </w:p>
        </w:tc>
        <w:tc>
          <w:tcPr>
            <w:tcW w:w="1000" w:type="dxa"/>
            <w:tcBorders>
              <w:top w:val="nil"/>
              <w:left w:val="nil"/>
              <w:bottom w:val="nil"/>
              <w:right w:val="nil"/>
            </w:tcBorders>
            <w:shd w:val="clear" w:color="auto" w:fill="auto"/>
            <w:noWrap/>
            <w:vAlign w:val="bottom"/>
            <w:hideMark/>
          </w:tcPr>
          <w:p w14:paraId="5F9469F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110.4</w:t>
            </w:r>
          </w:p>
        </w:tc>
      </w:tr>
      <w:tr w:rsidR="00F26016" w:rsidRPr="00F26016" w14:paraId="07BFBBFA" w14:textId="77777777" w:rsidTr="00F26016">
        <w:trPr>
          <w:trHeight w:val="300"/>
        </w:trPr>
        <w:tc>
          <w:tcPr>
            <w:tcW w:w="1140" w:type="dxa"/>
            <w:tcBorders>
              <w:top w:val="nil"/>
              <w:left w:val="nil"/>
              <w:bottom w:val="nil"/>
              <w:right w:val="nil"/>
            </w:tcBorders>
            <w:shd w:val="clear" w:color="auto" w:fill="auto"/>
            <w:noWrap/>
            <w:hideMark/>
          </w:tcPr>
          <w:p w14:paraId="55A6416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w:t>
            </w:r>
          </w:p>
        </w:tc>
        <w:tc>
          <w:tcPr>
            <w:tcW w:w="1200" w:type="dxa"/>
            <w:tcBorders>
              <w:top w:val="nil"/>
              <w:left w:val="nil"/>
              <w:bottom w:val="nil"/>
              <w:right w:val="nil"/>
            </w:tcBorders>
            <w:shd w:val="clear" w:color="auto" w:fill="auto"/>
            <w:noWrap/>
            <w:hideMark/>
          </w:tcPr>
          <w:p w14:paraId="66271E6C"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05C6FC9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3DD3E64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0536BE1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2028237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3EE590A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07EA48C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41F5ECE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158.7</w:t>
            </w:r>
          </w:p>
        </w:tc>
        <w:tc>
          <w:tcPr>
            <w:tcW w:w="920" w:type="dxa"/>
            <w:tcBorders>
              <w:top w:val="nil"/>
              <w:left w:val="nil"/>
              <w:bottom w:val="nil"/>
              <w:right w:val="nil"/>
            </w:tcBorders>
            <w:shd w:val="clear" w:color="auto" w:fill="auto"/>
            <w:noWrap/>
            <w:vAlign w:val="bottom"/>
            <w:hideMark/>
          </w:tcPr>
          <w:p w14:paraId="128E3D2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50.1</w:t>
            </w:r>
          </w:p>
        </w:tc>
        <w:tc>
          <w:tcPr>
            <w:tcW w:w="741" w:type="dxa"/>
            <w:tcBorders>
              <w:top w:val="nil"/>
              <w:left w:val="nil"/>
              <w:bottom w:val="nil"/>
              <w:right w:val="nil"/>
            </w:tcBorders>
            <w:shd w:val="clear" w:color="auto" w:fill="auto"/>
            <w:noWrap/>
            <w:vAlign w:val="bottom"/>
            <w:hideMark/>
          </w:tcPr>
          <w:p w14:paraId="75CBBAF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53.7</w:t>
            </w:r>
          </w:p>
        </w:tc>
        <w:tc>
          <w:tcPr>
            <w:tcW w:w="785" w:type="dxa"/>
            <w:tcBorders>
              <w:top w:val="nil"/>
              <w:left w:val="nil"/>
              <w:bottom w:val="nil"/>
              <w:right w:val="nil"/>
            </w:tcBorders>
            <w:shd w:val="clear" w:color="auto" w:fill="auto"/>
            <w:noWrap/>
            <w:vAlign w:val="bottom"/>
            <w:hideMark/>
          </w:tcPr>
          <w:p w14:paraId="23D11E8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63.0</w:t>
            </w:r>
          </w:p>
        </w:tc>
        <w:tc>
          <w:tcPr>
            <w:tcW w:w="732" w:type="dxa"/>
            <w:tcBorders>
              <w:top w:val="nil"/>
              <w:left w:val="nil"/>
              <w:bottom w:val="nil"/>
              <w:right w:val="nil"/>
            </w:tcBorders>
            <w:shd w:val="clear" w:color="auto" w:fill="auto"/>
            <w:noWrap/>
            <w:vAlign w:val="bottom"/>
            <w:hideMark/>
          </w:tcPr>
          <w:p w14:paraId="288CF7E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346.9</w:t>
            </w:r>
          </w:p>
        </w:tc>
        <w:tc>
          <w:tcPr>
            <w:tcW w:w="860" w:type="dxa"/>
            <w:tcBorders>
              <w:top w:val="nil"/>
              <w:left w:val="nil"/>
              <w:bottom w:val="nil"/>
              <w:right w:val="nil"/>
            </w:tcBorders>
            <w:shd w:val="clear" w:color="auto" w:fill="auto"/>
            <w:noWrap/>
            <w:vAlign w:val="bottom"/>
            <w:hideMark/>
          </w:tcPr>
          <w:p w14:paraId="430E86F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267.8</w:t>
            </w:r>
          </w:p>
        </w:tc>
        <w:tc>
          <w:tcPr>
            <w:tcW w:w="960" w:type="dxa"/>
            <w:tcBorders>
              <w:top w:val="nil"/>
              <w:left w:val="nil"/>
              <w:bottom w:val="nil"/>
              <w:right w:val="nil"/>
            </w:tcBorders>
            <w:shd w:val="clear" w:color="auto" w:fill="auto"/>
            <w:noWrap/>
            <w:vAlign w:val="bottom"/>
            <w:hideMark/>
          </w:tcPr>
          <w:p w14:paraId="1F5BD6B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41.1</w:t>
            </w:r>
          </w:p>
        </w:tc>
        <w:tc>
          <w:tcPr>
            <w:tcW w:w="689" w:type="dxa"/>
            <w:tcBorders>
              <w:top w:val="nil"/>
              <w:left w:val="nil"/>
              <w:bottom w:val="nil"/>
              <w:right w:val="nil"/>
            </w:tcBorders>
            <w:shd w:val="clear" w:color="auto" w:fill="auto"/>
            <w:noWrap/>
            <w:vAlign w:val="bottom"/>
            <w:hideMark/>
          </w:tcPr>
          <w:p w14:paraId="214829E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w:t>
            </w:r>
          </w:p>
        </w:tc>
        <w:tc>
          <w:tcPr>
            <w:tcW w:w="1000" w:type="dxa"/>
            <w:tcBorders>
              <w:top w:val="nil"/>
              <w:left w:val="nil"/>
              <w:bottom w:val="nil"/>
              <w:right w:val="nil"/>
            </w:tcBorders>
            <w:shd w:val="clear" w:color="auto" w:fill="auto"/>
            <w:noWrap/>
            <w:vAlign w:val="bottom"/>
            <w:hideMark/>
          </w:tcPr>
          <w:p w14:paraId="687C687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181.8</w:t>
            </w:r>
          </w:p>
        </w:tc>
      </w:tr>
      <w:tr w:rsidR="00F26016" w:rsidRPr="00F26016" w14:paraId="60C60A2F" w14:textId="77777777" w:rsidTr="00F26016">
        <w:trPr>
          <w:trHeight w:val="300"/>
        </w:trPr>
        <w:tc>
          <w:tcPr>
            <w:tcW w:w="1140" w:type="dxa"/>
            <w:tcBorders>
              <w:top w:val="nil"/>
              <w:left w:val="nil"/>
              <w:bottom w:val="nil"/>
              <w:right w:val="nil"/>
            </w:tcBorders>
            <w:shd w:val="clear" w:color="auto" w:fill="auto"/>
            <w:noWrap/>
            <w:hideMark/>
          </w:tcPr>
          <w:p w14:paraId="619B222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w:t>
            </w:r>
          </w:p>
        </w:tc>
        <w:tc>
          <w:tcPr>
            <w:tcW w:w="1200" w:type="dxa"/>
            <w:tcBorders>
              <w:top w:val="nil"/>
              <w:left w:val="nil"/>
              <w:bottom w:val="nil"/>
              <w:right w:val="nil"/>
            </w:tcBorders>
            <w:shd w:val="clear" w:color="auto" w:fill="auto"/>
            <w:noWrap/>
            <w:hideMark/>
          </w:tcPr>
          <w:p w14:paraId="17797B06"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2A7154A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58C9120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34C4CF4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7D51075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2892D2E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23B169A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682E993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7.9</w:t>
            </w:r>
          </w:p>
        </w:tc>
        <w:tc>
          <w:tcPr>
            <w:tcW w:w="920" w:type="dxa"/>
            <w:tcBorders>
              <w:top w:val="nil"/>
              <w:left w:val="nil"/>
              <w:bottom w:val="nil"/>
              <w:right w:val="nil"/>
            </w:tcBorders>
            <w:shd w:val="clear" w:color="auto" w:fill="auto"/>
            <w:noWrap/>
            <w:vAlign w:val="bottom"/>
            <w:hideMark/>
          </w:tcPr>
          <w:p w14:paraId="5EB978C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28.1</w:t>
            </w:r>
          </w:p>
        </w:tc>
        <w:tc>
          <w:tcPr>
            <w:tcW w:w="741" w:type="dxa"/>
            <w:tcBorders>
              <w:top w:val="nil"/>
              <w:left w:val="nil"/>
              <w:bottom w:val="nil"/>
              <w:right w:val="nil"/>
            </w:tcBorders>
            <w:shd w:val="clear" w:color="auto" w:fill="auto"/>
            <w:noWrap/>
            <w:vAlign w:val="bottom"/>
            <w:hideMark/>
          </w:tcPr>
          <w:p w14:paraId="0C5B25F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28.8</w:t>
            </w:r>
          </w:p>
        </w:tc>
        <w:tc>
          <w:tcPr>
            <w:tcW w:w="785" w:type="dxa"/>
            <w:tcBorders>
              <w:top w:val="nil"/>
              <w:left w:val="nil"/>
              <w:bottom w:val="nil"/>
              <w:right w:val="nil"/>
            </w:tcBorders>
            <w:shd w:val="clear" w:color="auto" w:fill="auto"/>
            <w:noWrap/>
            <w:vAlign w:val="bottom"/>
            <w:hideMark/>
          </w:tcPr>
          <w:p w14:paraId="1FCB322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35.6</w:t>
            </w:r>
          </w:p>
        </w:tc>
        <w:tc>
          <w:tcPr>
            <w:tcW w:w="732" w:type="dxa"/>
            <w:tcBorders>
              <w:top w:val="nil"/>
              <w:left w:val="nil"/>
              <w:bottom w:val="nil"/>
              <w:right w:val="nil"/>
            </w:tcBorders>
            <w:shd w:val="clear" w:color="auto" w:fill="auto"/>
            <w:noWrap/>
            <w:vAlign w:val="bottom"/>
            <w:hideMark/>
          </w:tcPr>
          <w:p w14:paraId="514F73A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54.9</w:t>
            </w:r>
          </w:p>
        </w:tc>
        <w:tc>
          <w:tcPr>
            <w:tcW w:w="860" w:type="dxa"/>
            <w:tcBorders>
              <w:top w:val="nil"/>
              <w:left w:val="nil"/>
              <w:bottom w:val="nil"/>
              <w:right w:val="nil"/>
            </w:tcBorders>
            <w:shd w:val="clear" w:color="auto" w:fill="auto"/>
            <w:noWrap/>
            <w:vAlign w:val="bottom"/>
            <w:hideMark/>
          </w:tcPr>
          <w:p w14:paraId="7013DE8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16.1</w:t>
            </w:r>
          </w:p>
        </w:tc>
        <w:tc>
          <w:tcPr>
            <w:tcW w:w="960" w:type="dxa"/>
            <w:tcBorders>
              <w:top w:val="nil"/>
              <w:left w:val="nil"/>
              <w:bottom w:val="nil"/>
              <w:right w:val="nil"/>
            </w:tcBorders>
            <w:shd w:val="clear" w:color="auto" w:fill="auto"/>
            <w:noWrap/>
            <w:vAlign w:val="bottom"/>
            <w:hideMark/>
          </w:tcPr>
          <w:p w14:paraId="454D92C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21.5</w:t>
            </w:r>
          </w:p>
        </w:tc>
        <w:tc>
          <w:tcPr>
            <w:tcW w:w="689" w:type="dxa"/>
            <w:tcBorders>
              <w:top w:val="nil"/>
              <w:left w:val="nil"/>
              <w:bottom w:val="nil"/>
              <w:right w:val="nil"/>
            </w:tcBorders>
            <w:shd w:val="clear" w:color="auto" w:fill="auto"/>
            <w:noWrap/>
            <w:vAlign w:val="bottom"/>
            <w:hideMark/>
          </w:tcPr>
          <w:p w14:paraId="4C03AD2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50.7</w:t>
            </w:r>
          </w:p>
        </w:tc>
        <w:tc>
          <w:tcPr>
            <w:tcW w:w="1000" w:type="dxa"/>
            <w:tcBorders>
              <w:top w:val="nil"/>
              <w:left w:val="nil"/>
              <w:bottom w:val="nil"/>
              <w:right w:val="nil"/>
            </w:tcBorders>
            <w:shd w:val="clear" w:color="auto" w:fill="auto"/>
            <w:noWrap/>
            <w:vAlign w:val="bottom"/>
            <w:hideMark/>
          </w:tcPr>
          <w:p w14:paraId="4417D15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151.4</w:t>
            </w:r>
          </w:p>
        </w:tc>
      </w:tr>
      <w:tr w:rsidR="00F26016" w:rsidRPr="00F26016" w14:paraId="655B0FCE" w14:textId="77777777" w:rsidTr="00F26016">
        <w:trPr>
          <w:trHeight w:val="300"/>
        </w:trPr>
        <w:tc>
          <w:tcPr>
            <w:tcW w:w="1140" w:type="dxa"/>
            <w:tcBorders>
              <w:top w:val="nil"/>
              <w:left w:val="nil"/>
              <w:bottom w:val="nil"/>
              <w:right w:val="nil"/>
            </w:tcBorders>
            <w:shd w:val="clear" w:color="auto" w:fill="auto"/>
            <w:noWrap/>
            <w:hideMark/>
          </w:tcPr>
          <w:p w14:paraId="28818D4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w:t>
            </w:r>
          </w:p>
        </w:tc>
        <w:tc>
          <w:tcPr>
            <w:tcW w:w="1200" w:type="dxa"/>
            <w:tcBorders>
              <w:top w:val="nil"/>
              <w:left w:val="nil"/>
              <w:bottom w:val="nil"/>
              <w:right w:val="nil"/>
            </w:tcBorders>
            <w:shd w:val="clear" w:color="auto" w:fill="auto"/>
            <w:noWrap/>
            <w:hideMark/>
          </w:tcPr>
          <w:p w14:paraId="0D15E5B1"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1C19654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15504F6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45031C1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2359EAB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4B8D223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0066DF1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05885A6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53.3</w:t>
            </w:r>
          </w:p>
        </w:tc>
        <w:tc>
          <w:tcPr>
            <w:tcW w:w="920" w:type="dxa"/>
            <w:tcBorders>
              <w:top w:val="nil"/>
              <w:left w:val="nil"/>
              <w:bottom w:val="nil"/>
              <w:right w:val="nil"/>
            </w:tcBorders>
            <w:shd w:val="clear" w:color="auto" w:fill="auto"/>
            <w:noWrap/>
            <w:vAlign w:val="bottom"/>
            <w:hideMark/>
          </w:tcPr>
          <w:p w14:paraId="5B01095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123.1</w:t>
            </w:r>
          </w:p>
        </w:tc>
        <w:tc>
          <w:tcPr>
            <w:tcW w:w="741" w:type="dxa"/>
            <w:tcBorders>
              <w:top w:val="nil"/>
              <w:left w:val="nil"/>
              <w:bottom w:val="nil"/>
              <w:right w:val="nil"/>
            </w:tcBorders>
            <w:shd w:val="clear" w:color="auto" w:fill="auto"/>
            <w:noWrap/>
            <w:vAlign w:val="bottom"/>
            <w:hideMark/>
          </w:tcPr>
          <w:p w14:paraId="51D05AB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318.6</w:t>
            </w:r>
          </w:p>
        </w:tc>
        <w:tc>
          <w:tcPr>
            <w:tcW w:w="785" w:type="dxa"/>
            <w:tcBorders>
              <w:top w:val="nil"/>
              <w:left w:val="nil"/>
              <w:bottom w:val="nil"/>
              <w:right w:val="nil"/>
            </w:tcBorders>
            <w:shd w:val="clear" w:color="auto" w:fill="auto"/>
            <w:noWrap/>
            <w:vAlign w:val="bottom"/>
            <w:hideMark/>
          </w:tcPr>
          <w:p w14:paraId="4134AE5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65.6</w:t>
            </w:r>
          </w:p>
        </w:tc>
        <w:tc>
          <w:tcPr>
            <w:tcW w:w="732" w:type="dxa"/>
            <w:tcBorders>
              <w:top w:val="nil"/>
              <w:left w:val="nil"/>
              <w:bottom w:val="nil"/>
              <w:right w:val="nil"/>
            </w:tcBorders>
            <w:shd w:val="clear" w:color="auto" w:fill="auto"/>
            <w:noWrap/>
            <w:vAlign w:val="bottom"/>
            <w:hideMark/>
          </w:tcPr>
          <w:p w14:paraId="1D12131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39.9</w:t>
            </w:r>
          </w:p>
        </w:tc>
        <w:tc>
          <w:tcPr>
            <w:tcW w:w="860" w:type="dxa"/>
            <w:tcBorders>
              <w:top w:val="nil"/>
              <w:left w:val="nil"/>
              <w:bottom w:val="nil"/>
              <w:right w:val="nil"/>
            </w:tcBorders>
            <w:shd w:val="clear" w:color="auto" w:fill="auto"/>
            <w:noWrap/>
            <w:vAlign w:val="bottom"/>
            <w:hideMark/>
          </w:tcPr>
          <w:p w14:paraId="5973CD2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267.9</w:t>
            </w:r>
          </w:p>
        </w:tc>
        <w:tc>
          <w:tcPr>
            <w:tcW w:w="960" w:type="dxa"/>
            <w:tcBorders>
              <w:top w:val="nil"/>
              <w:left w:val="nil"/>
              <w:bottom w:val="nil"/>
              <w:right w:val="nil"/>
            </w:tcBorders>
            <w:shd w:val="clear" w:color="auto" w:fill="auto"/>
            <w:noWrap/>
            <w:vAlign w:val="bottom"/>
            <w:hideMark/>
          </w:tcPr>
          <w:p w14:paraId="4A92ED1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74.5</w:t>
            </w:r>
          </w:p>
        </w:tc>
        <w:tc>
          <w:tcPr>
            <w:tcW w:w="689" w:type="dxa"/>
            <w:tcBorders>
              <w:top w:val="nil"/>
              <w:left w:val="nil"/>
              <w:bottom w:val="nil"/>
              <w:right w:val="nil"/>
            </w:tcBorders>
            <w:shd w:val="clear" w:color="auto" w:fill="auto"/>
            <w:noWrap/>
            <w:vAlign w:val="bottom"/>
            <w:hideMark/>
          </w:tcPr>
          <w:p w14:paraId="019DAE7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308.3</w:t>
            </w:r>
          </w:p>
        </w:tc>
        <w:tc>
          <w:tcPr>
            <w:tcW w:w="1000" w:type="dxa"/>
            <w:tcBorders>
              <w:top w:val="nil"/>
              <w:left w:val="nil"/>
              <w:bottom w:val="nil"/>
              <w:right w:val="nil"/>
            </w:tcBorders>
            <w:shd w:val="clear" w:color="auto" w:fill="auto"/>
            <w:noWrap/>
            <w:vAlign w:val="bottom"/>
            <w:hideMark/>
          </w:tcPr>
          <w:p w14:paraId="193A1C4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127.5</w:t>
            </w:r>
          </w:p>
        </w:tc>
      </w:tr>
      <w:tr w:rsidR="00F26016" w:rsidRPr="00F26016" w14:paraId="137C068A" w14:textId="77777777" w:rsidTr="00F26016">
        <w:trPr>
          <w:trHeight w:val="300"/>
        </w:trPr>
        <w:tc>
          <w:tcPr>
            <w:tcW w:w="1140" w:type="dxa"/>
            <w:tcBorders>
              <w:top w:val="nil"/>
              <w:left w:val="nil"/>
              <w:bottom w:val="nil"/>
              <w:right w:val="nil"/>
            </w:tcBorders>
            <w:shd w:val="clear" w:color="auto" w:fill="auto"/>
            <w:noWrap/>
            <w:hideMark/>
          </w:tcPr>
          <w:p w14:paraId="717A328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w:t>
            </w:r>
          </w:p>
        </w:tc>
        <w:tc>
          <w:tcPr>
            <w:tcW w:w="1200" w:type="dxa"/>
            <w:tcBorders>
              <w:top w:val="nil"/>
              <w:left w:val="nil"/>
              <w:bottom w:val="nil"/>
              <w:right w:val="nil"/>
            </w:tcBorders>
            <w:shd w:val="clear" w:color="auto" w:fill="auto"/>
            <w:noWrap/>
            <w:hideMark/>
          </w:tcPr>
          <w:p w14:paraId="77F161B8"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023ED9A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40301D8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10EA942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124346A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39FB743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7EA6A7F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5A859E5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266.0</w:t>
            </w:r>
          </w:p>
        </w:tc>
        <w:tc>
          <w:tcPr>
            <w:tcW w:w="920" w:type="dxa"/>
            <w:tcBorders>
              <w:top w:val="nil"/>
              <w:left w:val="nil"/>
              <w:bottom w:val="nil"/>
              <w:right w:val="nil"/>
            </w:tcBorders>
            <w:shd w:val="clear" w:color="auto" w:fill="auto"/>
            <w:noWrap/>
            <w:vAlign w:val="bottom"/>
            <w:hideMark/>
          </w:tcPr>
          <w:p w14:paraId="53186F0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42.3</w:t>
            </w:r>
          </w:p>
        </w:tc>
        <w:tc>
          <w:tcPr>
            <w:tcW w:w="741" w:type="dxa"/>
            <w:tcBorders>
              <w:top w:val="nil"/>
              <w:left w:val="nil"/>
              <w:bottom w:val="nil"/>
              <w:right w:val="nil"/>
            </w:tcBorders>
            <w:shd w:val="clear" w:color="auto" w:fill="auto"/>
            <w:noWrap/>
            <w:vAlign w:val="bottom"/>
            <w:hideMark/>
          </w:tcPr>
          <w:p w14:paraId="6B696B2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46.0</w:t>
            </w:r>
          </w:p>
        </w:tc>
        <w:tc>
          <w:tcPr>
            <w:tcW w:w="785" w:type="dxa"/>
            <w:tcBorders>
              <w:top w:val="nil"/>
              <w:left w:val="nil"/>
              <w:bottom w:val="nil"/>
              <w:right w:val="nil"/>
            </w:tcBorders>
            <w:shd w:val="clear" w:color="auto" w:fill="auto"/>
            <w:noWrap/>
            <w:vAlign w:val="bottom"/>
            <w:hideMark/>
          </w:tcPr>
          <w:p w14:paraId="4641067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14.3</w:t>
            </w:r>
          </w:p>
        </w:tc>
        <w:tc>
          <w:tcPr>
            <w:tcW w:w="732" w:type="dxa"/>
            <w:tcBorders>
              <w:top w:val="nil"/>
              <w:left w:val="nil"/>
              <w:bottom w:val="nil"/>
              <w:right w:val="nil"/>
            </w:tcBorders>
            <w:shd w:val="clear" w:color="auto" w:fill="auto"/>
            <w:noWrap/>
            <w:vAlign w:val="bottom"/>
            <w:hideMark/>
          </w:tcPr>
          <w:p w14:paraId="47A300B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1288.9</w:t>
            </w:r>
          </w:p>
        </w:tc>
        <w:tc>
          <w:tcPr>
            <w:tcW w:w="860" w:type="dxa"/>
            <w:tcBorders>
              <w:top w:val="nil"/>
              <w:left w:val="nil"/>
              <w:bottom w:val="nil"/>
              <w:right w:val="nil"/>
            </w:tcBorders>
            <w:shd w:val="clear" w:color="auto" w:fill="auto"/>
            <w:noWrap/>
            <w:vAlign w:val="bottom"/>
            <w:hideMark/>
          </w:tcPr>
          <w:p w14:paraId="535E55E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69.4</w:t>
            </w:r>
          </w:p>
        </w:tc>
        <w:tc>
          <w:tcPr>
            <w:tcW w:w="960" w:type="dxa"/>
            <w:tcBorders>
              <w:top w:val="nil"/>
              <w:left w:val="nil"/>
              <w:bottom w:val="nil"/>
              <w:right w:val="nil"/>
            </w:tcBorders>
            <w:shd w:val="clear" w:color="auto" w:fill="auto"/>
            <w:noWrap/>
            <w:vAlign w:val="bottom"/>
            <w:hideMark/>
          </w:tcPr>
          <w:p w14:paraId="6511487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54.3</w:t>
            </w:r>
          </w:p>
        </w:tc>
        <w:tc>
          <w:tcPr>
            <w:tcW w:w="689" w:type="dxa"/>
            <w:tcBorders>
              <w:top w:val="nil"/>
              <w:left w:val="nil"/>
              <w:bottom w:val="nil"/>
              <w:right w:val="nil"/>
            </w:tcBorders>
            <w:shd w:val="clear" w:color="auto" w:fill="auto"/>
            <w:noWrap/>
            <w:vAlign w:val="bottom"/>
            <w:hideMark/>
          </w:tcPr>
          <w:p w14:paraId="6315F21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26.4</w:t>
            </w:r>
          </w:p>
        </w:tc>
        <w:tc>
          <w:tcPr>
            <w:tcW w:w="1000" w:type="dxa"/>
            <w:tcBorders>
              <w:top w:val="nil"/>
              <w:left w:val="nil"/>
              <w:bottom w:val="nil"/>
              <w:right w:val="nil"/>
            </w:tcBorders>
            <w:shd w:val="clear" w:color="auto" w:fill="auto"/>
            <w:noWrap/>
            <w:vAlign w:val="bottom"/>
            <w:hideMark/>
          </w:tcPr>
          <w:p w14:paraId="5BF6508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171.7</w:t>
            </w:r>
          </w:p>
        </w:tc>
      </w:tr>
      <w:tr w:rsidR="00F26016" w:rsidRPr="00F26016" w14:paraId="0EDCCFF4" w14:textId="77777777" w:rsidTr="00F26016">
        <w:trPr>
          <w:trHeight w:val="300"/>
        </w:trPr>
        <w:tc>
          <w:tcPr>
            <w:tcW w:w="1140" w:type="dxa"/>
            <w:tcBorders>
              <w:top w:val="nil"/>
              <w:left w:val="nil"/>
              <w:bottom w:val="nil"/>
              <w:right w:val="nil"/>
            </w:tcBorders>
            <w:shd w:val="clear" w:color="auto" w:fill="auto"/>
            <w:noWrap/>
            <w:hideMark/>
          </w:tcPr>
          <w:p w14:paraId="1813982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w:t>
            </w:r>
          </w:p>
        </w:tc>
        <w:tc>
          <w:tcPr>
            <w:tcW w:w="1200" w:type="dxa"/>
            <w:tcBorders>
              <w:top w:val="nil"/>
              <w:left w:val="nil"/>
              <w:bottom w:val="nil"/>
              <w:right w:val="nil"/>
            </w:tcBorders>
            <w:shd w:val="clear" w:color="auto" w:fill="auto"/>
            <w:noWrap/>
            <w:hideMark/>
          </w:tcPr>
          <w:p w14:paraId="42C0D69A"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7AF5A1E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3C50A0C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7C34394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7A86038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0241340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1A757AA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27EF6CE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w:t>
            </w:r>
          </w:p>
        </w:tc>
        <w:tc>
          <w:tcPr>
            <w:tcW w:w="920" w:type="dxa"/>
            <w:tcBorders>
              <w:top w:val="nil"/>
              <w:left w:val="nil"/>
              <w:bottom w:val="nil"/>
              <w:right w:val="nil"/>
            </w:tcBorders>
            <w:shd w:val="clear" w:color="auto" w:fill="auto"/>
            <w:noWrap/>
            <w:vAlign w:val="bottom"/>
            <w:hideMark/>
          </w:tcPr>
          <w:p w14:paraId="2730C92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25.5</w:t>
            </w:r>
          </w:p>
        </w:tc>
        <w:tc>
          <w:tcPr>
            <w:tcW w:w="741" w:type="dxa"/>
            <w:tcBorders>
              <w:top w:val="nil"/>
              <w:left w:val="nil"/>
              <w:bottom w:val="nil"/>
              <w:right w:val="nil"/>
            </w:tcBorders>
            <w:shd w:val="clear" w:color="auto" w:fill="auto"/>
            <w:noWrap/>
            <w:vAlign w:val="bottom"/>
            <w:hideMark/>
          </w:tcPr>
          <w:p w14:paraId="15A1E01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18.4</w:t>
            </w:r>
          </w:p>
        </w:tc>
        <w:tc>
          <w:tcPr>
            <w:tcW w:w="785" w:type="dxa"/>
            <w:tcBorders>
              <w:top w:val="nil"/>
              <w:left w:val="nil"/>
              <w:bottom w:val="nil"/>
              <w:right w:val="nil"/>
            </w:tcBorders>
            <w:shd w:val="clear" w:color="auto" w:fill="auto"/>
            <w:noWrap/>
            <w:vAlign w:val="bottom"/>
            <w:hideMark/>
          </w:tcPr>
          <w:p w14:paraId="7E1DD28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29.1</w:t>
            </w:r>
          </w:p>
        </w:tc>
        <w:tc>
          <w:tcPr>
            <w:tcW w:w="732" w:type="dxa"/>
            <w:tcBorders>
              <w:top w:val="nil"/>
              <w:left w:val="nil"/>
              <w:bottom w:val="nil"/>
              <w:right w:val="nil"/>
            </w:tcBorders>
            <w:shd w:val="clear" w:color="auto" w:fill="auto"/>
            <w:noWrap/>
            <w:vAlign w:val="bottom"/>
            <w:hideMark/>
          </w:tcPr>
          <w:p w14:paraId="5922638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44.9</w:t>
            </w:r>
          </w:p>
        </w:tc>
        <w:tc>
          <w:tcPr>
            <w:tcW w:w="860" w:type="dxa"/>
            <w:tcBorders>
              <w:top w:val="nil"/>
              <w:left w:val="nil"/>
              <w:bottom w:val="nil"/>
              <w:right w:val="nil"/>
            </w:tcBorders>
            <w:shd w:val="clear" w:color="auto" w:fill="auto"/>
            <w:noWrap/>
            <w:vAlign w:val="bottom"/>
            <w:hideMark/>
          </w:tcPr>
          <w:p w14:paraId="17510DD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23.1</w:t>
            </w:r>
          </w:p>
        </w:tc>
        <w:tc>
          <w:tcPr>
            <w:tcW w:w="960" w:type="dxa"/>
            <w:tcBorders>
              <w:top w:val="nil"/>
              <w:left w:val="nil"/>
              <w:bottom w:val="nil"/>
              <w:right w:val="nil"/>
            </w:tcBorders>
            <w:shd w:val="clear" w:color="auto" w:fill="auto"/>
            <w:noWrap/>
            <w:vAlign w:val="bottom"/>
            <w:hideMark/>
          </w:tcPr>
          <w:p w14:paraId="1B8C6B6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26.9</w:t>
            </w:r>
          </w:p>
        </w:tc>
        <w:tc>
          <w:tcPr>
            <w:tcW w:w="689" w:type="dxa"/>
            <w:tcBorders>
              <w:top w:val="nil"/>
              <w:left w:val="nil"/>
              <w:bottom w:val="nil"/>
              <w:right w:val="nil"/>
            </w:tcBorders>
            <w:shd w:val="clear" w:color="auto" w:fill="auto"/>
            <w:noWrap/>
            <w:vAlign w:val="bottom"/>
            <w:hideMark/>
          </w:tcPr>
          <w:p w14:paraId="75017C7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286.0</w:t>
            </w:r>
          </w:p>
        </w:tc>
        <w:tc>
          <w:tcPr>
            <w:tcW w:w="1000" w:type="dxa"/>
            <w:tcBorders>
              <w:top w:val="nil"/>
              <w:left w:val="nil"/>
              <w:bottom w:val="nil"/>
              <w:right w:val="nil"/>
            </w:tcBorders>
            <w:shd w:val="clear" w:color="auto" w:fill="auto"/>
            <w:noWrap/>
            <w:vAlign w:val="bottom"/>
            <w:hideMark/>
          </w:tcPr>
          <w:p w14:paraId="55112C4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140.5</w:t>
            </w:r>
          </w:p>
        </w:tc>
      </w:tr>
      <w:tr w:rsidR="00F26016" w:rsidRPr="00F26016" w14:paraId="160CE45A" w14:textId="77777777" w:rsidTr="00F26016">
        <w:trPr>
          <w:trHeight w:val="300"/>
        </w:trPr>
        <w:tc>
          <w:tcPr>
            <w:tcW w:w="1140" w:type="dxa"/>
            <w:tcBorders>
              <w:top w:val="nil"/>
              <w:left w:val="nil"/>
              <w:bottom w:val="nil"/>
              <w:right w:val="nil"/>
            </w:tcBorders>
            <w:shd w:val="clear" w:color="auto" w:fill="auto"/>
            <w:noWrap/>
            <w:hideMark/>
          </w:tcPr>
          <w:p w14:paraId="4822788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w:t>
            </w:r>
          </w:p>
        </w:tc>
        <w:tc>
          <w:tcPr>
            <w:tcW w:w="1200" w:type="dxa"/>
            <w:tcBorders>
              <w:top w:val="nil"/>
              <w:left w:val="nil"/>
              <w:bottom w:val="nil"/>
              <w:right w:val="nil"/>
            </w:tcBorders>
            <w:shd w:val="clear" w:color="auto" w:fill="auto"/>
            <w:noWrap/>
            <w:hideMark/>
          </w:tcPr>
          <w:p w14:paraId="6D77291C"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0F71155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004CF30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23149C3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68B93B0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25195B8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58D7F19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660" w:type="dxa"/>
            <w:tcBorders>
              <w:top w:val="nil"/>
              <w:left w:val="nil"/>
              <w:bottom w:val="nil"/>
              <w:right w:val="nil"/>
            </w:tcBorders>
            <w:shd w:val="clear" w:color="auto" w:fill="auto"/>
            <w:noWrap/>
            <w:vAlign w:val="bottom"/>
            <w:hideMark/>
          </w:tcPr>
          <w:p w14:paraId="6F5B777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72.8</w:t>
            </w:r>
          </w:p>
        </w:tc>
        <w:tc>
          <w:tcPr>
            <w:tcW w:w="920" w:type="dxa"/>
            <w:tcBorders>
              <w:top w:val="nil"/>
              <w:left w:val="nil"/>
              <w:bottom w:val="nil"/>
              <w:right w:val="nil"/>
            </w:tcBorders>
            <w:shd w:val="clear" w:color="auto" w:fill="auto"/>
            <w:noWrap/>
            <w:vAlign w:val="bottom"/>
            <w:hideMark/>
          </w:tcPr>
          <w:p w14:paraId="2302A24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87.9</w:t>
            </w:r>
          </w:p>
        </w:tc>
        <w:tc>
          <w:tcPr>
            <w:tcW w:w="741" w:type="dxa"/>
            <w:tcBorders>
              <w:top w:val="nil"/>
              <w:left w:val="nil"/>
              <w:bottom w:val="nil"/>
              <w:right w:val="nil"/>
            </w:tcBorders>
            <w:shd w:val="clear" w:color="auto" w:fill="auto"/>
            <w:noWrap/>
            <w:vAlign w:val="bottom"/>
            <w:hideMark/>
          </w:tcPr>
          <w:p w14:paraId="3718C22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275.8</w:t>
            </w:r>
          </w:p>
        </w:tc>
        <w:tc>
          <w:tcPr>
            <w:tcW w:w="785" w:type="dxa"/>
            <w:tcBorders>
              <w:top w:val="nil"/>
              <w:left w:val="nil"/>
              <w:bottom w:val="nil"/>
              <w:right w:val="nil"/>
            </w:tcBorders>
            <w:shd w:val="clear" w:color="auto" w:fill="auto"/>
            <w:noWrap/>
            <w:vAlign w:val="bottom"/>
            <w:hideMark/>
          </w:tcPr>
          <w:p w14:paraId="4BDE3B9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59.9</w:t>
            </w:r>
          </w:p>
        </w:tc>
        <w:tc>
          <w:tcPr>
            <w:tcW w:w="732" w:type="dxa"/>
            <w:tcBorders>
              <w:top w:val="nil"/>
              <w:left w:val="nil"/>
              <w:bottom w:val="nil"/>
              <w:right w:val="nil"/>
            </w:tcBorders>
            <w:shd w:val="clear" w:color="auto" w:fill="auto"/>
            <w:noWrap/>
            <w:vAlign w:val="bottom"/>
            <w:hideMark/>
          </w:tcPr>
          <w:p w14:paraId="27A2259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154.0</w:t>
            </w:r>
          </w:p>
        </w:tc>
        <w:tc>
          <w:tcPr>
            <w:tcW w:w="860" w:type="dxa"/>
            <w:tcBorders>
              <w:top w:val="nil"/>
              <w:left w:val="nil"/>
              <w:bottom w:val="nil"/>
              <w:right w:val="nil"/>
            </w:tcBorders>
            <w:shd w:val="clear" w:color="auto" w:fill="auto"/>
            <w:noWrap/>
            <w:vAlign w:val="bottom"/>
            <w:hideMark/>
          </w:tcPr>
          <w:p w14:paraId="1289021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146.6</w:t>
            </w:r>
          </w:p>
        </w:tc>
        <w:tc>
          <w:tcPr>
            <w:tcW w:w="960" w:type="dxa"/>
            <w:tcBorders>
              <w:top w:val="nil"/>
              <w:left w:val="nil"/>
              <w:bottom w:val="nil"/>
              <w:right w:val="nil"/>
            </w:tcBorders>
            <w:shd w:val="clear" w:color="auto" w:fill="auto"/>
            <w:noWrap/>
            <w:vAlign w:val="bottom"/>
            <w:hideMark/>
          </w:tcPr>
          <w:p w14:paraId="2D2256A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127.8</w:t>
            </w:r>
          </w:p>
        </w:tc>
        <w:tc>
          <w:tcPr>
            <w:tcW w:w="689" w:type="dxa"/>
            <w:tcBorders>
              <w:top w:val="nil"/>
              <w:left w:val="nil"/>
              <w:bottom w:val="nil"/>
              <w:right w:val="nil"/>
            </w:tcBorders>
            <w:shd w:val="clear" w:color="auto" w:fill="auto"/>
            <w:noWrap/>
            <w:vAlign w:val="bottom"/>
            <w:hideMark/>
          </w:tcPr>
          <w:p w14:paraId="1963B2F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169.6</w:t>
            </w:r>
          </w:p>
        </w:tc>
        <w:tc>
          <w:tcPr>
            <w:tcW w:w="1000" w:type="dxa"/>
            <w:tcBorders>
              <w:top w:val="nil"/>
              <w:left w:val="nil"/>
              <w:bottom w:val="nil"/>
              <w:right w:val="nil"/>
            </w:tcBorders>
            <w:shd w:val="clear" w:color="auto" w:fill="auto"/>
            <w:noWrap/>
            <w:vAlign w:val="bottom"/>
            <w:hideMark/>
          </w:tcPr>
          <w:p w14:paraId="20D492B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137.6</w:t>
            </w:r>
          </w:p>
        </w:tc>
      </w:tr>
      <w:tr w:rsidR="00F26016" w:rsidRPr="00F26016" w14:paraId="5C3E7C1C" w14:textId="77777777" w:rsidTr="00F26016">
        <w:trPr>
          <w:trHeight w:val="300"/>
        </w:trPr>
        <w:tc>
          <w:tcPr>
            <w:tcW w:w="1140" w:type="dxa"/>
            <w:tcBorders>
              <w:top w:val="nil"/>
              <w:left w:val="nil"/>
              <w:bottom w:val="nil"/>
              <w:right w:val="nil"/>
            </w:tcBorders>
            <w:shd w:val="clear" w:color="auto" w:fill="auto"/>
            <w:noWrap/>
            <w:hideMark/>
          </w:tcPr>
          <w:p w14:paraId="07A105D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w:t>
            </w:r>
          </w:p>
        </w:tc>
        <w:tc>
          <w:tcPr>
            <w:tcW w:w="1200" w:type="dxa"/>
            <w:tcBorders>
              <w:top w:val="nil"/>
              <w:left w:val="nil"/>
              <w:bottom w:val="nil"/>
              <w:right w:val="nil"/>
            </w:tcBorders>
            <w:shd w:val="clear" w:color="auto" w:fill="auto"/>
            <w:noWrap/>
            <w:hideMark/>
          </w:tcPr>
          <w:p w14:paraId="47691AD0"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2636690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106794E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70C8ECB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672EE1A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0C94B3F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3FC7F55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751B43A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20.2</w:t>
            </w:r>
          </w:p>
        </w:tc>
        <w:tc>
          <w:tcPr>
            <w:tcW w:w="920" w:type="dxa"/>
            <w:tcBorders>
              <w:top w:val="nil"/>
              <w:left w:val="nil"/>
              <w:bottom w:val="nil"/>
              <w:right w:val="nil"/>
            </w:tcBorders>
            <w:shd w:val="clear" w:color="auto" w:fill="auto"/>
            <w:noWrap/>
            <w:vAlign w:val="bottom"/>
            <w:hideMark/>
          </w:tcPr>
          <w:p w14:paraId="31FF109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w:t>
            </w:r>
          </w:p>
        </w:tc>
        <w:tc>
          <w:tcPr>
            <w:tcW w:w="741" w:type="dxa"/>
            <w:tcBorders>
              <w:top w:val="nil"/>
              <w:left w:val="nil"/>
              <w:bottom w:val="nil"/>
              <w:right w:val="nil"/>
            </w:tcBorders>
            <w:shd w:val="clear" w:color="auto" w:fill="auto"/>
            <w:noWrap/>
            <w:vAlign w:val="bottom"/>
            <w:hideMark/>
          </w:tcPr>
          <w:p w14:paraId="212D6B0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8.3</w:t>
            </w:r>
          </w:p>
        </w:tc>
        <w:tc>
          <w:tcPr>
            <w:tcW w:w="785" w:type="dxa"/>
            <w:tcBorders>
              <w:top w:val="nil"/>
              <w:left w:val="nil"/>
              <w:bottom w:val="nil"/>
              <w:right w:val="nil"/>
            </w:tcBorders>
            <w:shd w:val="clear" w:color="auto" w:fill="auto"/>
            <w:noWrap/>
            <w:vAlign w:val="bottom"/>
            <w:hideMark/>
          </w:tcPr>
          <w:p w14:paraId="666F6EB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7.4</w:t>
            </w:r>
          </w:p>
        </w:tc>
        <w:tc>
          <w:tcPr>
            <w:tcW w:w="732" w:type="dxa"/>
            <w:tcBorders>
              <w:top w:val="nil"/>
              <w:left w:val="nil"/>
              <w:bottom w:val="nil"/>
              <w:right w:val="nil"/>
            </w:tcBorders>
            <w:shd w:val="clear" w:color="auto" w:fill="auto"/>
            <w:noWrap/>
            <w:vAlign w:val="bottom"/>
            <w:hideMark/>
          </w:tcPr>
          <w:p w14:paraId="5BF647E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49.2</w:t>
            </w:r>
          </w:p>
        </w:tc>
        <w:tc>
          <w:tcPr>
            <w:tcW w:w="860" w:type="dxa"/>
            <w:tcBorders>
              <w:top w:val="nil"/>
              <w:left w:val="nil"/>
              <w:bottom w:val="nil"/>
              <w:right w:val="nil"/>
            </w:tcBorders>
            <w:shd w:val="clear" w:color="auto" w:fill="auto"/>
            <w:noWrap/>
            <w:vAlign w:val="bottom"/>
            <w:hideMark/>
          </w:tcPr>
          <w:p w14:paraId="12314D5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960" w:type="dxa"/>
            <w:tcBorders>
              <w:top w:val="nil"/>
              <w:left w:val="nil"/>
              <w:bottom w:val="nil"/>
              <w:right w:val="nil"/>
            </w:tcBorders>
            <w:shd w:val="clear" w:color="auto" w:fill="auto"/>
            <w:noWrap/>
            <w:vAlign w:val="bottom"/>
            <w:hideMark/>
          </w:tcPr>
          <w:p w14:paraId="08702BE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80.4</w:t>
            </w:r>
          </w:p>
        </w:tc>
        <w:tc>
          <w:tcPr>
            <w:tcW w:w="689" w:type="dxa"/>
            <w:tcBorders>
              <w:top w:val="nil"/>
              <w:left w:val="nil"/>
              <w:bottom w:val="nil"/>
              <w:right w:val="nil"/>
            </w:tcBorders>
            <w:shd w:val="clear" w:color="auto" w:fill="auto"/>
            <w:noWrap/>
            <w:vAlign w:val="bottom"/>
            <w:hideMark/>
          </w:tcPr>
          <w:p w14:paraId="525183C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1032.4</w:t>
            </w:r>
          </w:p>
        </w:tc>
        <w:tc>
          <w:tcPr>
            <w:tcW w:w="1000" w:type="dxa"/>
            <w:tcBorders>
              <w:top w:val="nil"/>
              <w:left w:val="nil"/>
              <w:bottom w:val="nil"/>
              <w:right w:val="nil"/>
            </w:tcBorders>
            <w:shd w:val="clear" w:color="auto" w:fill="auto"/>
            <w:noWrap/>
            <w:vAlign w:val="bottom"/>
            <w:hideMark/>
          </w:tcPr>
          <w:p w14:paraId="1C3945F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173.4</w:t>
            </w:r>
          </w:p>
        </w:tc>
      </w:tr>
      <w:tr w:rsidR="00F26016" w:rsidRPr="00F26016" w14:paraId="73CDB483" w14:textId="77777777" w:rsidTr="00F26016">
        <w:trPr>
          <w:trHeight w:val="300"/>
        </w:trPr>
        <w:tc>
          <w:tcPr>
            <w:tcW w:w="1140" w:type="dxa"/>
            <w:tcBorders>
              <w:top w:val="nil"/>
              <w:left w:val="nil"/>
              <w:bottom w:val="nil"/>
              <w:right w:val="nil"/>
            </w:tcBorders>
            <w:shd w:val="clear" w:color="auto" w:fill="auto"/>
            <w:noWrap/>
            <w:hideMark/>
          </w:tcPr>
          <w:p w14:paraId="642C146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w:t>
            </w:r>
          </w:p>
        </w:tc>
        <w:tc>
          <w:tcPr>
            <w:tcW w:w="1200" w:type="dxa"/>
            <w:tcBorders>
              <w:top w:val="nil"/>
              <w:left w:val="nil"/>
              <w:bottom w:val="nil"/>
              <w:right w:val="nil"/>
            </w:tcBorders>
            <w:shd w:val="clear" w:color="auto" w:fill="auto"/>
            <w:noWrap/>
            <w:hideMark/>
          </w:tcPr>
          <w:p w14:paraId="0A1802F9"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5636C37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0DF601E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31B4BC7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7DADD84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114EC92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1686A66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46AB2FE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w:t>
            </w:r>
          </w:p>
        </w:tc>
        <w:tc>
          <w:tcPr>
            <w:tcW w:w="920" w:type="dxa"/>
            <w:tcBorders>
              <w:top w:val="nil"/>
              <w:left w:val="nil"/>
              <w:bottom w:val="nil"/>
              <w:right w:val="nil"/>
            </w:tcBorders>
            <w:shd w:val="clear" w:color="auto" w:fill="auto"/>
            <w:noWrap/>
            <w:vAlign w:val="bottom"/>
            <w:hideMark/>
          </w:tcPr>
          <w:p w14:paraId="3058E93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9.9</w:t>
            </w:r>
          </w:p>
        </w:tc>
        <w:tc>
          <w:tcPr>
            <w:tcW w:w="741" w:type="dxa"/>
            <w:tcBorders>
              <w:top w:val="nil"/>
              <w:left w:val="nil"/>
              <w:bottom w:val="nil"/>
              <w:right w:val="nil"/>
            </w:tcBorders>
            <w:shd w:val="clear" w:color="auto" w:fill="auto"/>
            <w:noWrap/>
            <w:vAlign w:val="bottom"/>
            <w:hideMark/>
          </w:tcPr>
          <w:p w14:paraId="5DF79CF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12.9</w:t>
            </w:r>
          </w:p>
        </w:tc>
        <w:tc>
          <w:tcPr>
            <w:tcW w:w="785" w:type="dxa"/>
            <w:tcBorders>
              <w:top w:val="nil"/>
              <w:left w:val="nil"/>
              <w:bottom w:val="nil"/>
              <w:right w:val="nil"/>
            </w:tcBorders>
            <w:shd w:val="clear" w:color="auto" w:fill="auto"/>
            <w:noWrap/>
            <w:vAlign w:val="bottom"/>
            <w:hideMark/>
          </w:tcPr>
          <w:p w14:paraId="7F4DECE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17.9</w:t>
            </w:r>
          </w:p>
        </w:tc>
        <w:tc>
          <w:tcPr>
            <w:tcW w:w="732" w:type="dxa"/>
            <w:tcBorders>
              <w:top w:val="nil"/>
              <w:left w:val="nil"/>
              <w:bottom w:val="nil"/>
              <w:right w:val="nil"/>
            </w:tcBorders>
            <w:shd w:val="clear" w:color="auto" w:fill="auto"/>
            <w:noWrap/>
            <w:vAlign w:val="bottom"/>
            <w:hideMark/>
          </w:tcPr>
          <w:p w14:paraId="6B870C3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41.5</w:t>
            </w:r>
          </w:p>
        </w:tc>
        <w:tc>
          <w:tcPr>
            <w:tcW w:w="860" w:type="dxa"/>
            <w:tcBorders>
              <w:top w:val="nil"/>
              <w:left w:val="nil"/>
              <w:bottom w:val="nil"/>
              <w:right w:val="nil"/>
            </w:tcBorders>
            <w:shd w:val="clear" w:color="auto" w:fill="auto"/>
            <w:noWrap/>
            <w:vAlign w:val="bottom"/>
            <w:hideMark/>
          </w:tcPr>
          <w:p w14:paraId="36ECD587" w14:textId="77777777" w:rsidR="00F26016" w:rsidRPr="00F26016" w:rsidRDefault="00F26016" w:rsidP="00F26016">
            <w:pPr>
              <w:rPr>
                <w:rFonts w:ascii="Calibri" w:eastAsia="Times New Roman" w:hAnsi="Calibri" w:cs="Times New Roman"/>
                <w:color w:val="000000"/>
                <w:sz w:val="16"/>
                <w:szCs w:val="16"/>
              </w:rPr>
            </w:pPr>
          </w:p>
        </w:tc>
        <w:tc>
          <w:tcPr>
            <w:tcW w:w="960" w:type="dxa"/>
            <w:tcBorders>
              <w:top w:val="nil"/>
              <w:left w:val="nil"/>
              <w:bottom w:val="nil"/>
              <w:right w:val="nil"/>
            </w:tcBorders>
            <w:shd w:val="clear" w:color="auto" w:fill="auto"/>
            <w:noWrap/>
            <w:vAlign w:val="bottom"/>
            <w:hideMark/>
          </w:tcPr>
          <w:p w14:paraId="36C8686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45.3</w:t>
            </w:r>
          </w:p>
        </w:tc>
        <w:tc>
          <w:tcPr>
            <w:tcW w:w="689" w:type="dxa"/>
            <w:tcBorders>
              <w:top w:val="nil"/>
              <w:left w:val="nil"/>
              <w:bottom w:val="nil"/>
              <w:right w:val="nil"/>
            </w:tcBorders>
            <w:shd w:val="clear" w:color="auto" w:fill="auto"/>
            <w:noWrap/>
            <w:vAlign w:val="bottom"/>
            <w:hideMark/>
          </w:tcPr>
          <w:p w14:paraId="4159C80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468.9</w:t>
            </w:r>
          </w:p>
        </w:tc>
        <w:tc>
          <w:tcPr>
            <w:tcW w:w="1000" w:type="dxa"/>
            <w:tcBorders>
              <w:top w:val="nil"/>
              <w:left w:val="nil"/>
              <w:bottom w:val="nil"/>
              <w:right w:val="nil"/>
            </w:tcBorders>
            <w:shd w:val="clear" w:color="auto" w:fill="auto"/>
            <w:noWrap/>
            <w:vAlign w:val="bottom"/>
            <w:hideMark/>
          </w:tcPr>
          <w:p w14:paraId="2C5C810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151.7</w:t>
            </w:r>
          </w:p>
        </w:tc>
      </w:tr>
      <w:tr w:rsidR="00F26016" w:rsidRPr="00F26016" w14:paraId="3F6E0EE8" w14:textId="77777777" w:rsidTr="00F26016">
        <w:trPr>
          <w:trHeight w:val="300"/>
        </w:trPr>
        <w:tc>
          <w:tcPr>
            <w:tcW w:w="1140" w:type="dxa"/>
            <w:tcBorders>
              <w:top w:val="nil"/>
              <w:left w:val="nil"/>
              <w:bottom w:val="nil"/>
              <w:right w:val="nil"/>
            </w:tcBorders>
            <w:shd w:val="clear" w:color="auto" w:fill="auto"/>
            <w:noWrap/>
            <w:hideMark/>
          </w:tcPr>
          <w:p w14:paraId="35930BC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w:t>
            </w:r>
          </w:p>
        </w:tc>
        <w:tc>
          <w:tcPr>
            <w:tcW w:w="1200" w:type="dxa"/>
            <w:tcBorders>
              <w:top w:val="nil"/>
              <w:left w:val="nil"/>
              <w:bottom w:val="nil"/>
              <w:right w:val="nil"/>
            </w:tcBorders>
            <w:shd w:val="clear" w:color="auto" w:fill="auto"/>
            <w:noWrap/>
            <w:hideMark/>
          </w:tcPr>
          <w:p w14:paraId="65380425"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3103EF6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7F036AA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4120542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104925D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613CD85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7644160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2D0F2DD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38.3</w:t>
            </w:r>
          </w:p>
        </w:tc>
        <w:tc>
          <w:tcPr>
            <w:tcW w:w="920" w:type="dxa"/>
            <w:tcBorders>
              <w:top w:val="nil"/>
              <w:left w:val="nil"/>
              <w:bottom w:val="nil"/>
              <w:right w:val="nil"/>
            </w:tcBorders>
            <w:shd w:val="clear" w:color="auto" w:fill="auto"/>
            <w:noWrap/>
            <w:vAlign w:val="bottom"/>
            <w:hideMark/>
          </w:tcPr>
          <w:p w14:paraId="3A5E7CA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21.9</w:t>
            </w:r>
          </w:p>
        </w:tc>
        <w:tc>
          <w:tcPr>
            <w:tcW w:w="741" w:type="dxa"/>
            <w:tcBorders>
              <w:top w:val="nil"/>
              <w:left w:val="nil"/>
              <w:bottom w:val="nil"/>
              <w:right w:val="nil"/>
            </w:tcBorders>
            <w:shd w:val="clear" w:color="auto" w:fill="auto"/>
            <w:noWrap/>
            <w:vAlign w:val="bottom"/>
            <w:hideMark/>
          </w:tcPr>
          <w:p w14:paraId="55DFF91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128.5</w:t>
            </w:r>
          </w:p>
        </w:tc>
        <w:tc>
          <w:tcPr>
            <w:tcW w:w="785" w:type="dxa"/>
            <w:tcBorders>
              <w:top w:val="nil"/>
              <w:left w:val="nil"/>
              <w:bottom w:val="nil"/>
              <w:right w:val="nil"/>
            </w:tcBorders>
            <w:shd w:val="clear" w:color="auto" w:fill="auto"/>
            <w:noWrap/>
            <w:vAlign w:val="bottom"/>
            <w:hideMark/>
          </w:tcPr>
          <w:p w14:paraId="0C62CD1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16.8</w:t>
            </w:r>
          </w:p>
        </w:tc>
        <w:tc>
          <w:tcPr>
            <w:tcW w:w="732" w:type="dxa"/>
            <w:tcBorders>
              <w:top w:val="nil"/>
              <w:left w:val="nil"/>
              <w:bottom w:val="nil"/>
              <w:right w:val="nil"/>
            </w:tcBorders>
            <w:shd w:val="clear" w:color="auto" w:fill="auto"/>
            <w:noWrap/>
            <w:vAlign w:val="bottom"/>
            <w:hideMark/>
          </w:tcPr>
          <w:p w14:paraId="4562522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134.0</w:t>
            </w:r>
          </w:p>
        </w:tc>
        <w:tc>
          <w:tcPr>
            <w:tcW w:w="860" w:type="dxa"/>
            <w:tcBorders>
              <w:top w:val="nil"/>
              <w:left w:val="nil"/>
              <w:bottom w:val="nil"/>
              <w:right w:val="nil"/>
            </w:tcBorders>
            <w:shd w:val="clear" w:color="auto" w:fill="auto"/>
            <w:noWrap/>
            <w:vAlign w:val="bottom"/>
            <w:hideMark/>
          </w:tcPr>
          <w:p w14:paraId="67F7875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43.0</w:t>
            </w:r>
          </w:p>
        </w:tc>
        <w:tc>
          <w:tcPr>
            <w:tcW w:w="960" w:type="dxa"/>
            <w:tcBorders>
              <w:top w:val="nil"/>
              <w:left w:val="nil"/>
              <w:bottom w:val="nil"/>
              <w:right w:val="nil"/>
            </w:tcBorders>
            <w:shd w:val="clear" w:color="auto" w:fill="auto"/>
            <w:noWrap/>
            <w:vAlign w:val="bottom"/>
            <w:hideMark/>
          </w:tcPr>
          <w:p w14:paraId="1E105CF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246.4</w:t>
            </w:r>
          </w:p>
        </w:tc>
        <w:tc>
          <w:tcPr>
            <w:tcW w:w="689" w:type="dxa"/>
            <w:tcBorders>
              <w:top w:val="nil"/>
              <w:left w:val="nil"/>
              <w:bottom w:val="nil"/>
              <w:right w:val="nil"/>
            </w:tcBorders>
            <w:shd w:val="clear" w:color="auto" w:fill="auto"/>
            <w:noWrap/>
            <w:vAlign w:val="bottom"/>
            <w:hideMark/>
          </w:tcPr>
          <w:p w14:paraId="74CB3E5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1153.8</w:t>
            </w:r>
          </w:p>
        </w:tc>
        <w:tc>
          <w:tcPr>
            <w:tcW w:w="1000" w:type="dxa"/>
            <w:tcBorders>
              <w:top w:val="nil"/>
              <w:left w:val="nil"/>
              <w:bottom w:val="nil"/>
              <w:right w:val="nil"/>
            </w:tcBorders>
            <w:shd w:val="clear" w:color="auto" w:fill="auto"/>
            <w:noWrap/>
            <w:vAlign w:val="bottom"/>
            <w:hideMark/>
          </w:tcPr>
          <w:p w14:paraId="34230B1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141.3</w:t>
            </w:r>
          </w:p>
        </w:tc>
      </w:tr>
      <w:tr w:rsidR="00F26016" w:rsidRPr="00F26016" w14:paraId="342548F6" w14:textId="77777777" w:rsidTr="00F26016">
        <w:trPr>
          <w:trHeight w:val="300"/>
        </w:trPr>
        <w:tc>
          <w:tcPr>
            <w:tcW w:w="1140" w:type="dxa"/>
            <w:tcBorders>
              <w:top w:val="nil"/>
              <w:left w:val="nil"/>
              <w:bottom w:val="nil"/>
              <w:right w:val="nil"/>
            </w:tcBorders>
            <w:shd w:val="clear" w:color="auto" w:fill="auto"/>
            <w:noWrap/>
            <w:hideMark/>
          </w:tcPr>
          <w:p w14:paraId="7C3EBD0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w:t>
            </w:r>
          </w:p>
        </w:tc>
        <w:tc>
          <w:tcPr>
            <w:tcW w:w="1200" w:type="dxa"/>
            <w:tcBorders>
              <w:top w:val="nil"/>
              <w:left w:val="nil"/>
              <w:bottom w:val="nil"/>
              <w:right w:val="nil"/>
            </w:tcBorders>
            <w:shd w:val="clear" w:color="auto" w:fill="auto"/>
            <w:noWrap/>
            <w:hideMark/>
          </w:tcPr>
          <w:p w14:paraId="0DE6EB8C"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6EE7154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3228203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48685BC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6696E3C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45ACF90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17DA29B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277EC60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26.1</w:t>
            </w:r>
          </w:p>
        </w:tc>
        <w:tc>
          <w:tcPr>
            <w:tcW w:w="920" w:type="dxa"/>
            <w:tcBorders>
              <w:top w:val="nil"/>
              <w:left w:val="nil"/>
              <w:bottom w:val="nil"/>
              <w:right w:val="nil"/>
            </w:tcBorders>
            <w:shd w:val="clear" w:color="auto" w:fill="auto"/>
            <w:noWrap/>
            <w:vAlign w:val="bottom"/>
            <w:hideMark/>
          </w:tcPr>
          <w:p w14:paraId="457F694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w:t>
            </w:r>
          </w:p>
        </w:tc>
        <w:tc>
          <w:tcPr>
            <w:tcW w:w="741" w:type="dxa"/>
            <w:tcBorders>
              <w:top w:val="nil"/>
              <w:left w:val="nil"/>
              <w:bottom w:val="nil"/>
              <w:right w:val="nil"/>
            </w:tcBorders>
            <w:shd w:val="clear" w:color="auto" w:fill="auto"/>
            <w:noWrap/>
            <w:vAlign w:val="bottom"/>
            <w:hideMark/>
          </w:tcPr>
          <w:p w14:paraId="43F7DE1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14.2</w:t>
            </w:r>
          </w:p>
        </w:tc>
        <w:tc>
          <w:tcPr>
            <w:tcW w:w="785" w:type="dxa"/>
            <w:tcBorders>
              <w:top w:val="nil"/>
              <w:left w:val="nil"/>
              <w:bottom w:val="nil"/>
              <w:right w:val="nil"/>
            </w:tcBorders>
            <w:shd w:val="clear" w:color="auto" w:fill="auto"/>
            <w:noWrap/>
            <w:vAlign w:val="bottom"/>
            <w:hideMark/>
          </w:tcPr>
          <w:p w14:paraId="170F921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8.6</w:t>
            </w:r>
          </w:p>
        </w:tc>
        <w:tc>
          <w:tcPr>
            <w:tcW w:w="732" w:type="dxa"/>
            <w:tcBorders>
              <w:top w:val="nil"/>
              <w:left w:val="nil"/>
              <w:bottom w:val="nil"/>
              <w:right w:val="nil"/>
            </w:tcBorders>
            <w:shd w:val="clear" w:color="auto" w:fill="auto"/>
            <w:noWrap/>
            <w:vAlign w:val="bottom"/>
            <w:hideMark/>
          </w:tcPr>
          <w:p w14:paraId="4B633FC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61.6</w:t>
            </w:r>
          </w:p>
        </w:tc>
        <w:tc>
          <w:tcPr>
            <w:tcW w:w="860" w:type="dxa"/>
            <w:tcBorders>
              <w:top w:val="nil"/>
              <w:left w:val="nil"/>
              <w:bottom w:val="nil"/>
              <w:right w:val="nil"/>
            </w:tcBorders>
            <w:shd w:val="clear" w:color="auto" w:fill="auto"/>
            <w:noWrap/>
            <w:vAlign w:val="bottom"/>
            <w:hideMark/>
          </w:tcPr>
          <w:p w14:paraId="3991EE6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13.0</w:t>
            </w:r>
          </w:p>
        </w:tc>
        <w:tc>
          <w:tcPr>
            <w:tcW w:w="960" w:type="dxa"/>
            <w:tcBorders>
              <w:top w:val="nil"/>
              <w:left w:val="nil"/>
              <w:bottom w:val="nil"/>
              <w:right w:val="nil"/>
            </w:tcBorders>
            <w:shd w:val="clear" w:color="auto" w:fill="auto"/>
            <w:noWrap/>
            <w:vAlign w:val="bottom"/>
            <w:hideMark/>
          </w:tcPr>
          <w:p w14:paraId="2E74126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132.5</w:t>
            </w:r>
          </w:p>
        </w:tc>
        <w:tc>
          <w:tcPr>
            <w:tcW w:w="689" w:type="dxa"/>
            <w:tcBorders>
              <w:top w:val="nil"/>
              <w:left w:val="nil"/>
              <w:bottom w:val="nil"/>
              <w:right w:val="nil"/>
            </w:tcBorders>
            <w:shd w:val="clear" w:color="auto" w:fill="auto"/>
            <w:noWrap/>
            <w:vAlign w:val="bottom"/>
            <w:hideMark/>
          </w:tcPr>
          <w:p w14:paraId="35F3C91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733.8</w:t>
            </w:r>
          </w:p>
        </w:tc>
        <w:tc>
          <w:tcPr>
            <w:tcW w:w="1000" w:type="dxa"/>
            <w:tcBorders>
              <w:top w:val="nil"/>
              <w:left w:val="nil"/>
              <w:bottom w:val="nil"/>
              <w:right w:val="nil"/>
            </w:tcBorders>
            <w:shd w:val="clear" w:color="auto" w:fill="auto"/>
            <w:noWrap/>
            <w:vAlign w:val="bottom"/>
            <w:hideMark/>
          </w:tcPr>
          <w:p w14:paraId="6476945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194.4</w:t>
            </w:r>
          </w:p>
        </w:tc>
      </w:tr>
      <w:tr w:rsidR="00F26016" w:rsidRPr="00F26016" w14:paraId="1BB4351C" w14:textId="77777777" w:rsidTr="00F26016">
        <w:trPr>
          <w:trHeight w:val="300"/>
        </w:trPr>
        <w:tc>
          <w:tcPr>
            <w:tcW w:w="1140" w:type="dxa"/>
            <w:tcBorders>
              <w:top w:val="nil"/>
              <w:left w:val="nil"/>
              <w:bottom w:val="nil"/>
              <w:right w:val="nil"/>
            </w:tcBorders>
            <w:shd w:val="clear" w:color="auto" w:fill="auto"/>
            <w:noWrap/>
            <w:hideMark/>
          </w:tcPr>
          <w:p w14:paraId="156CD52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w:t>
            </w:r>
          </w:p>
        </w:tc>
        <w:tc>
          <w:tcPr>
            <w:tcW w:w="1200" w:type="dxa"/>
            <w:tcBorders>
              <w:top w:val="nil"/>
              <w:left w:val="nil"/>
              <w:bottom w:val="nil"/>
              <w:right w:val="nil"/>
            </w:tcBorders>
            <w:shd w:val="clear" w:color="auto" w:fill="auto"/>
            <w:noWrap/>
            <w:hideMark/>
          </w:tcPr>
          <w:p w14:paraId="0B3A9742"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61C9812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0A6C047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6CF4208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6C907F9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7E7C4FB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020B542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07A773C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4.3</w:t>
            </w:r>
          </w:p>
        </w:tc>
        <w:tc>
          <w:tcPr>
            <w:tcW w:w="920" w:type="dxa"/>
            <w:tcBorders>
              <w:top w:val="nil"/>
              <w:left w:val="nil"/>
              <w:bottom w:val="nil"/>
              <w:right w:val="nil"/>
            </w:tcBorders>
            <w:shd w:val="clear" w:color="auto" w:fill="auto"/>
            <w:noWrap/>
            <w:vAlign w:val="bottom"/>
            <w:hideMark/>
          </w:tcPr>
          <w:p w14:paraId="3E120B9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10.6</w:t>
            </w:r>
          </w:p>
        </w:tc>
        <w:tc>
          <w:tcPr>
            <w:tcW w:w="741" w:type="dxa"/>
            <w:tcBorders>
              <w:top w:val="nil"/>
              <w:left w:val="nil"/>
              <w:bottom w:val="nil"/>
              <w:right w:val="nil"/>
            </w:tcBorders>
            <w:shd w:val="clear" w:color="auto" w:fill="auto"/>
            <w:noWrap/>
            <w:vAlign w:val="bottom"/>
            <w:hideMark/>
          </w:tcPr>
          <w:p w14:paraId="555460D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9.2</w:t>
            </w:r>
          </w:p>
        </w:tc>
        <w:tc>
          <w:tcPr>
            <w:tcW w:w="785" w:type="dxa"/>
            <w:tcBorders>
              <w:top w:val="nil"/>
              <w:left w:val="nil"/>
              <w:bottom w:val="nil"/>
              <w:right w:val="nil"/>
            </w:tcBorders>
            <w:shd w:val="clear" w:color="auto" w:fill="auto"/>
            <w:noWrap/>
            <w:vAlign w:val="bottom"/>
            <w:hideMark/>
          </w:tcPr>
          <w:p w14:paraId="2113E85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11.1</w:t>
            </w:r>
          </w:p>
        </w:tc>
        <w:tc>
          <w:tcPr>
            <w:tcW w:w="732" w:type="dxa"/>
            <w:tcBorders>
              <w:top w:val="nil"/>
              <w:left w:val="nil"/>
              <w:bottom w:val="nil"/>
              <w:right w:val="nil"/>
            </w:tcBorders>
            <w:shd w:val="clear" w:color="auto" w:fill="auto"/>
            <w:noWrap/>
            <w:vAlign w:val="bottom"/>
            <w:hideMark/>
          </w:tcPr>
          <w:p w14:paraId="13C5B32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25.2</w:t>
            </w:r>
          </w:p>
        </w:tc>
        <w:tc>
          <w:tcPr>
            <w:tcW w:w="860" w:type="dxa"/>
            <w:tcBorders>
              <w:top w:val="nil"/>
              <w:left w:val="nil"/>
              <w:bottom w:val="nil"/>
              <w:right w:val="nil"/>
            </w:tcBorders>
            <w:shd w:val="clear" w:color="auto" w:fill="auto"/>
            <w:noWrap/>
            <w:vAlign w:val="bottom"/>
            <w:hideMark/>
          </w:tcPr>
          <w:p w14:paraId="22763BE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w:t>
            </w:r>
          </w:p>
        </w:tc>
        <w:tc>
          <w:tcPr>
            <w:tcW w:w="960" w:type="dxa"/>
            <w:tcBorders>
              <w:top w:val="nil"/>
              <w:left w:val="nil"/>
              <w:bottom w:val="nil"/>
              <w:right w:val="nil"/>
            </w:tcBorders>
            <w:shd w:val="clear" w:color="auto" w:fill="auto"/>
            <w:noWrap/>
            <w:vAlign w:val="bottom"/>
            <w:hideMark/>
          </w:tcPr>
          <w:p w14:paraId="2CE3EB6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50.1</w:t>
            </w:r>
          </w:p>
        </w:tc>
        <w:tc>
          <w:tcPr>
            <w:tcW w:w="689" w:type="dxa"/>
            <w:tcBorders>
              <w:top w:val="nil"/>
              <w:left w:val="nil"/>
              <w:bottom w:val="nil"/>
              <w:right w:val="nil"/>
            </w:tcBorders>
            <w:shd w:val="clear" w:color="auto" w:fill="auto"/>
            <w:noWrap/>
            <w:vAlign w:val="bottom"/>
            <w:hideMark/>
          </w:tcPr>
          <w:p w14:paraId="3EC9840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557.6</w:t>
            </w:r>
          </w:p>
        </w:tc>
        <w:tc>
          <w:tcPr>
            <w:tcW w:w="1000" w:type="dxa"/>
            <w:tcBorders>
              <w:top w:val="nil"/>
              <w:left w:val="nil"/>
              <w:bottom w:val="nil"/>
              <w:right w:val="nil"/>
            </w:tcBorders>
            <w:shd w:val="clear" w:color="auto" w:fill="auto"/>
            <w:noWrap/>
            <w:vAlign w:val="bottom"/>
            <w:hideMark/>
          </w:tcPr>
          <w:p w14:paraId="53DB360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154.0</w:t>
            </w:r>
          </w:p>
        </w:tc>
      </w:tr>
      <w:tr w:rsidR="00F26016" w:rsidRPr="00F26016" w14:paraId="2BC63E98" w14:textId="77777777" w:rsidTr="00F26016">
        <w:trPr>
          <w:trHeight w:val="300"/>
        </w:trPr>
        <w:tc>
          <w:tcPr>
            <w:tcW w:w="1140" w:type="dxa"/>
            <w:tcBorders>
              <w:top w:val="nil"/>
              <w:left w:val="nil"/>
              <w:bottom w:val="nil"/>
              <w:right w:val="nil"/>
            </w:tcBorders>
            <w:shd w:val="clear" w:color="auto" w:fill="auto"/>
            <w:noWrap/>
            <w:hideMark/>
          </w:tcPr>
          <w:p w14:paraId="6B663E1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w:t>
            </w:r>
          </w:p>
        </w:tc>
        <w:tc>
          <w:tcPr>
            <w:tcW w:w="1200" w:type="dxa"/>
            <w:tcBorders>
              <w:top w:val="nil"/>
              <w:left w:val="nil"/>
              <w:bottom w:val="nil"/>
              <w:right w:val="nil"/>
            </w:tcBorders>
            <w:shd w:val="clear" w:color="auto" w:fill="auto"/>
            <w:noWrap/>
            <w:hideMark/>
          </w:tcPr>
          <w:p w14:paraId="4C69377F"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7B82EB0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68809C2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28F462C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427D825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63FE49F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2D67E34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0586887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39.0</w:t>
            </w:r>
          </w:p>
        </w:tc>
        <w:tc>
          <w:tcPr>
            <w:tcW w:w="920" w:type="dxa"/>
            <w:tcBorders>
              <w:top w:val="nil"/>
              <w:left w:val="nil"/>
              <w:bottom w:val="nil"/>
              <w:right w:val="nil"/>
            </w:tcBorders>
            <w:shd w:val="clear" w:color="auto" w:fill="auto"/>
            <w:noWrap/>
            <w:vAlign w:val="bottom"/>
            <w:hideMark/>
          </w:tcPr>
          <w:p w14:paraId="152CF74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19.6</w:t>
            </w:r>
          </w:p>
        </w:tc>
        <w:tc>
          <w:tcPr>
            <w:tcW w:w="741" w:type="dxa"/>
            <w:tcBorders>
              <w:top w:val="nil"/>
              <w:left w:val="nil"/>
              <w:bottom w:val="nil"/>
              <w:right w:val="nil"/>
            </w:tcBorders>
            <w:shd w:val="clear" w:color="auto" w:fill="auto"/>
            <w:noWrap/>
            <w:vAlign w:val="bottom"/>
            <w:hideMark/>
          </w:tcPr>
          <w:p w14:paraId="7916EFF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33.2</w:t>
            </w:r>
          </w:p>
        </w:tc>
        <w:tc>
          <w:tcPr>
            <w:tcW w:w="785" w:type="dxa"/>
            <w:tcBorders>
              <w:top w:val="nil"/>
              <w:left w:val="nil"/>
              <w:bottom w:val="nil"/>
              <w:right w:val="nil"/>
            </w:tcBorders>
            <w:shd w:val="clear" w:color="auto" w:fill="auto"/>
            <w:noWrap/>
            <w:vAlign w:val="bottom"/>
            <w:hideMark/>
          </w:tcPr>
          <w:p w14:paraId="00002DF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12.4</w:t>
            </w:r>
          </w:p>
        </w:tc>
        <w:tc>
          <w:tcPr>
            <w:tcW w:w="732" w:type="dxa"/>
            <w:tcBorders>
              <w:top w:val="nil"/>
              <w:left w:val="nil"/>
              <w:bottom w:val="nil"/>
              <w:right w:val="nil"/>
            </w:tcBorders>
            <w:shd w:val="clear" w:color="auto" w:fill="auto"/>
            <w:noWrap/>
            <w:vAlign w:val="bottom"/>
            <w:hideMark/>
          </w:tcPr>
          <w:p w14:paraId="21F0642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94.2</w:t>
            </w:r>
          </w:p>
        </w:tc>
        <w:tc>
          <w:tcPr>
            <w:tcW w:w="860" w:type="dxa"/>
            <w:tcBorders>
              <w:top w:val="nil"/>
              <w:left w:val="nil"/>
              <w:bottom w:val="nil"/>
              <w:right w:val="nil"/>
            </w:tcBorders>
            <w:shd w:val="clear" w:color="auto" w:fill="auto"/>
            <w:noWrap/>
            <w:vAlign w:val="bottom"/>
            <w:hideMark/>
          </w:tcPr>
          <w:p w14:paraId="1E3E021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960" w:type="dxa"/>
            <w:tcBorders>
              <w:top w:val="nil"/>
              <w:left w:val="nil"/>
              <w:bottom w:val="nil"/>
              <w:right w:val="nil"/>
            </w:tcBorders>
            <w:shd w:val="clear" w:color="auto" w:fill="auto"/>
            <w:noWrap/>
            <w:vAlign w:val="bottom"/>
            <w:hideMark/>
          </w:tcPr>
          <w:p w14:paraId="4BE2BAD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289.8</w:t>
            </w:r>
          </w:p>
        </w:tc>
        <w:tc>
          <w:tcPr>
            <w:tcW w:w="689" w:type="dxa"/>
            <w:tcBorders>
              <w:top w:val="nil"/>
              <w:left w:val="nil"/>
              <w:bottom w:val="nil"/>
              <w:right w:val="nil"/>
            </w:tcBorders>
            <w:shd w:val="clear" w:color="auto" w:fill="auto"/>
            <w:noWrap/>
            <w:vAlign w:val="bottom"/>
            <w:hideMark/>
          </w:tcPr>
          <w:p w14:paraId="5425BFF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1138.1</w:t>
            </w:r>
          </w:p>
        </w:tc>
        <w:tc>
          <w:tcPr>
            <w:tcW w:w="1000" w:type="dxa"/>
            <w:tcBorders>
              <w:top w:val="nil"/>
              <w:left w:val="nil"/>
              <w:bottom w:val="nil"/>
              <w:right w:val="nil"/>
            </w:tcBorders>
            <w:shd w:val="clear" w:color="auto" w:fill="auto"/>
            <w:noWrap/>
            <w:vAlign w:val="bottom"/>
            <w:hideMark/>
          </w:tcPr>
          <w:p w14:paraId="4741362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146.6</w:t>
            </w:r>
          </w:p>
        </w:tc>
      </w:tr>
      <w:tr w:rsidR="00F26016" w:rsidRPr="00F26016" w14:paraId="39C06446" w14:textId="77777777" w:rsidTr="00F26016">
        <w:trPr>
          <w:trHeight w:val="300"/>
        </w:trPr>
        <w:tc>
          <w:tcPr>
            <w:tcW w:w="1140" w:type="dxa"/>
            <w:tcBorders>
              <w:top w:val="nil"/>
              <w:left w:val="nil"/>
              <w:bottom w:val="nil"/>
              <w:right w:val="nil"/>
            </w:tcBorders>
            <w:shd w:val="clear" w:color="auto" w:fill="auto"/>
            <w:noWrap/>
            <w:hideMark/>
          </w:tcPr>
          <w:p w14:paraId="6F5C264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w:t>
            </w:r>
          </w:p>
        </w:tc>
        <w:tc>
          <w:tcPr>
            <w:tcW w:w="1200" w:type="dxa"/>
            <w:tcBorders>
              <w:top w:val="nil"/>
              <w:left w:val="nil"/>
              <w:bottom w:val="nil"/>
              <w:right w:val="nil"/>
            </w:tcBorders>
            <w:shd w:val="clear" w:color="auto" w:fill="auto"/>
            <w:noWrap/>
            <w:hideMark/>
          </w:tcPr>
          <w:p w14:paraId="3D367D6A"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6E7627B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45DF94D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2D5ED16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2994449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38175AF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7308E1C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36CBB19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111.0</w:t>
            </w:r>
          </w:p>
        </w:tc>
        <w:tc>
          <w:tcPr>
            <w:tcW w:w="920" w:type="dxa"/>
            <w:tcBorders>
              <w:top w:val="nil"/>
              <w:left w:val="nil"/>
              <w:bottom w:val="nil"/>
              <w:right w:val="nil"/>
            </w:tcBorders>
            <w:shd w:val="clear" w:color="auto" w:fill="auto"/>
            <w:noWrap/>
            <w:vAlign w:val="bottom"/>
            <w:hideMark/>
          </w:tcPr>
          <w:p w14:paraId="3F69D82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14.5</w:t>
            </w:r>
          </w:p>
        </w:tc>
        <w:tc>
          <w:tcPr>
            <w:tcW w:w="741" w:type="dxa"/>
            <w:tcBorders>
              <w:top w:val="nil"/>
              <w:left w:val="nil"/>
              <w:bottom w:val="nil"/>
              <w:right w:val="nil"/>
            </w:tcBorders>
            <w:shd w:val="clear" w:color="auto" w:fill="auto"/>
            <w:noWrap/>
            <w:vAlign w:val="bottom"/>
            <w:hideMark/>
          </w:tcPr>
          <w:p w14:paraId="5A95731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17.3</w:t>
            </w:r>
          </w:p>
        </w:tc>
        <w:tc>
          <w:tcPr>
            <w:tcW w:w="785" w:type="dxa"/>
            <w:tcBorders>
              <w:top w:val="nil"/>
              <w:left w:val="nil"/>
              <w:bottom w:val="nil"/>
              <w:right w:val="nil"/>
            </w:tcBorders>
            <w:shd w:val="clear" w:color="auto" w:fill="auto"/>
            <w:noWrap/>
            <w:vAlign w:val="bottom"/>
            <w:hideMark/>
          </w:tcPr>
          <w:p w14:paraId="326DBC1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13.0</w:t>
            </w:r>
          </w:p>
        </w:tc>
        <w:tc>
          <w:tcPr>
            <w:tcW w:w="732" w:type="dxa"/>
            <w:tcBorders>
              <w:top w:val="nil"/>
              <w:left w:val="nil"/>
              <w:bottom w:val="nil"/>
              <w:right w:val="nil"/>
            </w:tcBorders>
            <w:shd w:val="clear" w:color="auto" w:fill="auto"/>
            <w:noWrap/>
            <w:vAlign w:val="bottom"/>
            <w:hideMark/>
          </w:tcPr>
          <w:p w14:paraId="36D5535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618.6</w:t>
            </w:r>
          </w:p>
        </w:tc>
        <w:tc>
          <w:tcPr>
            <w:tcW w:w="860" w:type="dxa"/>
            <w:tcBorders>
              <w:top w:val="nil"/>
              <w:left w:val="nil"/>
              <w:bottom w:val="nil"/>
              <w:right w:val="nil"/>
            </w:tcBorders>
            <w:shd w:val="clear" w:color="auto" w:fill="auto"/>
            <w:noWrap/>
            <w:vAlign w:val="bottom"/>
            <w:hideMark/>
          </w:tcPr>
          <w:p w14:paraId="30EADEB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960" w:type="dxa"/>
            <w:tcBorders>
              <w:top w:val="nil"/>
              <w:left w:val="nil"/>
              <w:bottom w:val="nil"/>
              <w:right w:val="nil"/>
            </w:tcBorders>
            <w:shd w:val="clear" w:color="auto" w:fill="auto"/>
            <w:noWrap/>
            <w:vAlign w:val="bottom"/>
            <w:hideMark/>
          </w:tcPr>
          <w:p w14:paraId="3D6DD49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99.9</w:t>
            </w:r>
          </w:p>
        </w:tc>
        <w:tc>
          <w:tcPr>
            <w:tcW w:w="689" w:type="dxa"/>
            <w:tcBorders>
              <w:top w:val="nil"/>
              <w:left w:val="nil"/>
              <w:bottom w:val="nil"/>
              <w:right w:val="nil"/>
            </w:tcBorders>
            <w:shd w:val="clear" w:color="auto" w:fill="auto"/>
            <w:noWrap/>
            <w:vAlign w:val="bottom"/>
            <w:hideMark/>
          </w:tcPr>
          <w:p w14:paraId="39825A3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774.2</w:t>
            </w:r>
          </w:p>
        </w:tc>
        <w:tc>
          <w:tcPr>
            <w:tcW w:w="1000" w:type="dxa"/>
            <w:tcBorders>
              <w:top w:val="nil"/>
              <w:left w:val="nil"/>
              <w:bottom w:val="nil"/>
              <w:right w:val="nil"/>
            </w:tcBorders>
            <w:shd w:val="clear" w:color="auto" w:fill="auto"/>
            <w:noWrap/>
            <w:vAlign w:val="bottom"/>
            <w:hideMark/>
          </w:tcPr>
          <w:p w14:paraId="58CC896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178.0</w:t>
            </w:r>
          </w:p>
        </w:tc>
      </w:tr>
      <w:tr w:rsidR="00F26016" w:rsidRPr="00F26016" w14:paraId="6C041ADB" w14:textId="77777777" w:rsidTr="00F26016">
        <w:trPr>
          <w:trHeight w:val="300"/>
        </w:trPr>
        <w:tc>
          <w:tcPr>
            <w:tcW w:w="1140" w:type="dxa"/>
            <w:tcBorders>
              <w:top w:val="nil"/>
              <w:left w:val="nil"/>
              <w:bottom w:val="nil"/>
              <w:right w:val="nil"/>
            </w:tcBorders>
            <w:shd w:val="clear" w:color="auto" w:fill="auto"/>
            <w:noWrap/>
            <w:hideMark/>
          </w:tcPr>
          <w:p w14:paraId="24D3B72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w:t>
            </w:r>
          </w:p>
        </w:tc>
        <w:tc>
          <w:tcPr>
            <w:tcW w:w="1200" w:type="dxa"/>
            <w:tcBorders>
              <w:top w:val="nil"/>
              <w:left w:val="nil"/>
              <w:bottom w:val="nil"/>
              <w:right w:val="nil"/>
            </w:tcBorders>
            <w:shd w:val="clear" w:color="auto" w:fill="auto"/>
            <w:noWrap/>
            <w:hideMark/>
          </w:tcPr>
          <w:p w14:paraId="6927532C"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24AEBBA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5E624C3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7C11A8B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4C81BE0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28632A9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7F66CBB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25A1D69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w:t>
            </w:r>
          </w:p>
        </w:tc>
        <w:tc>
          <w:tcPr>
            <w:tcW w:w="920" w:type="dxa"/>
            <w:tcBorders>
              <w:top w:val="nil"/>
              <w:left w:val="nil"/>
              <w:bottom w:val="nil"/>
              <w:right w:val="nil"/>
            </w:tcBorders>
            <w:shd w:val="clear" w:color="auto" w:fill="auto"/>
            <w:noWrap/>
            <w:vAlign w:val="bottom"/>
            <w:hideMark/>
          </w:tcPr>
          <w:p w14:paraId="4CB13D3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16.0</w:t>
            </w:r>
          </w:p>
        </w:tc>
        <w:tc>
          <w:tcPr>
            <w:tcW w:w="741" w:type="dxa"/>
            <w:tcBorders>
              <w:top w:val="nil"/>
              <w:left w:val="nil"/>
              <w:bottom w:val="nil"/>
              <w:right w:val="nil"/>
            </w:tcBorders>
            <w:shd w:val="clear" w:color="auto" w:fill="auto"/>
            <w:noWrap/>
            <w:vAlign w:val="bottom"/>
            <w:hideMark/>
          </w:tcPr>
          <w:p w14:paraId="4687085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20.4</w:t>
            </w:r>
          </w:p>
        </w:tc>
        <w:tc>
          <w:tcPr>
            <w:tcW w:w="785" w:type="dxa"/>
            <w:tcBorders>
              <w:top w:val="nil"/>
              <w:left w:val="nil"/>
              <w:bottom w:val="nil"/>
              <w:right w:val="nil"/>
            </w:tcBorders>
            <w:shd w:val="clear" w:color="auto" w:fill="auto"/>
            <w:noWrap/>
            <w:vAlign w:val="bottom"/>
            <w:hideMark/>
          </w:tcPr>
          <w:p w14:paraId="4558519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18.2</w:t>
            </w:r>
          </w:p>
        </w:tc>
        <w:tc>
          <w:tcPr>
            <w:tcW w:w="732" w:type="dxa"/>
            <w:tcBorders>
              <w:top w:val="nil"/>
              <w:left w:val="nil"/>
              <w:bottom w:val="nil"/>
              <w:right w:val="nil"/>
            </w:tcBorders>
            <w:shd w:val="clear" w:color="auto" w:fill="auto"/>
            <w:noWrap/>
            <w:vAlign w:val="bottom"/>
            <w:hideMark/>
          </w:tcPr>
          <w:p w14:paraId="683DFE9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96.4</w:t>
            </w:r>
          </w:p>
        </w:tc>
        <w:tc>
          <w:tcPr>
            <w:tcW w:w="860" w:type="dxa"/>
            <w:tcBorders>
              <w:top w:val="nil"/>
              <w:left w:val="nil"/>
              <w:bottom w:val="nil"/>
              <w:right w:val="nil"/>
            </w:tcBorders>
            <w:shd w:val="clear" w:color="auto" w:fill="auto"/>
            <w:noWrap/>
            <w:vAlign w:val="bottom"/>
            <w:hideMark/>
          </w:tcPr>
          <w:p w14:paraId="2D5CDBA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16.1</w:t>
            </w:r>
          </w:p>
        </w:tc>
        <w:tc>
          <w:tcPr>
            <w:tcW w:w="960" w:type="dxa"/>
            <w:tcBorders>
              <w:top w:val="nil"/>
              <w:left w:val="nil"/>
              <w:bottom w:val="nil"/>
              <w:right w:val="nil"/>
            </w:tcBorders>
            <w:shd w:val="clear" w:color="auto" w:fill="auto"/>
            <w:noWrap/>
            <w:vAlign w:val="bottom"/>
            <w:hideMark/>
          </w:tcPr>
          <w:p w14:paraId="5E640FC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69.5</w:t>
            </w:r>
          </w:p>
        </w:tc>
        <w:tc>
          <w:tcPr>
            <w:tcW w:w="689" w:type="dxa"/>
            <w:tcBorders>
              <w:top w:val="nil"/>
              <w:left w:val="nil"/>
              <w:bottom w:val="nil"/>
              <w:right w:val="nil"/>
            </w:tcBorders>
            <w:shd w:val="clear" w:color="auto" w:fill="auto"/>
            <w:noWrap/>
            <w:vAlign w:val="bottom"/>
            <w:hideMark/>
          </w:tcPr>
          <w:p w14:paraId="3FBE2B4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655.8</w:t>
            </w:r>
          </w:p>
        </w:tc>
        <w:tc>
          <w:tcPr>
            <w:tcW w:w="1000" w:type="dxa"/>
            <w:tcBorders>
              <w:top w:val="nil"/>
              <w:left w:val="nil"/>
              <w:bottom w:val="nil"/>
              <w:right w:val="nil"/>
            </w:tcBorders>
            <w:shd w:val="clear" w:color="auto" w:fill="auto"/>
            <w:noWrap/>
            <w:vAlign w:val="bottom"/>
            <w:hideMark/>
          </w:tcPr>
          <w:p w14:paraId="7D8ED81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143.0</w:t>
            </w:r>
          </w:p>
        </w:tc>
      </w:tr>
      <w:tr w:rsidR="00F26016" w:rsidRPr="00F26016" w14:paraId="4928648C" w14:textId="77777777" w:rsidTr="00F26016">
        <w:trPr>
          <w:trHeight w:val="300"/>
        </w:trPr>
        <w:tc>
          <w:tcPr>
            <w:tcW w:w="1140" w:type="dxa"/>
            <w:tcBorders>
              <w:top w:val="nil"/>
              <w:left w:val="nil"/>
              <w:bottom w:val="nil"/>
              <w:right w:val="nil"/>
            </w:tcBorders>
            <w:shd w:val="clear" w:color="auto" w:fill="auto"/>
            <w:noWrap/>
            <w:hideMark/>
          </w:tcPr>
          <w:p w14:paraId="7487282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w:t>
            </w:r>
          </w:p>
        </w:tc>
        <w:tc>
          <w:tcPr>
            <w:tcW w:w="1200" w:type="dxa"/>
            <w:tcBorders>
              <w:top w:val="nil"/>
              <w:left w:val="nil"/>
              <w:bottom w:val="nil"/>
              <w:right w:val="nil"/>
            </w:tcBorders>
            <w:shd w:val="clear" w:color="auto" w:fill="auto"/>
            <w:noWrap/>
            <w:hideMark/>
          </w:tcPr>
          <w:p w14:paraId="001D912F"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0957602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7810E58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3B43469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1EF769C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14A1616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0E22F7D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6E8B1F9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72.5</w:t>
            </w:r>
          </w:p>
        </w:tc>
        <w:tc>
          <w:tcPr>
            <w:tcW w:w="920" w:type="dxa"/>
            <w:tcBorders>
              <w:top w:val="nil"/>
              <w:left w:val="nil"/>
              <w:bottom w:val="nil"/>
              <w:right w:val="nil"/>
            </w:tcBorders>
            <w:shd w:val="clear" w:color="auto" w:fill="auto"/>
            <w:noWrap/>
            <w:vAlign w:val="bottom"/>
            <w:hideMark/>
          </w:tcPr>
          <w:p w14:paraId="6A47C2F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31.5</w:t>
            </w:r>
          </w:p>
        </w:tc>
        <w:tc>
          <w:tcPr>
            <w:tcW w:w="741" w:type="dxa"/>
            <w:tcBorders>
              <w:top w:val="nil"/>
              <w:left w:val="nil"/>
              <w:bottom w:val="nil"/>
              <w:right w:val="nil"/>
            </w:tcBorders>
            <w:shd w:val="clear" w:color="auto" w:fill="auto"/>
            <w:noWrap/>
            <w:vAlign w:val="bottom"/>
            <w:hideMark/>
          </w:tcPr>
          <w:p w14:paraId="5E0E5E5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162.1</w:t>
            </w:r>
          </w:p>
        </w:tc>
        <w:tc>
          <w:tcPr>
            <w:tcW w:w="785" w:type="dxa"/>
            <w:tcBorders>
              <w:top w:val="nil"/>
              <w:left w:val="nil"/>
              <w:bottom w:val="nil"/>
              <w:right w:val="nil"/>
            </w:tcBorders>
            <w:shd w:val="clear" w:color="auto" w:fill="auto"/>
            <w:noWrap/>
            <w:vAlign w:val="bottom"/>
            <w:hideMark/>
          </w:tcPr>
          <w:p w14:paraId="6846BBD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49.5</w:t>
            </w:r>
          </w:p>
        </w:tc>
        <w:tc>
          <w:tcPr>
            <w:tcW w:w="732" w:type="dxa"/>
            <w:tcBorders>
              <w:top w:val="nil"/>
              <w:left w:val="nil"/>
              <w:bottom w:val="nil"/>
              <w:right w:val="nil"/>
            </w:tcBorders>
            <w:shd w:val="clear" w:color="auto" w:fill="auto"/>
            <w:noWrap/>
            <w:vAlign w:val="bottom"/>
            <w:hideMark/>
          </w:tcPr>
          <w:p w14:paraId="7CA1582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243.9</w:t>
            </w:r>
          </w:p>
        </w:tc>
        <w:tc>
          <w:tcPr>
            <w:tcW w:w="860" w:type="dxa"/>
            <w:tcBorders>
              <w:top w:val="nil"/>
              <w:left w:val="nil"/>
              <w:bottom w:val="nil"/>
              <w:right w:val="nil"/>
            </w:tcBorders>
            <w:shd w:val="clear" w:color="auto" w:fill="auto"/>
            <w:noWrap/>
            <w:vAlign w:val="bottom"/>
            <w:hideMark/>
          </w:tcPr>
          <w:p w14:paraId="54BFFF0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65.6</w:t>
            </w:r>
          </w:p>
        </w:tc>
        <w:tc>
          <w:tcPr>
            <w:tcW w:w="960" w:type="dxa"/>
            <w:tcBorders>
              <w:top w:val="nil"/>
              <w:left w:val="nil"/>
              <w:bottom w:val="nil"/>
              <w:right w:val="nil"/>
            </w:tcBorders>
            <w:shd w:val="clear" w:color="auto" w:fill="auto"/>
            <w:noWrap/>
            <w:vAlign w:val="bottom"/>
            <w:hideMark/>
          </w:tcPr>
          <w:p w14:paraId="64A86DC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273.0</w:t>
            </w:r>
          </w:p>
        </w:tc>
        <w:tc>
          <w:tcPr>
            <w:tcW w:w="689" w:type="dxa"/>
            <w:tcBorders>
              <w:top w:val="nil"/>
              <w:left w:val="nil"/>
              <w:bottom w:val="nil"/>
              <w:right w:val="nil"/>
            </w:tcBorders>
            <w:shd w:val="clear" w:color="auto" w:fill="auto"/>
            <w:noWrap/>
            <w:vAlign w:val="bottom"/>
            <w:hideMark/>
          </w:tcPr>
          <w:p w14:paraId="2C87BC1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999.2</w:t>
            </w:r>
          </w:p>
        </w:tc>
        <w:tc>
          <w:tcPr>
            <w:tcW w:w="1000" w:type="dxa"/>
            <w:tcBorders>
              <w:top w:val="nil"/>
              <w:left w:val="nil"/>
              <w:bottom w:val="nil"/>
              <w:right w:val="nil"/>
            </w:tcBorders>
            <w:shd w:val="clear" w:color="auto" w:fill="auto"/>
            <w:noWrap/>
            <w:vAlign w:val="bottom"/>
            <w:hideMark/>
          </w:tcPr>
          <w:p w14:paraId="6E47878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130.7</w:t>
            </w:r>
          </w:p>
        </w:tc>
      </w:tr>
      <w:tr w:rsidR="00F26016" w:rsidRPr="00F26016" w14:paraId="41A4C4FA" w14:textId="77777777" w:rsidTr="00F26016">
        <w:trPr>
          <w:trHeight w:val="300"/>
        </w:trPr>
        <w:tc>
          <w:tcPr>
            <w:tcW w:w="1140" w:type="dxa"/>
            <w:tcBorders>
              <w:top w:val="nil"/>
              <w:left w:val="nil"/>
              <w:bottom w:val="nil"/>
              <w:right w:val="nil"/>
            </w:tcBorders>
            <w:shd w:val="clear" w:color="auto" w:fill="auto"/>
            <w:noWrap/>
            <w:hideMark/>
          </w:tcPr>
          <w:p w14:paraId="2DA6226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w:t>
            </w:r>
          </w:p>
        </w:tc>
        <w:tc>
          <w:tcPr>
            <w:tcW w:w="1200" w:type="dxa"/>
            <w:tcBorders>
              <w:top w:val="nil"/>
              <w:left w:val="nil"/>
              <w:bottom w:val="nil"/>
              <w:right w:val="nil"/>
            </w:tcBorders>
            <w:shd w:val="clear" w:color="auto" w:fill="auto"/>
            <w:noWrap/>
            <w:hideMark/>
          </w:tcPr>
          <w:p w14:paraId="5982B790"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06C8E99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64B68E1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4A74E2D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012F229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084E64C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427C038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2AA1097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130.2</w:t>
            </w:r>
          </w:p>
        </w:tc>
        <w:tc>
          <w:tcPr>
            <w:tcW w:w="920" w:type="dxa"/>
            <w:tcBorders>
              <w:top w:val="nil"/>
              <w:left w:val="nil"/>
              <w:bottom w:val="nil"/>
              <w:right w:val="nil"/>
            </w:tcBorders>
            <w:shd w:val="clear" w:color="auto" w:fill="auto"/>
            <w:noWrap/>
            <w:vAlign w:val="bottom"/>
            <w:hideMark/>
          </w:tcPr>
          <w:p w14:paraId="7EF5A05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16.7</w:t>
            </w:r>
          </w:p>
        </w:tc>
        <w:tc>
          <w:tcPr>
            <w:tcW w:w="741" w:type="dxa"/>
            <w:tcBorders>
              <w:top w:val="nil"/>
              <w:left w:val="nil"/>
              <w:bottom w:val="nil"/>
              <w:right w:val="nil"/>
            </w:tcBorders>
            <w:shd w:val="clear" w:color="auto" w:fill="auto"/>
            <w:noWrap/>
            <w:vAlign w:val="bottom"/>
            <w:hideMark/>
          </w:tcPr>
          <w:p w14:paraId="30149EE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25.0</w:t>
            </w:r>
          </w:p>
        </w:tc>
        <w:tc>
          <w:tcPr>
            <w:tcW w:w="785" w:type="dxa"/>
            <w:tcBorders>
              <w:top w:val="nil"/>
              <w:left w:val="nil"/>
              <w:bottom w:val="nil"/>
              <w:right w:val="nil"/>
            </w:tcBorders>
            <w:shd w:val="clear" w:color="auto" w:fill="auto"/>
            <w:noWrap/>
            <w:vAlign w:val="bottom"/>
            <w:hideMark/>
          </w:tcPr>
          <w:p w14:paraId="22206BB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9.9</w:t>
            </w:r>
          </w:p>
        </w:tc>
        <w:tc>
          <w:tcPr>
            <w:tcW w:w="732" w:type="dxa"/>
            <w:tcBorders>
              <w:top w:val="nil"/>
              <w:left w:val="nil"/>
              <w:bottom w:val="nil"/>
              <w:right w:val="nil"/>
            </w:tcBorders>
            <w:shd w:val="clear" w:color="auto" w:fill="auto"/>
            <w:noWrap/>
            <w:vAlign w:val="bottom"/>
            <w:hideMark/>
          </w:tcPr>
          <w:p w14:paraId="50D131F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666.5</w:t>
            </w:r>
          </w:p>
        </w:tc>
        <w:tc>
          <w:tcPr>
            <w:tcW w:w="860" w:type="dxa"/>
            <w:tcBorders>
              <w:top w:val="nil"/>
              <w:left w:val="nil"/>
              <w:bottom w:val="nil"/>
              <w:right w:val="nil"/>
            </w:tcBorders>
            <w:shd w:val="clear" w:color="auto" w:fill="auto"/>
            <w:noWrap/>
            <w:vAlign w:val="bottom"/>
            <w:hideMark/>
          </w:tcPr>
          <w:p w14:paraId="0477569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w:t>
            </w:r>
          </w:p>
        </w:tc>
        <w:tc>
          <w:tcPr>
            <w:tcW w:w="960" w:type="dxa"/>
            <w:tcBorders>
              <w:top w:val="nil"/>
              <w:left w:val="nil"/>
              <w:bottom w:val="nil"/>
              <w:right w:val="nil"/>
            </w:tcBorders>
            <w:shd w:val="clear" w:color="auto" w:fill="auto"/>
            <w:noWrap/>
            <w:vAlign w:val="bottom"/>
            <w:hideMark/>
          </w:tcPr>
          <w:p w14:paraId="71424BC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88.5</w:t>
            </w:r>
          </w:p>
        </w:tc>
        <w:tc>
          <w:tcPr>
            <w:tcW w:w="689" w:type="dxa"/>
            <w:tcBorders>
              <w:top w:val="nil"/>
              <w:left w:val="nil"/>
              <w:bottom w:val="nil"/>
              <w:right w:val="nil"/>
            </w:tcBorders>
            <w:shd w:val="clear" w:color="auto" w:fill="auto"/>
            <w:noWrap/>
            <w:vAlign w:val="bottom"/>
            <w:hideMark/>
          </w:tcPr>
          <w:p w14:paraId="1761F87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1023.1</w:t>
            </w:r>
          </w:p>
        </w:tc>
        <w:tc>
          <w:tcPr>
            <w:tcW w:w="1000" w:type="dxa"/>
            <w:tcBorders>
              <w:top w:val="nil"/>
              <w:left w:val="nil"/>
              <w:bottom w:val="nil"/>
              <w:right w:val="nil"/>
            </w:tcBorders>
            <w:shd w:val="clear" w:color="auto" w:fill="auto"/>
            <w:noWrap/>
            <w:vAlign w:val="bottom"/>
            <w:hideMark/>
          </w:tcPr>
          <w:p w14:paraId="2485F21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187.6</w:t>
            </w:r>
          </w:p>
        </w:tc>
      </w:tr>
      <w:tr w:rsidR="00F26016" w:rsidRPr="00F26016" w14:paraId="34E5BE43" w14:textId="77777777" w:rsidTr="00F26016">
        <w:trPr>
          <w:trHeight w:val="300"/>
        </w:trPr>
        <w:tc>
          <w:tcPr>
            <w:tcW w:w="1140" w:type="dxa"/>
            <w:tcBorders>
              <w:top w:val="nil"/>
              <w:left w:val="nil"/>
              <w:bottom w:val="nil"/>
              <w:right w:val="nil"/>
            </w:tcBorders>
            <w:shd w:val="clear" w:color="auto" w:fill="auto"/>
            <w:noWrap/>
            <w:hideMark/>
          </w:tcPr>
          <w:p w14:paraId="6925913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w:t>
            </w:r>
          </w:p>
        </w:tc>
        <w:tc>
          <w:tcPr>
            <w:tcW w:w="1200" w:type="dxa"/>
            <w:tcBorders>
              <w:top w:val="nil"/>
              <w:left w:val="nil"/>
              <w:bottom w:val="nil"/>
              <w:right w:val="nil"/>
            </w:tcBorders>
            <w:shd w:val="clear" w:color="auto" w:fill="auto"/>
            <w:noWrap/>
            <w:hideMark/>
          </w:tcPr>
          <w:p w14:paraId="61420357"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3C86F83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20EC7CF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2B82F1A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597DC9B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49B166B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35BDB15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494998B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6.3</w:t>
            </w:r>
          </w:p>
        </w:tc>
        <w:tc>
          <w:tcPr>
            <w:tcW w:w="920" w:type="dxa"/>
            <w:tcBorders>
              <w:top w:val="nil"/>
              <w:left w:val="nil"/>
              <w:bottom w:val="nil"/>
              <w:right w:val="nil"/>
            </w:tcBorders>
            <w:shd w:val="clear" w:color="auto" w:fill="auto"/>
            <w:noWrap/>
            <w:vAlign w:val="bottom"/>
            <w:hideMark/>
          </w:tcPr>
          <w:p w14:paraId="2775A31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15.1</w:t>
            </w:r>
          </w:p>
        </w:tc>
        <w:tc>
          <w:tcPr>
            <w:tcW w:w="741" w:type="dxa"/>
            <w:tcBorders>
              <w:top w:val="nil"/>
              <w:left w:val="nil"/>
              <w:bottom w:val="nil"/>
              <w:right w:val="nil"/>
            </w:tcBorders>
            <w:shd w:val="clear" w:color="auto" w:fill="auto"/>
            <w:noWrap/>
            <w:vAlign w:val="bottom"/>
            <w:hideMark/>
          </w:tcPr>
          <w:p w14:paraId="66FD882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13.8</w:t>
            </w:r>
          </w:p>
        </w:tc>
        <w:tc>
          <w:tcPr>
            <w:tcW w:w="785" w:type="dxa"/>
            <w:tcBorders>
              <w:top w:val="nil"/>
              <w:left w:val="nil"/>
              <w:bottom w:val="nil"/>
              <w:right w:val="nil"/>
            </w:tcBorders>
            <w:shd w:val="clear" w:color="auto" w:fill="auto"/>
            <w:noWrap/>
            <w:vAlign w:val="bottom"/>
            <w:hideMark/>
          </w:tcPr>
          <w:p w14:paraId="275E581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13.6</w:t>
            </w:r>
          </w:p>
        </w:tc>
        <w:tc>
          <w:tcPr>
            <w:tcW w:w="732" w:type="dxa"/>
            <w:tcBorders>
              <w:top w:val="nil"/>
              <w:left w:val="nil"/>
              <w:bottom w:val="nil"/>
              <w:right w:val="nil"/>
            </w:tcBorders>
            <w:shd w:val="clear" w:color="auto" w:fill="auto"/>
            <w:noWrap/>
            <w:vAlign w:val="bottom"/>
            <w:hideMark/>
          </w:tcPr>
          <w:p w14:paraId="6965CB6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115.0</w:t>
            </w:r>
          </w:p>
        </w:tc>
        <w:tc>
          <w:tcPr>
            <w:tcW w:w="860" w:type="dxa"/>
            <w:tcBorders>
              <w:top w:val="nil"/>
              <w:left w:val="nil"/>
              <w:bottom w:val="nil"/>
              <w:right w:val="nil"/>
            </w:tcBorders>
            <w:shd w:val="clear" w:color="auto" w:fill="auto"/>
            <w:noWrap/>
            <w:vAlign w:val="bottom"/>
            <w:hideMark/>
          </w:tcPr>
          <w:p w14:paraId="0139545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13.8</w:t>
            </w:r>
          </w:p>
        </w:tc>
        <w:tc>
          <w:tcPr>
            <w:tcW w:w="960" w:type="dxa"/>
            <w:tcBorders>
              <w:top w:val="nil"/>
              <w:left w:val="nil"/>
              <w:bottom w:val="nil"/>
              <w:right w:val="nil"/>
            </w:tcBorders>
            <w:shd w:val="clear" w:color="auto" w:fill="auto"/>
            <w:noWrap/>
            <w:vAlign w:val="bottom"/>
            <w:hideMark/>
          </w:tcPr>
          <w:p w14:paraId="0F643A6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32.9</w:t>
            </w:r>
          </w:p>
        </w:tc>
        <w:tc>
          <w:tcPr>
            <w:tcW w:w="689" w:type="dxa"/>
            <w:tcBorders>
              <w:top w:val="nil"/>
              <w:left w:val="nil"/>
              <w:bottom w:val="nil"/>
              <w:right w:val="nil"/>
            </w:tcBorders>
            <w:shd w:val="clear" w:color="auto" w:fill="auto"/>
            <w:noWrap/>
            <w:vAlign w:val="bottom"/>
            <w:hideMark/>
          </w:tcPr>
          <w:p w14:paraId="132099B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685.2</w:t>
            </w:r>
          </w:p>
        </w:tc>
        <w:tc>
          <w:tcPr>
            <w:tcW w:w="1000" w:type="dxa"/>
            <w:tcBorders>
              <w:top w:val="nil"/>
              <w:left w:val="nil"/>
              <w:bottom w:val="nil"/>
              <w:right w:val="nil"/>
            </w:tcBorders>
            <w:shd w:val="clear" w:color="auto" w:fill="auto"/>
            <w:noWrap/>
            <w:vAlign w:val="bottom"/>
            <w:hideMark/>
          </w:tcPr>
          <w:p w14:paraId="64B5FE3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144.4</w:t>
            </w:r>
          </w:p>
        </w:tc>
      </w:tr>
      <w:tr w:rsidR="00F26016" w:rsidRPr="00F26016" w14:paraId="3EF355E8" w14:textId="77777777" w:rsidTr="00F26016">
        <w:trPr>
          <w:trHeight w:val="300"/>
        </w:trPr>
        <w:tc>
          <w:tcPr>
            <w:tcW w:w="1140" w:type="dxa"/>
            <w:tcBorders>
              <w:top w:val="nil"/>
              <w:left w:val="nil"/>
              <w:bottom w:val="nil"/>
              <w:right w:val="nil"/>
            </w:tcBorders>
            <w:shd w:val="clear" w:color="auto" w:fill="auto"/>
            <w:noWrap/>
            <w:hideMark/>
          </w:tcPr>
          <w:p w14:paraId="6CC0D65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w:t>
            </w:r>
          </w:p>
        </w:tc>
        <w:tc>
          <w:tcPr>
            <w:tcW w:w="1200" w:type="dxa"/>
            <w:tcBorders>
              <w:top w:val="nil"/>
              <w:left w:val="nil"/>
              <w:bottom w:val="nil"/>
              <w:right w:val="nil"/>
            </w:tcBorders>
            <w:shd w:val="clear" w:color="auto" w:fill="auto"/>
            <w:noWrap/>
            <w:hideMark/>
          </w:tcPr>
          <w:p w14:paraId="3CEAFAA8"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1D9EC40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6ED398A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4693795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22A397A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78FE150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467A415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5B2A0B5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73.2</w:t>
            </w:r>
          </w:p>
        </w:tc>
        <w:tc>
          <w:tcPr>
            <w:tcW w:w="920" w:type="dxa"/>
            <w:tcBorders>
              <w:top w:val="nil"/>
              <w:left w:val="nil"/>
              <w:bottom w:val="nil"/>
              <w:right w:val="nil"/>
            </w:tcBorders>
            <w:shd w:val="clear" w:color="auto" w:fill="auto"/>
            <w:noWrap/>
            <w:vAlign w:val="bottom"/>
            <w:hideMark/>
          </w:tcPr>
          <w:p w14:paraId="7702B75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19.5</w:t>
            </w:r>
          </w:p>
        </w:tc>
        <w:tc>
          <w:tcPr>
            <w:tcW w:w="741" w:type="dxa"/>
            <w:tcBorders>
              <w:top w:val="nil"/>
              <w:left w:val="nil"/>
              <w:bottom w:val="nil"/>
              <w:right w:val="nil"/>
            </w:tcBorders>
            <w:shd w:val="clear" w:color="auto" w:fill="auto"/>
            <w:noWrap/>
            <w:vAlign w:val="bottom"/>
            <w:hideMark/>
          </w:tcPr>
          <w:p w14:paraId="3E3F71A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326.5</w:t>
            </w:r>
          </w:p>
        </w:tc>
        <w:tc>
          <w:tcPr>
            <w:tcW w:w="785" w:type="dxa"/>
            <w:tcBorders>
              <w:top w:val="nil"/>
              <w:left w:val="nil"/>
              <w:bottom w:val="nil"/>
              <w:right w:val="nil"/>
            </w:tcBorders>
            <w:shd w:val="clear" w:color="auto" w:fill="auto"/>
            <w:noWrap/>
            <w:vAlign w:val="bottom"/>
            <w:hideMark/>
          </w:tcPr>
          <w:p w14:paraId="22F8A5D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62.7</w:t>
            </w:r>
          </w:p>
        </w:tc>
        <w:tc>
          <w:tcPr>
            <w:tcW w:w="732" w:type="dxa"/>
            <w:tcBorders>
              <w:top w:val="nil"/>
              <w:left w:val="nil"/>
              <w:bottom w:val="nil"/>
              <w:right w:val="nil"/>
            </w:tcBorders>
            <w:shd w:val="clear" w:color="auto" w:fill="auto"/>
            <w:noWrap/>
            <w:vAlign w:val="bottom"/>
            <w:hideMark/>
          </w:tcPr>
          <w:p w14:paraId="37FEA7C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350.9</w:t>
            </w:r>
          </w:p>
        </w:tc>
        <w:tc>
          <w:tcPr>
            <w:tcW w:w="860" w:type="dxa"/>
            <w:tcBorders>
              <w:top w:val="nil"/>
              <w:left w:val="nil"/>
              <w:bottom w:val="nil"/>
              <w:right w:val="nil"/>
            </w:tcBorders>
            <w:shd w:val="clear" w:color="auto" w:fill="auto"/>
            <w:noWrap/>
            <w:vAlign w:val="bottom"/>
            <w:hideMark/>
          </w:tcPr>
          <w:p w14:paraId="3F768CF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46.2</w:t>
            </w:r>
          </w:p>
        </w:tc>
        <w:tc>
          <w:tcPr>
            <w:tcW w:w="960" w:type="dxa"/>
            <w:tcBorders>
              <w:top w:val="nil"/>
              <w:left w:val="nil"/>
              <w:bottom w:val="nil"/>
              <w:right w:val="nil"/>
            </w:tcBorders>
            <w:shd w:val="clear" w:color="auto" w:fill="auto"/>
            <w:noWrap/>
            <w:vAlign w:val="bottom"/>
            <w:hideMark/>
          </w:tcPr>
          <w:p w14:paraId="420B21F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236.8</w:t>
            </w:r>
          </w:p>
        </w:tc>
        <w:tc>
          <w:tcPr>
            <w:tcW w:w="689" w:type="dxa"/>
            <w:tcBorders>
              <w:top w:val="nil"/>
              <w:left w:val="nil"/>
              <w:bottom w:val="nil"/>
              <w:right w:val="nil"/>
            </w:tcBorders>
            <w:shd w:val="clear" w:color="auto" w:fill="auto"/>
            <w:noWrap/>
            <w:vAlign w:val="bottom"/>
            <w:hideMark/>
          </w:tcPr>
          <w:p w14:paraId="4022138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1171.9</w:t>
            </w:r>
          </w:p>
        </w:tc>
        <w:tc>
          <w:tcPr>
            <w:tcW w:w="1000" w:type="dxa"/>
            <w:tcBorders>
              <w:top w:val="nil"/>
              <w:left w:val="nil"/>
              <w:bottom w:val="nil"/>
              <w:right w:val="nil"/>
            </w:tcBorders>
            <w:shd w:val="clear" w:color="auto" w:fill="auto"/>
            <w:noWrap/>
            <w:vAlign w:val="bottom"/>
            <w:hideMark/>
          </w:tcPr>
          <w:p w14:paraId="76553C3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151.0</w:t>
            </w:r>
          </w:p>
        </w:tc>
      </w:tr>
      <w:tr w:rsidR="00F26016" w:rsidRPr="00F26016" w14:paraId="0CBDF7D9" w14:textId="77777777" w:rsidTr="00F26016">
        <w:trPr>
          <w:trHeight w:val="300"/>
        </w:trPr>
        <w:tc>
          <w:tcPr>
            <w:tcW w:w="1140" w:type="dxa"/>
            <w:tcBorders>
              <w:top w:val="nil"/>
              <w:left w:val="nil"/>
              <w:bottom w:val="nil"/>
              <w:right w:val="nil"/>
            </w:tcBorders>
            <w:shd w:val="clear" w:color="auto" w:fill="auto"/>
            <w:noWrap/>
            <w:hideMark/>
          </w:tcPr>
          <w:p w14:paraId="183375F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w:t>
            </w:r>
          </w:p>
        </w:tc>
        <w:tc>
          <w:tcPr>
            <w:tcW w:w="1200" w:type="dxa"/>
            <w:tcBorders>
              <w:top w:val="nil"/>
              <w:left w:val="nil"/>
              <w:bottom w:val="nil"/>
              <w:right w:val="nil"/>
            </w:tcBorders>
            <w:shd w:val="clear" w:color="auto" w:fill="auto"/>
            <w:noWrap/>
            <w:hideMark/>
          </w:tcPr>
          <w:p w14:paraId="0941E9B7"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40AFC88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32ADB67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4D3DECF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5BB9861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775B0F6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7B6BC35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70315BB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191.0</w:t>
            </w:r>
          </w:p>
        </w:tc>
        <w:tc>
          <w:tcPr>
            <w:tcW w:w="920" w:type="dxa"/>
            <w:tcBorders>
              <w:top w:val="nil"/>
              <w:left w:val="nil"/>
              <w:bottom w:val="nil"/>
              <w:right w:val="nil"/>
            </w:tcBorders>
            <w:shd w:val="clear" w:color="auto" w:fill="auto"/>
            <w:noWrap/>
            <w:vAlign w:val="bottom"/>
            <w:hideMark/>
          </w:tcPr>
          <w:p w14:paraId="30991CA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27.0</w:t>
            </w:r>
          </w:p>
        </w:tc>
        <w:tc>
          <w:tcPr>
            <w:tcW w:w="741" w:type="dxa"/>
            <w:tcBorders>
              <w:top w:val="nil"/>
              <w:left w:val="nil"/>
              <w:bottom w:val="nil"/>
              <w:right w:val="nil"/>
            </w:tcBorders>
            <w:shd w:val="clear" w:color="auto" w:fill="auto"/>
            <w:noWrap/>
            <w:vAlign w:val="bottom"/>
            <w:hideMark/>
          </w:tcPr>
          <w:p w14:paraId="7CEC248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13.0</w:t>
            </w:r>
          </w:p>
        </w:tc>
        <w:tc>
          <w:tcPr>
            <w:tcW w:w="785" w:type="dxa"/>
            <w:tcBorders>
              <w:top w:val="nil"/>
              <w:left w:val="nil"/>
              <w:bottom w:val="nil"/>
              <w:right w:val="nil"/>
            </w:tcBorders>
            <w:shd w:val="clear" w:color="auto" w:fill="auto"/>
            <w:noWrap/>
            <w:vAlign w:val="bottom"/>
            <w:hideMark/>
          </w:tcPr>
          <w:p w14:paraId="0A42394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7.5</w:t>
            </w:r>
          </w:p>
        </w:tc>
        <w:tc>
          <w:tcPr>
            <w:tcW w:w="732" w:type="dxa"/>
            <w:tcBorders>
              <w:top w:val="nil"/>
              <w:left w:val="nil"/>
              <w:bottom w:val="nil"/>
              <w:right w:val="nil"/>
            </w:tcBorders>
            <w:shd w:val="clear" w:color="auto" w:fill="auto"/>
            <w:noWrap/>
            <w:vAlign w:val="bottom"/>
            <w:hideMark/>
          </w:tcPr>
          <w:p w14:paraId="299CBB9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453.8</w:t>
            </w:r>
          </w:p>
        </w:tc>
        <w:tc>
          <w:tcPr>
            <w:tcW w:w="860" w:type="dxa"/>
            <w:tcBorders>
              <w:top w:val="nil"/>
              <w:left w:val="nil"/>
              <w:bottom w:val="nil"/>
              <w:right w:val="nil"/>
            </w:tcBorders>
            <w:shd w:val="clear" w:color="auto" w:fill="auto"/>
            <w:noWrap/>
            <w:vAlign w:val="bottom"/>
            <w:hideMark/>
          </w:tcPr>
          <w:p w14:paraId="7CD5D61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9.2</w:t>
            </w:r>
          </w:p>
        </w:tc>
        <w:tc>
          <w:tcPr>
            <w:tcW w:w="960" w:type="dxa"/>
            <w:tcBorders>
              <w:top w:val="nil"/>
              <w:left w:val="nil"/>
              <w:bottom w:val="nil"/>
              <w:right w:val="nil"/>
            </w:tcBorders>
            <w:shd w:val="clear" w:color="auto" w:fill="auto"/>
            <w:noWrap/>
            <w:vAlign w:val="bottom"/>
            <w:hideMark/>
          </w:tcPr>
          <w:p w14:paraId="3284083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157.2</w:t>
            </w:r>
          </w:p>
        </w:tc>
        <w:tc>
          <w:tcPr>
            <w:tcW w:w="689" w:type="dxa"/>
            <w:tcBorders>
              <w:top w:val="nil"/>
              <w:left w:val="nil"/>
              <w:bottom w:val="nil"/>
              <w:right w:val="nil"/>
            </w:tcBorders>
            <w:shd w:val="clear" w:color="auto" w:fill="auto"/>
            <w:noWrap/>
            <w:vAlign w:val="bottom"/>
            <w:hideMark/>
          </w:tcPr>
          <w:p w14:paraId="0E3B7B8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1358.4</w:t>
            </w:r>
          </w:p>
        </w:tc>
        <w:tc>
          <w:tcPr>
            <w:tcW w:w="1000" w:type="dxa"/>
            <w:tcBorders>
              <w:top w:val="nil"/>
              <w:left w:val="nil"/>
              <w:bottom w:val="nil"/>
              <w:right w:val="nil"/>
            </w:tcBorders>
            <w:shd w:val="clear" w:color="auto" w:fill="auto"/>
            <w:noWrap/>
            <w:vAlign w:val="bottom"/>
            <w:hideMark/>
          </w:tcPr>
          <w:p w14:paraId="1AFD915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165.1</w:t>
            </w:r>
          </w:p>
        </w:tc>
      </w:tr>
      <w:tr w:rsidR="00F26016" w:rsidRPr="00F26016" w14:paraId="38AD1070" w14:textId="77777777" w:rsidTr="00F26016">
        <w:trPr>
          <w:trHeight w:val="300"/>
        </w:trPr>
        <w:tc>
          <w:tcPr>
            <w:tcW w:w="1140" w:type="dxa"/>
            <w:tcBorders>
              <w:top w:val="nil"/>
              <w:left w:val="nil"/>
              <w:bottom w:val="nil"/>
              <w:right w:val="nil"/>
            </w:tcBorders>
            <w:shd w:val="clear" w:color="auto" w:fill="auto"/>
            <w:noWrap/>
            <w:hideMark/>
          </w:tcPr>
          <w:p w14:paraId="6EDA049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w:t>
            </w:r>
          </w:p>
        </w:tc>
        <w:tc>
          <w:tcPr>
            <w:tcW w:w="1200" w:type="dxa"/>
            <w:tcBorders>
              <w:top w:val="nil"/>
              <w:left w:val="nil"/>
              <w:bottom w:val="nil"/>
              <w:right w:val="nil"/>
            </w:tcBorders>
            <w:shd w:val="clear" w:color="auto" w:fill="auto"/>
            <w:noWrap/>
            <w:hideMark/>
          </w:tcPr>
          <w:p w14:paraId="3CEFF17F"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5C1075B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7E80F2D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33F17B5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5214E8C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073415E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743839E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2C12DCC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3.4</w:t>
            </w:r>
          </w:p>
        </w:tc>
        <w:tc>
          <w:tcPr>
            <w:tcW w:w="920" w:type="dxa"/>
            <w:tcBorders>
              <w:top w:val="nil"/>
              <w:left w:val="nil"/>
              <w:bottom w:val="nil"/>
              <w:right w:val="nil"/>
            </w:tcBorders>
            <w:shd w:val="clear" w:color="auto" w:fill="auto"/>
            <w:noWrap/>
            <w:vAlign w:val="bottom"/>
            <w:hideMark/>
          </w:tcPr>
          <w:p w14:paraId="6AAC105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15.5</w:t>
            </w:r>
          </w:p>
        </w:tc>
        <w:tc>
          <w:tcPr>
            <w:tcW w:w="741" w:type="dxa"/>
            <w:tcBorders>
              <w:top w:val="nil"/>
              <w:left w:val="nil"/>
              <w:bottom w:val="nil"/>
              <w:right w:val="nil"/>
            </w:tcBorders>
            <w:shd w:val="clear" w:color="auto" w:fill="auto"/>
            <w:noWrap/>
            <w:vAlign w:val="bottom"/>
            <w:hideMark/>
          </w:tcPr>
          <w:p w14:paraId="65FC8C5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18.2</w:t>
            </w:r>
          </w:p>
        </w:tc>
        <w:tc>
          <w:tcPr>
            <w:tcW w:w="785" w:type="dxa"/>
            <w:tcBorders>
              <w:top w:val="nil"/>
              <w:left w:val="nil"/>
              <w:bottom w:val="nil"/>
              <w:right w:val="nil"/>
            </w:tcBorders>
            <w:shd w:val="clear" w:color="auto" w:fill="auto"/>
            <w:noWrap/>
            <w:vAlign w:val="bottom"/>
            <w:hideMark/>
          </w:tcPr>
          <w:p w14:paraId="24A197B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16.7</w:t>
            </w:r>
          </w:p>
        </w:tc>
        <w:tc>
          <w:tcPr>
            <w:tcW w:w="732" w:type="dxa"/>
            <w:tcBorders>
              <w:top w:val="nil"/>
              <w:left w:val="nil"/>
              <w:bottom w:val="nil"/>
              <w:right w:val="nil"/>
            </w:tcBorders>
            <w:shd w:val="clear" w:color="auto" w:fill="auto"/>
            <w:noWrap/>
            <w:vAlign w:val="bottom"/>
            <w:hideMark/>
          </w:tcPr>
          <w:p w14:paraId="664514D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102.8</w:t>
            </w:r>
          </w:p>
        </w:tc>
        <w:tc>
          <w:tcPr>
            <w:tcW w:w="860" w:type="dxa"/>
            <w:tcBorders>
              <w:top w:val="nil"/>
              <w:left w:val="nil"/>
              <w:bottom w:val="nil"/>
              <w:right w:val="nil"/>
            </w:tcBorders>
            <w:shd w:val="clear" w:color="auto" w:fill="auto"/>
            <w:noWrap/>
            <w:vAlign w:val="bottom"/>
            <w:hideMark/>
          </w:tcPr>
          <w:p w14:paraId="033DC7D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23.7</w:t>
            </w:r>
          </w:p>
        </w:tc>
        <w:tc>
          <w:tcPr>
            <w:tcW w:w="960" w:type="dxa"/>
            <w:tcBorders>
              <w:top w:val="nil"/>
              <w:left w:val="nil"/>
              <w:bottom w:val="nil"/>
              <w:right w:val="nil"/>
            </w:tcBorders>
            <w:shd w:val="clear" w:color="auto" w:fill="auto"/>
            <w:noWrap/>
            <w:vAlign w:val="bottom"/>
            <w:hideMark/>
          </w:tcPr>
          <w:p w14:paraId="7428320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66.0</w:t>
            </w:r>
          </w:p>
        </w:tc>
        <w:tc>
          <w:tcPr>
            <w:tcW w:w="689" w:type="dxa"/>
            <w:tcBorders>
              <w:top w:val="nil"/>
              <w:left w:val="nil"/>
              <w:bottom w:val="nil"/>
              <w:right w:val="nil"/>
            </w:tcBorders>
            <w:shd w:val="clear" w:color="auto" w:fill="auto"/>
            <w:noWrap/>
            <w:vAlign w:val="bottom"/>
            <w:hideMark/>
          </w:tcPr>
          <w:p w14:paraId="45136BB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479.9</w:t>
            </w:r>
          </w:p>
        </w:tc>
        <w:tc>
          <w:tcPr>
            <w:tcW w:w="1000" w:type="dxa"/>
            <w:tcBorders>
              <w:top w:val="nil"/>
              <w:left w:val="nil"/>
              <w:bottom w:val="nil"/>
              <w:right w:val="nil"/>
            </w:tcBorders>
            <w:shd w:val="clear" w:color="auto" w:fill="auto"/>
            <w:noWrap/>
            <w:vAlign w:val="bottom"/>
            <w:hideMark/>
          </w:tcPr>
          <w:p w14:paraId="1517448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145.5</w:t>
            </w:r>
          </w:p>
        </w:tc>
      </w:tr>
      <w:tr w:rsidR="00F26016" w:rsidRPr="00F26016" w14:paraId="1096E31D" w14:textId="77777777" w:rsidTr="00F26016">
        <w:trPr>
          <w:trHeight w:val="300"/>
        </w:trPr>
        <w:tc>
          <w:tcPr>
            <w:tcW w:w="1140" w:type="dxa"/>
            <w:tcBorders>
              <w:top w:val="nil"/>
              <w:left w:val="nil"/>
              <w:bottom w:val="nil"/>
              <w:right w:val="nil"/>
            </w:tcBorders>
            <w:shd w:val="clear" w:color="auto" w:fill="auto"/>
            <w:noWrap/>
            <w:hideMark/>
          </w:tcPr>
          <w:p w14:paraId="625C7C4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w:t>
            </w:r>
          </w:p>
        </w:tc>
        <w:tc>
          <w:tcPr>
            <w:tcW w:w="1200" w:type="dxa"/>
            <w:tcBorders>
              <w:top w:val="nil"/>
              <w:left w:val="nil"/>
              <w:bottom w:val="nil"/>
              <w:right w:val="nil"/>
            </w:tcBorders>
            <w:shd w:val="clear" w:color="auto" w:fill="auto"/>
            <w:noWrap/>
            <w:hideMark/>
          </w:tcPr>
          <w:p w14:paraId="111825E8"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6672E9A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617AAA9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39EF7DE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33BD19D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78947B8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73530B7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53EC653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99.8</w:t>
            </w:r>
          </w:p>
        </w:tc>
        <w:tc>
          <w:tcPr>
            <w:tcW w:w="920" w:type="dxa"/>
            <w:tcBorders>
              <w:top w:val="nil"/>
              <w:left w:val="nil"/>
              <w:bottom w:val="nil"/>
              <w:right w:val="nil"/>
            </w:tcBorders>
            <w:shd w:val="clear" w:color="auto" w:fill="auto"/>
            <w:noWrap/>
            <w:vAlign w:val="bottom"/>
            <w:hideMark/>
          </w:tcPr>
          <w:p w14:paraId="2EF2FE3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20.0</w:t>
            </w:r>
          </w:p>
        </w:tc>
        <w:tc>
          <w:tcPr>
            <w:tcW w:w="741" w:type="dxa"/>
            <w:tcBorders>
              <w:top w:val="nil"/>
              <w:left w:val="nil"/>
              <w:bottom w:val="nil"/>
              <w:right w:val="nil"/>
            </w:tcBorders>
            <w:shd w:val="clear" w:color="auto" w:fill="auto"/>
            <w:noWrap/>
            <w:vAlign w:val="bottom"/>
            <w:hideMark/>
          </w:tcPr>
          <w:p w14:paraId="3B0F4FA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166.8</w:t>
            </w:r>
          </w:p>
        </w:tc>
        <w:tc>
          <w:tcPr>
            <w:tcW w:w="785" w:type="dxa"/>
            <w:tcBorders>
              <w:top w:val="nil"/>
              <w:left w:val="nil"/>
              <w:bottom w:val="nil"/>
              <w:right w:val="nil"/>
            </w:tcBorders>
            <w:shd w:val="clear" w:color="auto" w:fill="auto"/>
            <w:noWrap/>
            <w:vAlign w:val="bottom"/>
            <w:hideMark/>
          </w:tcPr>
          <w:p w14:paraId="556FCB6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52.6</w:t>
            </w:r>
          </w:p>
        </w:tc>
        <w:tc>
          <w:tcPr>
            <w:tcW w:w="732" w:type="dxa"/>
            <w:tcBorders>
              <w:top w:val="nil"/>
              <w:left w:val="nil"/>
              <w:bottom w:val="nil"/>
              <w:right w:val="nil"/>
            </w:tcBorders>
            <w:shd w:val="clear" w:color="auto" w:fill="auto"/>
            <w:noWrap/>
            <w:vAlign w:val="bottom"/>
            <w:hideMark/>
          </w:tcPr>
          <w:p w14:paraId="3CDB136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212.9</w:t>
            </w:r>
          </w:p>
        </w:tc>
        <w:tc>
          <w:tcPr>
            <w:tcW w:w="860" w:type="dxa"/>
            <w:tcBorders>
              <w:top w:val="nil"/>
              <w:left w:val="nil"/>
              <w:bottom w:val="nil"/>
              <w:right w:val="nil"/>
            </w:tcBorders>
            <w:shd w:val="clear" w:color="auto" w:fill="auto"/>
            <w:noWrap/>
            <w:vAlign w:val="bottom"/>
            <w:hideMark/>
          </w:tcPr>
          <w:p w14:paraId="3B84EA6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51.6</w:t>
            </w:r>
          </w:p>
        </w:tc>
        <w:tc>
          <w:tcPr>
            <w:tcW w:w="960" w:type="dxa"/>
            <w:tcBorders>
              <w:top w:val="nil"/>
              <w:left w:val="nil"/>
              <w:bottom w:val="nil"/>
              <w:right w:val="nil"/>
            </w:tcBorders>
            <w:shd w:val="clear" w:color="auto" w:fill="auto"/>
            <w:noWrap/>
            <w:vAlign w:val="bottom"/>
            <w:hideMark/>
          </w:tcPr>
          <w:p w14:paraId="7520646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333.1</w:t>
            </w:r>
          </w:p>
        </w:tc>
        <w:tc>
          <w:tcPr>
            <w:tcW w:w="689" w:type="dxa"/>
            <w:tcBorders>
              <w:top w:val="nil"/>
              <w:left w:val="nil"/>
              <w:bottom w:val="nil"/>
              <w:right w:val="nil"/>
            </w:tcBorders>
            <w:shd w:val="clear" w:color="auto" w:fill="auto"/>
            <w:noWrap/>
            <w:vAlign w:val="bottom"/>
            <w:hideMark/>
          </w:tcPr>
          <w:p w14:paraId="76B8A31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1114.3</w:t>
            </w:r>
          </w:p>
        </w:tc>
        <w:tc>
          <w:tcPr>
            <w:tcW w:w="1000" w:type="dxa"/>
            <w:tcBorders>
              <w:top w:val="nil"/>
              <w:left w:val="nil"/>
              <w:bottom w:val="nil"/>
              <w:right w:val="nil"/>
            </w:tcBorders>
            <w:shd w:val="clear" w:color="auto" w:fill="auto"/>
            <w:noWrap/>
            <w:vAlign w:val="bottom"/>
            <w:hideMark/>
          </w:tcPr>
          <w:p w14:paraId="2455F4A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132.2</w:t>
            </w:r>
          </w:p>
        </w:tc>
      </w:tr>
      <w:tr w:rsidR="00F26016" w:rsidRPr="00F26016" w14:paraId="2F00164F" w14:textId="77777777" w:rsidTr="00F26016">
        <w:trPr>
          <w:trHeight w:val="300"/>
        </w:trPr>
        <w:tc>
          <w:tcPr>
            <w:tcW w:w="1140" w:type="dxa"/>
            <w:tcBorders>
              <w:top w:val="nil"/>
              <w:left w:val="nil"/>
              <w:bottom w:val="nil"/>
              <w:right w:val="nil"/>
            </w:tcBorders>
            <w:shd w:val="clear" w:color="auto" w:fill="auto"/>
            <w:noWrap/>
            <w:hideMark/>
          </w:tcPr>
          <w:p w14:paraId="0793977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w:t>
            </w:r>
          </w:p>
        </w:tc>
        <w:tc>
          <w:tcPr>
            <w:tcW w:w="1200" w:type="dxa"/>
            <w:tcBorders>
              <w:top w:val="nil"/>
              <w:left w:val="nil"/>
              <w:bottom w:val="nil"/>
              <w:right w:val="nil"/>
            </w:tcBorders>
            <w:shd w:val="clear" w:color="auto" w:fill="auto"/>
            <w:noWrap/>
            <w:hideMark/>
          </w:tcPr>
          <w:p w14:paraId="44269875"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17B38D6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5E43AA0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64DE24E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3939CC3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795D2DB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06AF41A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0C76C03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17.3</w:t>
            </w:r>
          </w:p>
        </w:tc>
        <w:tc>
          <w:tcPr>
            <w:tcW w:w="920" w:type="dxa"/>
            <w:tcBorders>
              <w:top w:val="nil"/>
              <w:left w:val="nil"/>
              <w:bottom w:val="nil"/>
              <w:right w:val="nil"/>
            </w:tcBorders>
            <w:shd w:val="clear" w:color="auto" w:fill="auto"/>
            <w:noWrap/>
            <w:vAlign w:val="bottom"/>
            <w:hideMark/>
          </w:tcPr>
          <w:p w14:paraId="42B802C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w:t>
            </w:r>
          </w:p>
        </w:tc>
        <w:tc>
          <w:tcPr>
            <w:tcW w:w="741" w:type="dxa"/>
            <w:tcBorders>
              <w:top w:val="nil"/>
              <w:left w:val="nil"/>
              <w:bottom w:val="nil"/>
              <w:right w:val="nil"/>
            </w:tcBorders>
            <w:shd w:val="clear" w:color="auto" w:fill="auto"/>
            <w:noWrap/>
            <w:vAlign w:val="bottom"/>
            <w:hideMark/>
          </w:tcPr>
          <w:p w14:paraId="285034A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10.7</w:t>
            </w:r>
          </w:p>
        </w:tc>
        <w:tc>
          <w:tcPr>
            <w:tcW w:w="785" w:type="dxa"/>
            <w:tcBorders>
              <w:top w:val="nil"/>
              <w:left w:val="nil"/>
              <w:bottom w:val="nil"/>
              <w:right w:val="nil"/>
            </w:tcBorders>
            <w:shd w:val="clear" w:color="auto" w:fill="auto"/>
            <w:noWrap/>
            <w:vAlign w:val="bottom"/>
            <w:hideMark/>
          </w:tcPr>
          <w:p w14:paraId="2800139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5.0</w:t>
            </w:r>
          </w:p>
        </w:tc>
        <w:tc>
          <w:tcPr>
            <w:tcW w:w="732" w:type="dxa"/>
            <w:tcBorders>
              <w:top w:val="nil"/>
              <w:left w:val="nil"/>
              <w:bottom w:val="nil"/>
              <w:right w:val="nil"/>
            </w:tcBorders>
            <w:shd w:val="clear" w:color="auto" w:fill="auto"/>
            <w:noWrap/>
            <w:vAlign w:val="bottom"/>
            <w:hideMark/>
          </w:tcPr>
          <w:p w14:paraId="25FCD23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76.5</w:t>
            </w:r>
          </w:p>
        </w:tc>
        <w:tc>
          <w:tcPr>
            <w:tcW w:w="860" w:type="dxa"/>
            <w:tcBorders>
              <w:top w:val="nil"/>
              <w:left w:val="nil"/>
              <w:bottom w:val="nil"/>
              <w:right w:val="nil"/>
            </w:tcBorders>
            <w:shd w:val="clear" w:color="auto" w:fill="auto"/>
            <w:noWrap/>
            <w:vAlign w:val="bottom"/>
            <w:hideMark/>
          </w:tcPr>
          <w:p w14:paraId="6F1A391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w:t>
            </w:r>
          </w:p>
        </w:tc>
        <w:tc>
          <w:tcPr>
            <w:tcW w:w="960" w:type="dxa"/>
            <w:tcBorders>
              <w:top w:val="nil"/>
              <w:left w:val="nil"/>
              <w:bottom w:val="nil"/>
              <w:right w:val="nil"/>
            </w:tcBorders>
            <w:shd w:val="clear" w:color="auto" w:fill="auto"/>
            <w:noWrap/>
            <w:vAlign w:val="bottom"/>
            <w:hideMark/>
          </w:tcPr>
          <w:p w14:paraId="5C0CF36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84.4</w:t>
            </w:r>
          </w:p>
        </w:tc>
        <w:tc>
          <w:tcPr>
            <w:tcW w:w="689" w:type="dxa"/>
            <w:tcBorders>
              <w:top w:val="nil"/>
              <w:left w:val="nil"/>
              <w:bottom w:val="nil"/>
              <w:right w:val="nil"/>
            </w:tcBorders>
            <w:shd w:val="clear" w:color="auto" w:fill="auto"/>
            <w:noWrap/>
            <w:vAlign w:val="bottom"/>
            <w:hideMark/>
          </w:tcPr>
          <w:p w14:paraId="77E2C4B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783.6</w:t>
            </w:r>
          </w:p>
        </w:tc>
        <w:tc>
          <w:tcPr>
            <w:tcW w:w="1000" w:type="dxa"/>
            <w:tcBorders>
              <w:top w:val="nil"/>
              <w:left w:val="nil"/>
              <w:bottom w:val="nil"/>
              <w:right w:val="nil"/>
            </w:tcBorders>
            <w:shd w:val="clear" w:color="auto" w:fill="auto"/>
            <w:noWrap/>
            <w:vAlign w:val="bottom"/>
            <w:hideMark/>
          </w:tcPr>
          <w:p w14:paraId="51A12B1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182.8</w:t>
            </w:r>
          </w:p>
        </w:tc>
      </w:tr>
      <w:tr w:rsidR="00F26016" w:rsidRPr="00F26016" w14:paraId="32C2C320" w14:textId="77777777" w:rsidTr="00F26016">
        <w:trPr>
          <w:trHeight w:val="300"/>
        </w:trPr>
        <w:tc>
          <w:tcPr>
            <w:tcW w:w="1140" w:type="dxa"/>
            <w:tcBorders>
              <w:top w:val="nil"/>
              <w:left w:val="nil"/>
              <w:bottom w:val="nil"/>
              <w:right w:val="nil"/>
            </w:tcBorders>
            <w:shd w:val="clear" w:color="auto" w:fill="auto"/>
            <w:noWrap/>
            <w:hideMark/>
          </w:tcPr>
          <w:p w14:paraId="3164AA9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w:t>
            </w:r>
          </w:p>
        </w:tc>
        <w:tc>
          <w:tcPr>
            <w:tcW w:w="1200" w:type="dxa"/>
            <w:tcBorders>
              <w:top w:val="nil"/>
              <w:left w:val="nil"/>
              <w:bottom w:val="nil"/>
              <w:right w:val="nil"/>
            </w:tcBorders>
            <w:shd w:val="clear" w:color="auto" w:fill="auto"/>
            <w:noWrap/>
            <w:hideMark/>
          </w:tcPr>
          <w:p w14:paraId="7DF05CA8"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091F8D0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1A71D98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1CB3BCC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365F08B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76DE6B8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4DD047C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4A5F660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7.7</w:t>
            </w:r>
          </w:p>
        </w:tc>
        <w:tc>
          <w:tcPr>
            <w:tcW w:w="920" w:type="dxa"/>
            <w:tcBorders>
              <w:top w:val="nil"/>
              <w:left w:val="nil"/>
              <w:bottom w:val="nil"/>
              <w:right w:val="nil"/>
            </w:tcBorders>
            <w:shd w:val="clear" w:color="auto" w:fill="auto"/>
            <w:noWrap/>
            <w:vAlign w:val="bottom"/>
            <w:hideMark/>
          </w:tcPr>
          <w:p w14:paraId="48D908B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8.2</w:t>
            </w:r>
          </w:p>
        </w:tc>
        <w:tc>
          <w:tcPr>
            <w:tcW w:w="741" w:type="dxa"/>
            <w:tcBorders>
              <w:top w:val="nil"/>
              <w:left w:val="nil"/>
              <w:bottom w:val="nil"/>
              <w:right w:val="nil"/>
            </w:tcBorders>
            <w:shd w:val="clear" w:color="auto" w:fill="auto"/>
            <w:noWrap/>
            <w:vAlign w:val="bottom"/>
            <w:hideMark/>
          </w:tcPr>
          <w:p w14:paraId="4930DC0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9.3</w:t>
            </w:r>
          </w:p>
        </w:tc>
        <w:tc>
          <w:tcPr>
            <w:tcW w:w="785" w:type="dxa"/>
            <w:tcBorders>
              <w:top w:val="nil"/>
              <w:left w:val="nil"/>
              <w:bottom w:val="nil"/>
              <w:right w:val="nil"/>
            </w:tcBorders>
            <w:shd w:val="clear" w:color="auto" w:fill="auto"/>
            <w:noWrap/>
            <w:vAlign w:val="bottom"/>
            <w:hideMark/>
          </w:tcPr>
          <w:p w14:paraId="7274E5A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14.4</w:t>
            </w:r>
          </w:p>
        </w:tc>
        <w:tc>
          <w:tcPr>
            <w:tcW w:w="732" w:type="dxa"/>
            <w:tcBorders>
              <w:top w:val="nil"/>
              <w:left w:val="nil"/>
              <w:bottom w:val="nil"/>
              <w:right w:val="nil"/>
            </w:tcBorders>
            <w:shd w:val="clear" w:color="auto" w:fill="auto"/>
            <w:noWrap/>
            <w:vAlign w:val="bottom"/>
            <w:hideMark/>
          </w:tcPr>
          <w:p w14:paraId="099C43D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25.1</w:t>
            </w:r>
          </w:p>
        </w:tc>
        <w:tc>
          <w:tcPr>
            <w:tcW w:w="860" w:type="dxa"/>
            <w:tcBorders>
              <w:top w:val="nil"/>
              <w:left w:val="nil"/>
              <w:bottom w:val="nil"/>
              <w:right w:val="nil"/>
            </w:tcBorders>
            <w:shd w:val="clear" w:color="auto" w:fill="auto"/>
            <w:noWrap/>
            <w:vAlign w:val="bottom"/>
            <w:hideMark/>
          </w:tcPr>
          <w:p w14:paraId="4AE2694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6.9</w:t>
            </w:r>
          </w:p>
        </w:tc>
        <w:tc>
          <w:tcPr>
            <w:tcW w:w="960" w:type="dxa"/>
            <w:tcBorders>
              <w:top w:val="nil"/>
              <w:left w:val="nil"/>
              <w:bottom w:val="nil"/>
              <w:right w:val="nil"/>
            </w:tcBorders>
            <w:shd w:val="clear" w:color="auto" w:fill="auto"/>
            <w:noWrap/>
            <w:vAlign w:val="bottom"/>
            <w:hideMark/>
          </w:tcPr>
          <w:p w14:paraId="6AEE16D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34.9</w:t>
            </w:r>
          </w:p>
        </w:tc>
        <w:tc>
          <w:tcPr>
            <w:tcW w:w="689" w:type="dxa"/>
            <w:tcBorders>
              <w:top w:val="nil"/>
              <w:left w:val="nil"/>
              <w:bottom w:val="nil"/>
              <w:right w:val="nil"/>
            </w:tcBorders>
            <w:shd w:val="clear" w:color="auto" w:fill="auto"/>
            <w:noWrap/>
            <w:vAlign w:val="bottom"/>
            <w:hideMark/>
          </w:tcPr>
          <w:p w14:paraId="4AEF49F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596.5</w:t>
            </w:r>
          </w:p>
        </w:tc>
        <w:tc>
          <w:tcPr>
            <w:tcW w:w="1000" w:type="dxa"/>
            <w:tcBorders>
              <w:top w:val="nil"/>
              <w:left w:val="nil"/>
              <w:bottom w:val="nil"/>
              <w:right w:val="nil"/>
            </w:tcBorders>
            <w:shd w:val="clear" w:color="auto" w:fill="auto"/>
            <w:noWrap/>
            <w:vAlign w:val="bottom"/>
            <w:hideMark/>
          </w:tcPr>
          <w:p w14:paraId="58F4649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141.9</w:t>
            </w:r>
          </w:p>
        </w:tc>
      </w:tr>
      <w:tr w:rsidR="00F26016" w:rsidRPr="00F26016" w14:paraId="5ADE2027" w14:textId="77777777" w:rsidTr="00F26016">
        <w:trPr>
          <w:trHeight w:val="300"/>
        </w:trPr>
        <w:tc>
          <w:tcPr>
            <w:tcW w:w="1140" w:type="dxa"/>
            <w:tcBorders>
              <w:top w:val="nil"/>
              <w:left w:val="nil"/>
              <w:bottom w:val="nil"/>
              <w:right w:val="nil"/>
            </w:tcBorders>
            <w:shd w:val="clear" w:color="auto" w:fill="auto"/>
            <w:noWrap/>
            <w:hideMark/>
          </w:tcPr>
          <w:p w14:paraId="74C4822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w:t>
            </w:r>
          </w:p>
        </w:tc>
        <w:tc>
          <w:tcPr>
            <w:tcW w:w="1200" w:type="dxa"/>
            <w:tcBorders>
              <w:top w:val="nil"/>
              <w:left w:val="nil"/>
              <w:bottom w:val="nil"/>
              <w:right w:val="nil"/>
            </w:tcBorders>
            <w:shd w:val="clear" w:color="auto" w:fill="auto"/>
            <w:noWrap/>
            <w:hideMark/>
          </w:tcPr>
          <w:p w14:paraId="31C22913" w14:textId="77777777" w:rsidR="00F26016" w:rsidRPr="00F26016" w:rsidRDefault="00F26016" w:rsidP="00F26016">
            <w:pPr>
              <w:jc w:val="center"/>
              <w:rPr>
                <w:rFonts w:ascii="Calibri" w:eastAsia="Times New Roman" w:hAnsi="Calibri" w:cs="Times New Roman"/>
                <w:color w:val="000000"/>
                <w:sz w:val="16"/>
                <w:szCs w:val="16"/>
              </w:rPr>
            </w:pPr>
            <w:proofErr w:type="spellStart"/>
            <w:r w:rsidRPr="00F26016">
              <w:rPr>
                <w:rFonts w:ascii="Calibri" w:eastAsia="Times New Roman" w:hAnsi="Calibri" w:cs="Times New Roman"/>
                <w:color w:val="000000"/>
                <w:sz w:val="16"/>
                <w:szCs w:val="16"/>
              </w:rPr>
              <w:t>pe</w:t>
            </w:r>
            <w:proofErr w:type="spellEnd"/>
          </w:p>
        </w:tc>
        <w:tc>
          <w:tcPr>
            <w:tcW w:w="834" w:type="dxa"/>
            <w:tcBorders>
              <w:top w:val="nil"/>
              <w:left w:val="nil"/>
              <w:bottom w:val="nil"/>
              <w:right w:val="nil"/>
            </w:tcBorders>
            <w:shd w:val="clear" w:color="auto" w:fill="auto"/>
            <w:noWrap/>
            <w:hideMark/>
          </w:tcPr>
          <w:p w14:paraId="00AE912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4403311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140" w:type="dxa"/>
            <w:tcBorders>
              <w:top w:val="nil"/>
              <w:left w:val="nil"/>
              <w:bottom w:val="nil"/>
              <w:right w:val="nil"/>
            </w:tcBorders>
            <w:shd w:val="clear" w:color="auto" w:fill="auto"/>
            <w:noWrap/>
            <w:hideMark/>
          </w:tcPr>
          <w:p w14:paraId="497E90A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17811BE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4F19668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1C80416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660" w:type="dxa"/>
            <w:tcBorders>
              <w:top w:val="nil"/>
              <w:left w:val="nil"/>
              <w:bottom w:val="nil"/>
              <w:right w:val="nil"/>
            </w:tcBorders>
            <w:shd w:val="clear" w:color="auto" w:fill="auto"/>
            <w:noWrap/>
            <w:vAlign w:val="bottom"/>
            <w:hideMark/>
          </w:tcPr>
          <w:p w14:paraId="7F5A1B3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42.3</w:t>
            </w:r>
          </w:p>
        </w:tc>
        <w:tc>
          <w:tcPr>
            <w:tcW w:w="920" w:type="dxa"/>
            <w:tcBorders>
              <w:top w:val="nil"/>
              <w:left w:val="nil"/>
              <w:bottom w:val="nil"/>
              <w:right w:val="nil"/>
            </w:tcBorders>
            <w:shd w:val="clear" w:color="auto" w:fill="auto"/>
            <w:noWrap/>
            <w:vAlign w:val="bottom"/>
            <w:hideMark/>
          </w:tcPr>
          <w:p w14:paraId="3ED3883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43.9</w:t>
            </w:r>
          </w:p>
        </w:tc>
        <w:tc>
          <w:tcPr>
            <w:tcW w:w="741" w:type="dxa"/>
            <w:tcBorders>
              <w:top w:val="nil"/>
              <w:left w:val="nil"/>
              <w:bottom w:val="nil"/>
              <w:right w:val="nil"/>
            </w:tcBorders>
            <w:shd w:val="clear" w:color="auto" w:fill="auto"/>
            <w:noWrap/>
            <w:vAlign w:val="bottom"/>
            <w:hideMark/>
          </w:tcPr>
          <w:p w14:paraId="541D817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92.9</w:t>
            </w:r>
          </w:p>
        </w:tc>
        <w:tc>
          <w:tcPr>
            <w:tcW w:w="785" w:type="dxa"/>
            <w:tcBorders>
              <w:top w:val="nil"/>
              <w:left w:val="nil"/>
              <w:bottom w:val="nil"/>
              <w:right w:val="nil"/>
            </w:tcBorders>
            <w:shd w:val="clear" w:color="auto" w:fill="auto"/>
            <w:noWrap/>
            <w:vAlign w:val="bottom"/>
            <w:hideMark/>
          </w:tcPr>
          <w:p w14:paraId="0AFCAA1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37.5</w:t>
            </w:r>
          </w:p>
        </w:tc>
        <w:tc>
          <w:tcPr>
            <w:tcW w:w="732" w:type="dxa"/>
            <w:tcBorders>
              <w:top w:val="nil"/>
              <w:left w:val="nil"/>
              <w:bottom w:val="nil"/>
              <w:right w:val="nil"/>
            </w:tcBorders>
            <w:shd w:val="clear" w:color="auto" w:fill="auto"/>
            <w:noWrap/>
            <w:vAlign w:val="bottom"/>
            <w:hideMark/>
          </w:tcPr>
          <w:p w14:paraId="1A170C5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88.2</w:t>
            </w:r>
          </w:p>
        </w:tc>
        <w:tc>
          <w:tcPr>
            <w:tcW w:w="860" w:type="dxa"/>
            <w:tcBorders>
              <w:top w:val="nil"/>
              <w:left w:val="nil"/>
              <w:bottom w:val="nil"/>
              <w:right w:val="nil"/>
            </w:tcBorders>
            <w:shd w:val="clear" w:color="auto" w:fill="auto"/>
            <w:noWrap/>
            <w:vAlign w:val="bottom"/>
            <w:hideMark/>
          </w:tcPr>
          <w:p w14:paraId="0141AF2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28.2</w:t>
            </w:r>
          </w:p>
        </w:tc>
        <w:tc>
          <w:tcPr>
            <w:tcW w:w="960" w:type="dxa"/>
            <w:tcBorders>
              <w:top w:val="nil"/>
              <w:left w:val="nil"/>
              <w:bottom w:val="nil"/>
              <w:right w:val="nil"/>
            </w:tcBorders>
            <w:shd w:val="clear" w:color="auto" w:fill="auto"/>
            <w:noWrap/>
            <w:vAlign w:val="bottom"/>
            <w:hideMark/>
          </w:tcPr>
          <w:p w14:paraId="4FE9A94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214.6</w:t>
            </w:r>
          </w:p>
        </w:tc>
        <w:tc>
          <w:tcPr>
            <w:tcW w:w="689" w:type="dxa"/>
            <w:tcBorders>
              <w:top w:val="nil"/>
              <w:left w:val="nil"/>
              <w:bottom w:val="nil"/>
              <w:right w:val="nil"/>
            </w:tcBorders>
            <w:shd w:val="clear" w:color="auto" w:fill="auto"/>
            <w:noWrap/>
            <w:vAlign w:val="bottom"/>
            <w:hideMark/>
          </w:tcPr>
          <w:p w14:paraId="520F425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1110.4</w:t>
            </w:r>
          </w:p>
        </w:tc>
        <w:tc>
          <w:tcPr>
            <w:tcW w:w="1000" w:type="dxa"/>
            <w:tcBorders>
              <w:top w:val="nil"/>
              <w:left w:val="nil"/>
              <w:bottom w:val="nil"/>
              <w:right w:val="nil"/>
            </w:tcBorders>
            <w:shd w:val="clear" w:color="auto" w:fill="auto"/>
            <w:noWrap/>
            <w:vAlign w:val="bottom"/>
            <w:hideMark/>
          </w:tcPr>
          <w:p w14:paraId="2E71B29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144.1</w:t>
            </w:r>
          </w:p>
        </w:tc>
      </w:tr>
      <w:tr w:rsidR="00F26016" w:rsidRPr="00F26016" w14:paraId="674F7677" w14:textId="77777777" w:rsidTr="00F26016">
        <w:trPr>
          <w:trHeight w:val="300"/>
        </w:trPr>
        <w:tc>
          <w:tcPr>
            <w:tcW w:w="1140" w:type="dxa"/>
            <w:tcBorders>
              <w:top w:val="nil"/>
              <w:left w:val="nil"/>
              <w:bottom w:val="nil"/>
              <w:right w:val="nil"/>
            </w:tcBorders>
            <w:shd w:val="clear" w:color="auto" w:fill="auto"/>
            <w:noWrap/>
            <w:hideMark/>
          </w:tcPr>
          <w:p w14:paraId="1684605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200" w:type="dxa"/>
            <w:tcBorders>
              <w:top w:val="nil"/>
              <w:left w:val="nil"/>
              <w:bottom w:val="nil"/>
              <w:right w:val="nil"/>
            </w:tcBorders>
            <w:shd w:val="clear" w:color="auto" w:fill="auto"/>
            <w:noWrap/>
            <w:hideMark/>
          </w:tcPr>
          <w:p w14:paraId="6F6FEFB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344B6B9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4C6A3C5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229ABFD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25BD43F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68E607F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5BCB89E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2A757B1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197.6</w:t>
            </w:r>
          </w:p>
        </w:tc>
        <w:tc>
          <w:tcPr>
            <w:tcW w:w="920" w:type="dxa"/>
            <w:tcBorders>
              <w:top w:val="nil"/>
              <w:left w:val="nil"/>
              <w:bottom w:val="nil"/>
              <w:right w:val="nil"/>
            </w:tcBorders>
            <w:shd w:val="clear" w:color="auto" w:fill="auto"/>
            <w:noWrap/>
            <w:vAlign w:val="bottom"/>
            <w:hideMark/>
          </w:tcPr>
          <w:p w14:paraId="77FF1E7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37.7</w:t>
            </w:r>
          </w:p>
        </w:tc>
        <w:tc>
          <w:tcPr>
            <w:tcW w:w="741" w:type="dxa"/>
            <w:tcBorders>
              <w:top w:val="nil"/>
              <w:left w:val="nil"/>
              <w:bottom w:val="nil"/>
              <w:right w:val="nil"/>
            </w:tcBorders>
            <w:shd w:val="clear" w:color="auto" w:fill="auto"/>
            <w:noWrap/>
            <w:vAlign w:val="bottom"/>
            <w:hideMark/>
          </w:tcPr>
          <w:p w14:paraId="11403BD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18.9</w:t>
            </w:r>
          </w:p>
        </w:tc>
        <w:tc>
          <w:tcPr>
            <w:tcW w:w="785" w:type="dxa"/>
            <w:tcBorders>
              <w:top w:val="nil"/>
              <w:left w:val="nil"/>
              <w:bottom w:val="nil"/>
              <w:right w:val="nil"/>
            </w:tcBorders>
            <w:shd w:val="clear" w:color="auto" w:fill="auto"/>
            <w:noWrap/>
            <w:vAlign w:val="bottom"/>
            <w:hideMark/>
          </w:tcPr>
          <w:p w14:paraId="68441F3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10.8</w:t>
            </w:r>
          </w:p>
        </w:tc>
        <w:tc>
          <w:tcPr>
            <w:tcW w:w="732" w:type="dxa"/>
            <w:tcBorders>
              <w:top w:val="nil"/>
              <w:left w:val="nil"/>
              <w:bottom w:val="nil"/>
              <w:right w:val="nil"/>
            </w:tcBorders>
            <w:shd w:val="clear" w:color="auto" w:fill="auto"/>
            <w:noWrap/>
            <w:vAlign w:val="bottom"/>
            <w:hideMark/>
          </w:tcPr>
          <w:p w14:paraId="186F3E3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896.5</w:t>
            </w:r>
          </w:p>
        </w:tc>
        <w:tc>
          <w:tcPr>
            <w:tcW w:w="860" w:type="dxa"/>
            <w:tcBorders>
              <w:top w:val="nil"/>
              <w:left w:val="nil"/>
              <w:bottom w:val="nil"/>
              <w:right w:val="nil"/>
            </w:tcBorders>
            <w:shd w:val="clear" w:color="auto" w:fill="auto"/>
            <w:noWrap/>
            <w:vAlign w:val="bottom"/>
            <w:hideMark/>
          </w:tcPr>
          <w:p w14:paraId="7EB3137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5.5</w:t>
            </w:r>
          </w:p>
        </w:tc>
        <w:tc>
          <w:tcPr>
            <w:tcW w:w="960" w:type="dxa"/>
            <w:tcBorders>
              <w:top w:val="nil"/>
              <w:left w:val="nil"/>
              <w:bottom w:val="nil"/>
              <w:right w:val="nil"/>
            </w:tcBorders>
            <w:shd w:val="clear" w:color="auto" w:fill="auto"/>
            <w:noWrap/>
            <w:vAlign w:val="bottom"/>
            <w:hideMark/>
          </w:tcPr>
          <w:p w14:paraId="36FE47E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152.0</w:t>
            </w:r>
          </w:p>
        </w:tc>
        <w:tc>
          <w:tcPr>
            <w:tcW w:w="689" w:type="dxa"/>
            <w:tcBorders>
              <w:top w:val="nil"/>
              <w:left w:val="nil"/>
              <w:bottom w:val="nil"/>
              <w:right w:val="nil"/>
            </w:tcBorders>
            <w:shd w:val="clear" w:color="auto" w:fill="auto"/>
            <w:noWrap/>
            <w:vAlign w:val="bottom"/>
            <w:hideMark/>
          </w:tcPr>
          <w:p w14:paraId="5419E91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1236.8</w:t>
            </w:r>
          </w:p>
        </w:tc>
        <w:tc>
          <w:tcPr>
            <w:tcW w:w="1000" w:type="dxa"/>
            <w:tcBorders>
              <w:top w:val="nil"/>
              <w:left w:val="nil"/>
              <w:bottom w:val="nil"/>
              <w:right w:val="nil"/>
            </w:tcBorders>
            <w:shd w:val="clear" w:color="auto" w:fill="auto"/>
            <w:noWrap/>
            <w:vAlign w:val="bottom"/>
            <w:hideMark/>
          </w:tcPr>
          <w:p w14:paraId="01103F0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199.6</w:t>
            </w:r>
          </w:p>
        </w:tc>
      </w:tr>
      <w:tr w:rsidR="00F26016" w:rsidRPr="00F26016" w14:paraId="6A7AD79E" w14:textId="77777777" w:rsidTr="00F26016">
        <w:trPr>
          <w:trHeight w:val="300"/>
        </w:trPr>
        <w:tc>
          <w:tcPr>
            <w:tcW w:w="1140" w:type="dxa"/>
            <w:tcBorders>
              <w:top w:val="nil"/>
              <w:left w:val="nil"/>
              <w:bottom w:val="nil"/>
              <w:right w:val="nil"/>
            </w:tcBorders>
            <w:shd w:val="clear" w:color="auto" w:fill="auto"/>
            <w:noWrap/>
            <w:hideMark/>
          </w:tcPr>
          <w:p w14:paraId="6E809B8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200" w:type="dxa"/>
            <w:tcBorders>
              <w:top w:val="nil"/>
              <w:left w:val="nil"/>
              <w:bottom w:val="nil"/>
              <w:right w:val="nil"/>
            </w:tcBorders>
            <w:shd w:val="clear" w:color="auto" w:fill="auto"/>
            <w:noWrap/>
            <w:hideMark/>
          </w:tcPr>
          <w:p w14:paraId="56DB8FB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40253B1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6F59CD5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632805A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116CEF2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1B1F295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1582ED9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5AE0952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9.4</w:t>
            </w:r>
          </w:p>
        </w:tc>
        <w:tc>
          <w:tcPr>
            <w:tcW w:w="920" w:type="dxa"/>
            <w:tcBorders>
              <w:top w:val="nil"/>
              <w:left w:val="nil"/>
              <w:bottom w:val="nil"/>
              <w:right w:val="nil"/>
            </w:tcBorders>
            <w:shd w:val="clear" w:color="auto" w:fill="auto"/>
            <w:noWrap/>
            <w:vAlign w:val="bottom"/>
            <w:hideMark/>
          </w:tcPr>
          <w:p w14:paraId="74C73CA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7.1</w:t>
            </w:r>
          </w:p>
        </w:tc>
        <w:tc>
          <w:tcPr>
            <w:tcW w:w="741" w:type="dxa"/>
            <w:tcBorders>
              <w:top w:val="nil"/>
              <w:left w:val="nil"/>
              <w:bottom w:val="nil"/>
              <w:right w:val="nil"/>
            </w:tcBorders>
            <w:shd w:val="clear" w:color="auto" w:fill="auto"/>
            <w:noWrap/>
            <w:vAlign w:val="bottom"/>
            <w:hideMark/>
          </w:tcPr>
          <w:p w14:paraId="1A6ECF0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10.8</w:t>
            </w:r>
          </w:p>
        </w:tc>
        <w:tc>
          <w:tcPr>
            <w:tcW w:w="785" w:type="dxa"/>
            <w:tcBorders>
              <w:top w:val="nil"/>
              <w:left w:val="nil"/>
              <w:bottom w:val="nil"/>
              <w:right w:val="nil"/>
            </w:tcBorders>
            <w:shd w:val="clear" w:color="auto" w:fill="auto"/>
            <w:noWrap/>
            <w:vAlign w:val="bottom"/>
            <w:hideMark/>
          </w:tcPr>
          <w:p w14:paraId="2809ED4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9.8</w:t>
            </w:r>
          </w:p>
        </w:tc>
        <w:tc>
          <w:tcPr>
            <w:tcW w:w="732" w:type="dxa"/>
            <w:tcBorders>
              <w:top w:val="nil"/>
              <w:left w:val="nil"/>
              <w:bottom w:val="nil"/>
              <w:right w:val="nil"/>
            </w:tcBorders>
            <w:shd w:val="clear" w:color="auto" w:fill="auto"/>
            <w:noWrap/>
            <w:vAlign w:val="bottom"/>
            <w:hideMark/>
          </w:tcPr>
          <w:p w14:paraId="1FE0A88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55.3</w:t>
            </w:r>
          </w:p>
        </w:tc>
        <w:tc>
          <w:tcPr>
            <w:tcW w:w="860" w:type="dxa"/>
            <w:tcBorders>
              <w:top w:val="nil"/>
              <w:left w:val="nil"/>
              <w:bottom w:val="nil"/>
              <w:right w:val="nil"/>
            </w:tcBorders>
            <w:shd w:val="clear" w:color="auto" w:fill="auto"/>
            <w:noWrap/>
            <w:vAlign w:val="bottom"/>
            <w:hideMark/>
          </w:tcPr>
          <w:p w14:paraId="08AE979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8.4</w:t>
            </w:r>
          </w:p>
        </w:tc>
        <w:tc>
          <w:tcPr>
            <w:tcW w:w="960" w:type="dxa"/>
            <w:tcBorders>
              <w:top w:val="nil"/>
              <w:left w:val="nil"/>
              <w:bottom w:val="nil"/>
              <w:right w:val="nil"/>
            </w:tcBorders>
            <w:shd w:val="clear" w:color="auto" w:fill="auto"/>
            <w:noWrap/>
            <w:vAlign w:val="bottom"/>
            <w:hideMark/>
          </w:tcPr>
          <w:p w14:paraId="2CFB47F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136.6</w:t>
            </w:r>
          </w:p>
        </w:tc>
        <w:tc>
          <w:tcPr>
            <w:tcW w:w="689" w:type="dxa"/>
            <w:tcBorders>
              <w:top w:val="nil"/>
              <w:left w:val="nil"/>
              <w:bottom w:val="nil"/>
              <w:right w:val="nil"/>
            </w:tcBorders>
            <w:shd w:val="clear" w:color="auto" w:fill="auto"/>
            <w:noWrap/>
            <w:vAlign w:val="bottom"/>
            <w:hideMark/>
          </w:tcPr>
          <w:p w14:paraId="3F039D3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677.7</w:t>
            </w:r>
          </w:p>
        </w:tc>
        <w:tc>
          <w:tcPr>
            <w:tcW w:w="1000" w:type="dxa"/>
            <w:tcBorders>
              <w:top w:val="nil"/>
              <w:left w:val="nil"/>
              <w:bottom w:val="nil"/>
              <w:right w:val="nil"/>
            </w:tcBorders>
            <w:shd w:val="clear" w:color="auto" w:fill="auto"/>
            <w:noWrap/>
            <w:vAlign w:val="bottom"/>
            <w:hideMark/>
          </w:tcPr>
          <w:p w14:paraId="08B3882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156.6</w:t>
            </w:r>
          </w:p>
        </w:tc>
      </w:tr>
      <w:tr w:rsidR="00F26016" w:rsidRPr="00F26016" w14:paraId="6A509EEB" w14:textId="77777777" w:rsidTr="00F26016">
        <w:trPr>
          <w:trHeight w:val="300"/>
        </w:trPr>
        <w:tc>
          <w:tcPr>
            <w:tcW w:w="1140" w:type="dxa"/>
            <w:tcBorders>
              <w:top w:val="nil"/>
              <w:left w:val="nil"/>
              <w:bottom w:val="nil"/>
              <w:right w:val="nil"/>
            </w:tcBorders>
            <w:shd w:val="clear" w:color="auto" w:fill="auto"/>
            <w:noWrap/>
            <w:hideMark/>
          </w:tcPr>
          <w:p w14:paraId="05AEC2F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200" w:type="dxa"/>
            <w:tcBorders>
              <w:top w:val="nil"/>
              <w:left w:val="nil"/>
              <w:bottom w:val="nil"/>
              <w:right w:val="nil"/>
            </w:tcBorders>
            <w:shd w:val="clear" w:color="auto" w:fill="auto"/>
            <w:noWrap/>
            <w:hideMark/>
          </w:tcPr>
          <w:p w14:paraId="1C7AF75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346EB9F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16E1F76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75DCF1B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3833299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1DCF73C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3A995EA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28D1F45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66.9</w:t>
            </w:r>
          </w:p>
        </w:tc>
        <w:tc>
          <w:tcPr>
            <w:tcW w:w="920" w:type="dxa"/>
            <w:tcBorders>
              <w:top w:val="nil"/>
              <w:left w:val="nil"/>
              <w:bottom w:val="nil"/>
              <w:right w:val="nil"/>
            </w:tcBorders>
            <w:shd w:val="clear" w:color="auto" w:fill="auto"/>
            <w:noWrap/>
            <w:vAlign w:val="bottom"/>
            <w:hideMark/>
          </w:tcPr>
          <w:p w14:paraId="1997206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32.6</w:t>
            </w:r>
          </w:p>
        </w:tc>
        <w:tc>
          <w:tcPr>
            <w:tcW w:w="741" w:type="dxa"/>
            <w:tcBorders>
              <w:top w:val="nil"/>
              <w:left w:val="nil"/>
              <w:bottom w:val="nil"/>
              <w:right w:val="nil"/>
            </w:tcBorders>
            <w:shd w:val="clear" w:color="auto" w:fill="auto"/>
            <w:noWrap/>
            <w:vAlign w:val="bottom"/>
            <w:hideMark/>
          </w:tcPr>
          <w:p w14:paraId="55C383E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179.0</w:t>
            </w:r>
          </w:p>
        </w:tc>
        <w:tc>
          <w:tcPr>
            <w:tcW w:w="785" w:type="dxa"/>
            <w:tcBorders>
              <w:top w:val="nil"/>
              <w:left w:val="nil"/>
              <w:bottom w:val="nil"/>
              <w:right w:val="nil"/>
            </w:tcBorders>
            <w:shd w:val="clear" w:color="auto" w:fill="auto"/>
            <w:noWrap/>
            <w:vAlign w:val="bottom"/>
            <w:hideMark/>
          </w:tcPr>
          <w:p w14:paraId="48A84FB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50.4</w:t>
            </w:r>
          </w:p>
        </w:tc>
        <w:tc>
          <w:tcPr>
            <w:tcW w:w="732" w:type="dxa"/>
            <w:tcBorders>
              <w:top w:val="nil"/>
              <w:left w:val="nil"/>
              <w:bottom w:val="nil"/>
              <w:right w:val="nil"/>
            </w:tcBorders>
            <w:shd w:val="clear" w:color="auto" w:fill="auto"/>
            <w:noWrap/>
            <w:vAlign w:val="bottom"/>
            <w:hideMark/>
          </w:tcPr>
          <w:p w14:paraId="7C072A0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87.0</w:t>
            </w:r>
          </w:p>
        </w:tc>
        <w:tc>
          <w:tcPr>
            <w:tcW w:w="860" w:type="dxa"/>
            <w:tcBorders>
              <w:top w:val="nil"/>
              <w:left w:val="nil"/>
              <w:bottom w:val="nil"/>
              <w:right w:val="nil"/>
            </w:tcBorders>
            <w:shd w:val="clear" w:color="auto" w:fill="auto"/>
            <w:noWrap/>
            <w:vAlign w:val="bottom"/>
            <w:hideMark/>
          </w:tcPr>
          <w:p w14:paraId="39E3FC6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41.8</w:t>
            </w:r>
          </w:p>
        </w:tc>
        <w:tc>
          <w:tcPr>
            <w:tcW w:w="960" w:type="dxa"/>
            <w:tcBorders>
              <w:top w:val="nil"/>
              <w:left w:val="nil"/>
              <w:bottom w:val="nil"/>
              <w:right w:val="nil"/>
            </w:tcBorders>
            <w:shd w:val="clear" w:color="auto" w:fill="auto"/>
            <w:noWrap/>
            <w:vAlign w:val="bottom"/>
            <w:hideMark/>
          </w:tcPr>
          <w:p w14:paraId="7A56B52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366.0</w:t>
            </w:r>
          </w:p>
        </w:tc>
        <w:tc>
          <w:tcPr>
            <w:tcW w:w="689" w:type="dxa"/>
            <w:tcBorders>
              <w:top w:val="nil"/>
              <w:left w:val="nil"/>
              <w:bottom w:val="nil"/>
              <w:right w:val="nil"/>
            </w:tcBorders>
            <w:shd w:val="clear" w:color="auto" w:fill="auto"/>
            <w:noWrap/>
            <w:vAlign w:val="bottom"/>
            <w:hideMark/>
          </w:tcPr>
          <w:p w14:paraId="6B71CDF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874.7</w:t>
            </w:r>
          </w:p>
        </w:tc>
        <w:tc>
          <w:tcPr>
            <w:tcW w:w="1000" w:type="dxa"/>
            <w:tcBorders>
              <w:top w:val="nil"/>
              <w:left w:val="nil"/>
              <w:bottom w:val="nil"/>
              <w:right w:val="nil"/>
            </w:tcBorders>
            <w:shd w:val="clear" w:color="auto" w:fill="auto"/>
            <w:noWrap/>
            <w:vAlign w:val="bottom"/>
            <w:hideMark/>
          </w:tcPr>
          <w:p w14:paraId="07F8AEA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124.5</w:t>
            </w:r>
          </w:p>
        </w:tc>
      </w:tr>
      <w:tr w:rsidR="00F26016" w:rsidRPr="00F26016" w14:paraId="66AE4732" w14:textId="77777777" w:rsidTr="00F26016">
        <w:trPr>
          <w:trHeight w:val="300"/>
        </w:trPr>
        <w:tc>
          <w:tcPr>
            <w:tcW w:w="1140" w:type="dxa"/>
            <w:tcBorders>
              <w:top w:val="nil"/>
              <w:left w:val="nil"/>
              <w:bottom w:val="nil"/>
              <w:right w:val="nil"/>
            </w:tcBorders>
            <w:shd w:val="clear" w:color="auto" w:fill="auto"/>
            <w:noWrap/>
            <w:hideMark/>
          </w:tcPr>
          <w:p w14:paraId="31ED994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200" w:type="dxa"/>
            <w:tcBorders>
              <w:top w:val="nil"/>
              <w:left w:val="nil"/>
              <w:bottom w:val="nil"/>
              <w:right w:val="nil"/>
            </w:tcBorders>
            <w:shd w:val="clear" w:color="auto" w:fill="auto"/>
            <w:noWrap/>
            <w:hideMark/>
          </w:tcPr>
          <w:p w14:paraId="031F097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58BA388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7B174BE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47C83BA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67A65CC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7442EF1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46DB8EF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700951F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76.0</w:t>
            </w:r>
          </w:p>
        </w:tc>
        <w:tc>
          <w:tcPr>
            <w:tcW w:w="920" w:type="dxa"/>
            <w:tcBorders>
              <w:top w:val="nil"/>
              <w:left w:val="nil"/>
              <w:bottom w:val="nil"/>
              <w:right w:val="nil"/>
            </w:tcBorders>
            <w:shd w:val="clear" w:color="auto" w:fill="auto"/>
            <w:noWrap/>
            <w:vAlign w:val="bottom"/>
            <w:hideMark/>
          </w:tcPr>
          <w:p w14:paraId="3099F9D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6.2</w:t>
            </w:r>
          </w:p>
        </w:tc>
        <w:tc>
          <w:tcPr>
            <w:tcW w:w="741" w:type="dxa"/>
            <w:tcBorders>
              <w:top w:val="nil"/>
              <w:left w:val="nil"/>
              <w:bottom w:val="nil"/>
              <w:right w:val="nil"/>
            </w:tcBorders>
            <w:shd w:val="clear" w:color="auto" w:fill="auto"/>
            <w:noWrap/>
            <w:vAlign w:val="bottom"/>
            <w:hideMark/>
          </w:tcPr>
          <w:p w14:paraId="1E13C02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8.4</w:t>
            </w:r>
          </w:p>
        </w:tc>
        <w:tc>
          <w:tcPr>
            <w:tcW w:w="785" w:type="dxa"/>
            <w:tcBorders>
              <w:top w:val="nil"/>
              <w:left w:val="nil"/>
              <w:bottom w:val="nil"/>
              <w:right w:val="nil"/>
            </w:tcBorders>
            <w:shd w:val="clear" w:color="auto" w:fill="auto"/>
            <w:noWrap/>
            <w:vAlign w:val="bottom"/>
            <w:hideMark/>
          </w:tcPr>
          <w:p w14:paraId="76BF270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6.9</w:t>
            </w:r>
          </w:p>
        </w:tc>
        <w:tc>
          <w:tcPr>
            <w:tcW w:w="732" w:type="dxa"/>
            <w:tcBorders>
              <w:top w:val="nil"/>
              <w:left w:val="nil"/>
              <w:bottom w:val="nil"/>
              <w:right w:val="nil"/>
            </w:tcBorders>
            <w:shd w:val="clear" w:color="auto" w:fill="auto"/>
            <w:noWrap/>
            <w:vAlign w:val="bottom"/>
            <w:hideMark/>
          </w:tcPr>
          <w:p w14:paraId="1E4829D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93.4</w:t>
            </w:r>
          </w:p>
        </w:tc>
        <w:tc>
          <w:tcPr>
            <w:tcW w:w="860" w:type="dxa"/>
            <w:tcBorders>
              <w:top w:val="nil"/>
              <w:left w:val="nil"/>
              <w:bottom w:val="nil"/>
              <w:right w:val="nil"/>
            </w:tcBorders>
            <w:shd w:val="clear" w:color="auto" w:fill="auto"/>
            <w:noWrap/>
            <w:vAlign w:val="bottom"/>
            <w:hideMark/>
          </w:tcPr>
          <w:p w14:paraId="517A7DF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960" w:type="dxa"/>
            <w:tcBorders>
              <w:top w:val="nil"/>
              <w:left w:val="nil"/>
              <w:bottom w:val="nil"/>
              <w:right w:val="nil"/>
            </w:tcBorders>
            <w:shd w:val="clear" w:color="auto" w:fill="auto"/>
            <w:noWrap/>
            <w:vAlign w:val="bottom"/>
            <w:hideMark/>
          </w:tcPr>
          <w:p w14:paraId="633F4A8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272.6</w:t>
            </w:r>
          </w:p>
        </w:tc>
        <w:tc>
          <w:tcPr>
            <w:tcW w:w="689" w:type="dxa"/>
            <w:tcBorders>
              <w:top w:val="nil"/>
              <w:left w:val="nil"/>
              <w:bottom w:val="nil"/>
              <w:right w:val="nil"/>
            </w:tcBorders>
            <w:shd w:val="clear" w:color="auto" w:fill="auto"/>
            <w:noWrap/>
            <w:vAlign w:val="bottom"/>
            <w:hideMark/>
          </w:tcPr>
          <w:p w14:paraId="0E1B79D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748.3</w:t>
            </w:r>
          </w:p>
        </w:tc>
        <w:tc>
          <w:tcPr>
            <w:tcW w:w="1000" w:type="dxa"/>
            <w:tcBorders>
              <w:top w:val="nil"/>
              <w:left w:val="nil"/>
              <w:bottom w:val="nil"/>
              <w:right w:val="nil"/>
            </w:tcBorders>
            <w:shd w:val="clear" w:color="auto" w:fill="auto"/>
            <w:noWrap/>
            <w:vAlign w:val="bottom"/>
            <w:hideMark/>
          </w:tcPr>
          <w:p w14:paraId="4F1EABB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171.2</w:t>
            </w:r>
          </w:p>
        </w:tc>
      </w:tr>
      <w:tr w:rsidR="00F26016" w:rsidRPr="00F26016" w14:paraId="62153470" w14:textId="77777777" w:rsidTr="00F26016">
        <w:trPr>
          <w:trHeight w:val="300"/>
        </w:trPr>
        <w:tc>
          <w:tcPr>
            <w:tcW w:w="1140" w:type="dxa"/>
            <w:tcBorders>
              <w:top w:val="nil"/>
              <w:left w:val="nil"/>
              <w:bottom w:val="nil"/>
              <w:right w:val="nil"/>
            </w:tcBorders>
            <w:shd w:val="clear" w:color="auto" w:fill="auto"/>
            <w:noWrap/>
            <w:hideMark/>
          </w:tcPr>
          <w:p w14:paraId="46EE407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200" w:type="dxa"/>
            <w:tcBorders>
              <w:top w:val="nil"/>
              <w:left w:val="nil"/>
              <w:bottom w:val="nil"/>
              <w:right w:val="nil"/>
            </w:tcBorders>
            <w:shd w:val="clear" w:color="auto" w:fill="auto"/>
            <w:noWrap/>
            <w:hideMark/>
          </w:tcPr>
          <w:p w14:paraId="3D2B5C3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437D54B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3A26D24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7E5EE98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1A31CF2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03E5402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0CD9B22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1693D07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5.7</w:t>
            </w:r>
          </w:p>
        </w:tc>
        <w:tc>
          <w:tcPr>
            <w:tcW w:w="920" w:type="dxa"/>
            <w:tcBorders>
              <w:top w:val="nil"/>
              <w:left w:val="nil"/>
              <w:bottom w:val="nil"/>
              <w:right w:val="nil"/>
            </w:tcBorders>
            <w:shd w:val="clear" w:color="auto" w:fill="auto"/>
            <w:noWrap/>
            <w:vAlign w:val="bottom"/>
            <w:hideMark/>
          </w:tcPr>
          <w:p w14:paraId="3FB23B3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11.7</w:t>
            </w:r>
          </w:p>
        </w:tc>
        <w:tc>
          <w:tcPr>
            <w:tcW w:w="741" w:type="dxa"/>
            <w:tcBorders>
              <w:top w:val="nil"/>
              <w:left w:val="nil"/>
              <w:bottom w:val="nil"/>
              <w:right w:val="nil"/>
            </w:tcBorders>
            <w:shd w:val="clear" w:color="auto" w:fill="auto"/>
            <w:noWrap/>
            <w:vAlign w:val="bottom"/>
            <w:hideMark/>
          </w:tcPr>
          <w:p w14:paraId="3396140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8.4</w:t>
            </w:r>
          </w:p>
        </w:tc>
        <w:tc>
          <w:tcPr>
            <w:tcW w:w="785" w:type="dxa"/>
            <w:tcBorders>
              <w:top w:val="nil"/>
              <w:left w:val="nil"/>
              <w:bottom w:val="nil"/>
              <w:right w:val="nil"/>
            </w:tcBorders>
            <w:shd w:val="clear" w:color="auto" w:fill="auto"/>
            <w:noWrap/>
            <w:vAlign w:val="bottom"/>
            <w:hideMark/>
          </w:tcPr>
          <w:p w14:paraId="1F8B3E1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11.0</w:t>
            </w:r>
          </w:p>
        </w:tc>
        <w:tc>
          <w:tcPr>
            <w:tcW w:w="732" w:type="dxa"/>
            <w:tcBorders>
              <w:top w:val="nil"/>
              <w:left w:val="nil"/>
              <w:bottom w:val="nil"/>
              <w:right w:val="nil"/>
            </w:tcBorders>
            <w:shd w:val="clear" w:color="auto" w:fill="auto"/>
            <w:noWrap/>
            <w:vAlign w:val="bottom"/>
            <w:hideMark/>
          </w:tcPr>
          <w:p w14:paraId="3BD9C14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39.7</w:t>
            </w:r>
          </w:p>
        </w:tc>
        <w:tc>
          <w:tcPr>
            <w:tcW w:w="860" w:type="dxa"/>
            <w:tcBorders>
              <w:top w:val="nil"/>
              <w:left w:val="nil"/>
              <w:bottom w:val="nil"/>
              <w:right w:val="nil"/>
            </w:tcBorders>
            <w:shd w:val="clear" w:color="auto" w:fill="auto"/>
            <w:noWrap/>
            <w:vAlign w:val="bottom"/>
            <w:hideMark/>
          </w:tcPr>
          <w:p w14:paraId="2BD7F71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13.1</w:t>
            </w:r>
          </w:p>
        </w:tc>
        <w:tc>
          <w:tcPr>
            <w:tcW w:w="960" w:type="dxa"/>
            <w:tcBorders>
              <w:top w:val="nil"/>
              <w:left w:val="nil"/>
              <w:bottom w:val="nil"/>
              <w:right w:val="nil"/>
            </w:tcBorders>
            <w:shd w:val="clear" w:color="auto" w:fill="auto"/>
            <w:noWrap/>
            <w:vAlign w:val="bottom"/>
            <w:hideMark/>
          </w:tcPr>
          <w:p w14:paraId="172E04D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167.6</w:t>
            </w:r>
          </w:p>
        </w:tc>
        <w:tc>
          <w:tcPr>
            <w:tcW w:w="689" w:type="dxa"/>
            <w:tcBorders>
              <w:top w:val="nil"/>
              <w:left w:val="nil"/>
              <w:bottom w:val="nil"/>
              <w:right w:val="nil"/>
            </w:tcBorders>
            <w:shd w:val="clear" w:color="auto" w:fill="auto"/>
            <w:noWrap/>
            <w:vAlign w:val="bottom"/>
            <w:hideMark/>
          </w:tcPr>
          <w:p w14:paraId="5B7C98C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737.4</w:t>
            </w:r>
          </w:p>
        </w:tc>
        <w:tc>
          <w:tcPr>
            <w:tcW w:w="1000" w:type="dxa"/>
            <w:tcBorders>
              <w:top w:val="nil"/>
              <w:left w:val="nil"/>
              <w:bottom w:val="nil"/>
              <w:right w:val="nil"/>
            </w:tcBorders>
            <w:shd w:val="clear" w:color="auto" w:fill="auto"/>
            <w:noWrap/>
            <w:vAlign w:val="bottom"/>
            <w:hideMark/>
          </w:tcPr>
          <w:p w14:paraId="55FCE62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138.1</w:t>
            </w:r>
          </w:p>
        </w:tc>
      </w:tr>
      <w:tr w:rsidR="00F26016" w:rsidRPr="00F26016" w14:paraId="0161D02C" w14:textId="77777777" w:rsidTr="00F26016">
        <w:trPr>
          <w:trHeight w:val="300"/>
        </w:trPr>
        <w:tc>
          <w:tcPr>
            <w:tcW w:w="1140" w:type="dxa"/>
            <w:tcBorders>
              <w:top w:val="nil"/>
              <w:left w:val="nil"/>
              <w:bottom w:val="nil"/>
              <w:right w:val="nil"/>
            </w:tcBorders>
            <w:shd w:val="clear" w:color="auto" w:fill="auto"/>
            <w:noWrap/>
            <w:hideMark/>
          </w:tcPr>
          <w:p w14:paraId="62898C3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w:t>
            </w:r>
          </w:p>
        </w:tc>
        <w:tc>
          <w:tcPr>
            <w:tcW w:w="1200" w:type="dxa"/>
            <w:tcBorders>
              <w:top w:val="nil"/>
              <w:left w:val="nil"/>
              <w:bottom w:val="nil"/>
              <w:right w:val="nil"/>
            </w:tcBorders>
            <w:shd w:val="clear" w:color="auto" w:fill="auto"/>
            <w:noWrap/>
            <w:hideMark/>
          </w:tcPr>
          <w:p w14:paraId="51D530E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7AC1478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63E323A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1BDB63F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4A9680E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0ADAE72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0AE335A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498D7FF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56.3</w:t>
            </w:r>
          </w:p>
        </w:tc>
        <w:tc>
          <w:tcPr>
            <w:tcW w:w="920" w:type="dxa"/>
            <w:tcBorders>
              <w:top w:val="nil"/>
              <w:left w:val="nil"/>
              <w:bottom w:val="nil"/>
              <w:right w:val="nil"/>
            </w:tcBorders>
            <w:shd w:val="clear" w:color="auto" w:fill="auto"/>
            <w:noWrap/>
            <w:vAlign w:val="bottom"/>
            <w:hideMark/>
          </w:tcPr>
          <w:p w14:paraId="5472E0B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42.9</w:t>
            </w:r>
          </w:p>
        </w:tc>
        <w:tc>
          <w:tcPr>
            <w:tcW w:w="741" w:type="dxa"/>
            <w:tcBorders>
              <w:top w:val="nil"/>
              <w:left w:val="nil"/>
              <w:bottom w:val="nil"/>
              <w:right w:val="nil"/>
            </w:tcBorders>
            <w:shd w:val="clear" w:color="auto" w:fill="auto"/>
            <w:noWrap/>
            <w:vAlign w:val="bottom"/>
            <w:hideMark/>
          </w:tcPr>
          <w:p w14:paraId="562409A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125.3</w:t>
            </w:r>
          </w:p>
        </w:tc>
        <w:tc>
          <w:tcPr>
            <w:tcW w:w="785" w:type="dxa"/>
            <w:tcBorders>
              <w:top w:val="nil"/>
              <w:left w:val="nil"/>
              <w:bottom w:val="nil"/>
              <w:right w:val="nil"/>
            </w:tcBorders>
            <w:shd w:val="clear" w:color="auto" w:fill="auto"/>
            <w:noWrap/>
            <w:vAlign w:val="bottom"/>
            <w:hideMark/>
          </w:tcPr>
          <w:p w14:paraId="3F93FDF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44.8</w:t>
            </w:r>
          </w:p>
        </w:tc>
        <w:tc>
          <w:tcPr>
            <w:tcW w:w="732" w:type="dxa"/>
            <w:tcBorders>
              <w:top w:val="nil"/>
              <w:left w:val="nil"/>
              <w:bottom w:val="nil"/>
              <w:right w:val="nil"/>
            </w:tcBorders>
            <w:shd w:val="clear" w:color="auto" w:fill="auto"/>
            <w:noWrap/>
            <w:vAlign w:val="bottom"/>
            <w:hideMark/>
          </w:tcPr>
          <w:p w14:paraId="2B83284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36.9</w:t>
            </w:r>
          </w:p>
        </w:tc>
        <w:tc>
          <w:tcPr>
            <w:tcW w:w="860" w:type="dxa"/>
            <w:tcBorders>
              <w:top w:val="nil"/>
              <w:left w:val="nil"/>
              <w:bottom w:val="nil"/>
              <w:right w:val="nil"/>
            </w:tcBorders>
            <w:shd w:val="clear" w:color="auto" w:fill="auto"/>
            <w:noWrap/>
            <w:vAlign w:val="bottom"/>
            <w:hideMark/>
          </w:tcPr>
          <w:p w14:paraId="61ACF81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97.4</w:t>
            </w:r>
          </w:p>
        </w:tc>
        <w:tc>
          <w:tcPr>
            <w:tcW w:w="960" w:type="dxa"/>
            <w:tcBorders>
              <w:top w:val="nil"/>
              <w:left w:val="nil"/>
              <w:bottom w:val="nil"/>
              <w:right w:val="nil"/>
            </w:tcBorders>
            <w:shd w:val="clear" w:color="auto" w:fill="auto"/>
            <w:noWrap/>
            <w:vAlign w:val="bottom"/>
            <w:hideMark/>
          </w:tcPr>
          <w:p w14:paraId="43B5A0E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232.7</w:t>
            </w:r>
          </w:p>
        </w:tc>
        <w:tc>
          <w:tcPr>
            <w:tcW w:w="689" w:type="dxa"/>
            <w:tcBorders>
              <w:top w:val="nil"/>
              <w:left w:val="nil"/>
              <w:bottom w:val="nil"/>
              <w:right w:val="nil"/>
            </w:tcBorders>
            <w:shd w:val="clear" w:color="auto" w:fill="auto"/>
            <w:noWrap/>
            <w:vAlign w:val="bottom"/>
            <w:hideMark/>
          </w:tcPr>
          <w:p w14:paraId="29EBB4D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821.3</w:t>
            </w:r>
          </w:p>
        </w:tc>
        <w:tc>
          <w:tcPr>
            <w:tcW w:w="1000" w:type="dxa"/>
            <w:tcBorders>
              <w:top w:val="nil"/>
              <w:left w:val="nil"/>
              <w:bottom w:val="nil"/>
              <w:right w:val="nil"/>
            </w:tcBorders>
            <w:shd w:val="clear" w:color="auto" w:fill="auto"/>
            <w:noWrap/>
            <w:vAlign w:val="bottom"/>
            <w:hideMark/>
          </w:tcPr>
          <w:p w14:paraId="5286331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125.7</w:t>
            </w:r>
          </w:p>
        </w:tc>
      </w:tr>
      <w:tr w:rsidR="00F26016" w:rsidRPr="00F26016" w14:paraId="3FF13C68" w14:textId="77777777" w:rsidTr="00F26016">
        <w:trPr>
          <w:trHeight w:val="300"/>
        </w:trPr>
        <w:tc>
          <w:tcPr>
            <w:tcW w:w="1140" w:type="dxa"/>
            <w:tcBorders>
              <w:top w:val="nil"/>
              <w:left w:val="nil"/>
              <w:bottom w:val="nil"/>
              <w:right w:val="nil"/>
            </w:tcBorders>
            <w:shd w:val="clear" w:color="auto" w:fill="auto"/>
            <w:noWrap/>
            <w:hideMark/>
          </w:tcPr>
          <w:p w14:paraId="207BD5E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200" w:type="dxa"/>
            <w:tcBorders>
              <w:top w:val="nil"/>
              <w:left w:val="nil"/>
              <w:bottom w:val="nil"/>
              <w:right w:val="nil"/>
            </w:tcBorders>
            <w:shd w:val="clear" w:color="auto" w:fill="auto"/>
            <w:noWrap/>
            <w:hideMark/>
          </w:tcPr>
          <w:p w14:paraId="49CA591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72C96A1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33F8C21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693AA10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09407DF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0A2DEA5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1E84C60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66ACF47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234.9</w:t>
            </w:r>
          </w:p>
        </w:tc>
        <w:tc>
          <w:tcPr>
            <w:tcW w:w="920" w:type="dxa"/>
            <w:tcBorders>
              <w:top w:val="nil"/>
              <w:left w:val="nil"/>
              <w:bottom w:val="nil"/>
              <w:right w:val="nil"/>
            </w:tcBorders>
            <w:shd w:val="clear" w:color="auto" w:fill="auto"/>
            <w:noWrap/>
            <w:vAlign w:val="bottom"/>
            <w:hideMark/>
          </w:tcPr>
          <w:p w14:paraId="142C87B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10.3</w:t>
            </w:r>
          </w:p>
        </w:tc>
        <w:tc>
          <w:tcPr>
            <w:tcW w:w="741" w:type="dxa"/>
            <w:tcBorders>
              <w:top w:val="nil"/>
              <w:left w:val="nil"/>
              <w:bottom w:val="nil"/>
              <w:right w:val="nil"/>
            </w:tcBorders>
            <w:shd w:val="clear" w:color="auto" w:fill="auto"/>
            <w:noWrap/>
            <w:vAlign w:val="bottom"/>
            <w:hideMark/>
          </w:tcPr>
          <w:p w14:paraId="0B5EB68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21.6</w:t>
            </w:r>
          </w:p>
        </w:tc>
        <w:tc>
          <w:tcPr>
            <w:tcW w:w="785" w:type="dxa"/>
            <w:tcBorders>
              <w:top w:val="nil"/>
              <w:left w:val="nil"/>
              <w:bottom w:val="nil"/>
              <w:right w:val="nil"/>
            </w:tcBorders>
            <w:shd w:val="clear" w:color="auto" w:fill="auto"/>
            <w:noWrap/>
            <w:vAlign w:val="bottom"/>
            <w:hideMark/>
          </w:tcPr>
          <w:p w14:paraId="4B8CD3A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13.5</w:t>
            </w:r>
          </w:p>
        </w:tc>
        <w:tc>
          <w:tcPr>
            <w:tcW w:w="732" w:type="dxa"/>
            <w:tcBorders>
              <w:top w:val="nil"/>
              <w:left w:val="nil"/>
              <w:bottom w:val="nil"/>
              <w:right w:val="nil"/>
            </w:tcBorders>
            <w:shd w:val="clear" w:color="auto" w:fill="auto"/>
            <w:noWrap/>
            <w:vAlign w:val="bottom"/>
            <w:hideMark/>
          </w:tcPr>
          <w:p w14:paraId="74A05E2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938.0</w:t>
            </w:r>
          </w:p>
        </w:tc>
        <w:tc>
          <w:tcPr>
            <w:tcW w:w="860" w:type="dxa"/>
            <w:tcBorders>
              <w:top w:val="nil"/>
              <w:left w:val="nil"/>
              <w:bottom w:val="nil"/>
              <w:right w:val="nil"/>
            </w:tcBorders>
            <w:shd w:val="clear" w:color="auto" w:fill="auto"/>
            <w:noWrap/>
            <w:vAlign w:val="bottom"/>
            <w:hideMark/>
          </w:tcPr>
          <w:p w14:paraId="47489F49" w14:textId="77777777" w:rsidR="00F26016" w:rsidRPr="00F26016" w:rsidRDefault="00F26016" w:rsidP="00F26016">
            <w:pPr>
              <w:rPr>
                <w:rFonts w:ascii="Calibri" w:eastAsia="Times New Roman" w:hAnsi="Calibri" w:cs="Times New Roman"/>
                <w:color w:val="000000"/>
                <w:sz w:val="16"/>
                <w:szCs w:val="16"/>
              </w:rPr>
            </w:pPr>
          </w:p>
        </w:tc>
        <w:tc>
          <w:tcPr>
            <w:tcW w:w="960" w:type="dxa"/>
            <w:tcBorders>
              <w:top w:val="nil"/>
              <w:left w:val="nil"/>
              <w:bottom w:val="nil"/>
              <w:right w:val="nil"/>
            </w:tcBorders>
            <w:shd w:val="clear" w:color="auto" w:fill="auto"/>
            <w:noWrap/>
            <w:vAlign w:val="bottom"/>
            <w:hideMark/>
          </w:tcPr>
          <w:p w14:paraId="4813987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154.2</w:t>
            </w:r>
          </w:p>
        </w:tc>
        <w:tc>
          <w:tcPr>
            <w:tcW w:w="689" w:type="dxa"/>
            <w:tcBorders>
              <w:top w:val="nil"/>
              <w:left w:val="nil"/>
              <w:bottom w:val="nil"/>
              <w:right w:val="nil"/>
            </w:tcBorders>
            <w:shd w:val="clear" w:color="auto" w:fill="auto"/>
            <w:noWrap/>
            <w:vAlign w:val="bottom"/>
            <w:hideMark/>
          </w:tcPr>
          <w:p w14:paraId="32CC40F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669.6</w:t>
            </w:r>
          </w:p>
        </w:tc>
        <w:tc>
          <w:tcPr>
            <w:tcW w:w="1000" w:type="dxa"/>
            <w:tcBorders>
              <w:top w:val="nil"/>
              <w:left w:val="nil"/>
              <w:bottom w:val="nil"/>
              <w:right w:val="nil"/>
            </w:tcBorders>
            <w:shd w:val="clear" w:color="auto" w:fill="auto"/>
            <w:noWrap/>
            <w:vAlign w:val="bottom"/>
            <w:hideMark/>
          </w:tcPr>
          <w:p w14:paraId="60E4ADE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206.1</w:t>
            </w:r>
          </w:p>
        </w:tc>
      </w:tr>
      <w:tr w:rsidR="00F26016" w:rsidRPr="00F26016" w14:paraId="27CB03D8" w14:textId="77777777" w:rsidTr="00F26016">
        <w:trPr>
          <w:trHeight w:val="300"/>
        </w:trPr>
        <w:tc>
          <w:tcPr>
            <w:tcW w:w="1140" w:type="dxa"/>
            <w:tcBorders>
              <w:top w:val="nil"/>
              <w:left w:val="nil"/>
              <w:bottom w:val="nil"/>
              <w:right w:val="nil"/>
            </w:tcBorders>
            <w:shd w:val="clear" w:color="auto" w:fill="auto"/>
            <w:noWrap/>
            <w:hideMark/>
          </w:tcPr>
          <w:p w14:paraId="24A73D6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200" w:type="dxa"/>
            <w:tcBorders>
              <w:top w:val="nil"/>
              <w:left w:val="nil"/>
              <w:bottom w:val="nil"/>
              <w:right w:val="nil"/>
            </w:tcBorders>
            <w:shd w:val="clear" w:color="auto" w:fill="auto"/>
            <w:noWrap/>
            <w:hideMark/>
          </w:tcPr>
          <w:p w14:paraId="3EEC115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0161AD1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1B3A229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204D255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4A9F3C7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59DF4AA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663ED6D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13C57DA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8.6</w:t>
            </w:r>
          </w:p>
        </w:tc>
        <w:tc>
          <w:tcPr>
            <w:tcW w:w="920" w:type="dxa"/>
            <w:tcBorders>
              <w:top w:val="nil"/>
              <w:left w:val="nil"/>
              <w:bottom w:val="nil"/>
              <w:right w:val="nil"/>
            </w:tcBorders>
            <w:shd w:val="clear" w:color="auto" w:fill="auto"/>
            <w:noWrap/>
            <w:vAlign w:val="bottom"/>
            <w:hideMark/>
          </w:tcPr>
          <w:p w14:paraId="1A715CD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13.9</w:t>
            </w:r>
          </w:p>
        </w:tc>
        <w:tc>
          <w:tcPr>
            <w:tcW w:w="741" w:type="dxa"/>
            <w:tcBorders>
              <w:top w:val="nil"/>
              <w:left w:val="nil"/>
              <w:bottom w:val="nil"/>
              <w:right w:val="nil"/>
            </w:tcBorders>
            <w:shd w:val="clear" w:color="auto" w:fill="auto"/>
            <w:noWrap/>
            <w:vAlign w:val="bottom"/>
            <w:hideMark/>
          </w:tcPr>
          <w:p w14:paraId="0A024A7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12.2</w:t>
            </w:r>
          </w:p>
        </w:tc>
        <w:tc>
          <w:tcPr>
            <w:tcW w:w="785" w:type="dxa"/>
            <w:tcBorders>
              <w:top w:val="nil"/>
              <w:left w:val="nil"/>
              <w:bottom w:val="nil"/>
              <w:right w:val="nil"/>
            </w:tcBorders>
            <w:shd w:val="clear" w:color="auto" w:fill="auto"/>
            <w:noWrap/>
            <w:vAlign w:val="bottom"/>
            <w:hideMark/>
          </w:tcPr>
          <w:p w14:paraId="14EE915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14.3</w:t>
            </w:r>
          </w:p>
        </w:tc>
        <w:tc>
          <w:tcPr>
            <w:tcW w:w="732" w:type="dxa"/>
            <w:tcBorders>
              <w:top w:val="nil"/>
              <w:left w:val="nil"/>
              <w:bottom w:val="nil"/>
              <w:right w:val="nil"/>
            </w:tcBorders>
            <w:shd w:val="clear" w:color="auto" w:fill="auto"/>
            <w:noWrap/>
            <w:vAlign w:val="bottom"/>
            <w:hideMark/>
          </w:tcPr>
          <w:p w14:paraId="1F4A8A9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88.1</w:t>
            </w:r>
          </w:p>
        </w:tc>
        <w:tc>
          <w:tcPr>
            <w:tcW w:w="860" w:type="dxa"/>
            <w:tcBorders>
              <w:top w:val="nil"/>
              <w:left w:val="nil"/>
              <w:bottom w:val="nil"/>
              <w:right w:val="nil"/>
            </w:tcBorders>
            <w:shd w:val="clear" w:color="auto" w:fill="auto"/>
            <w:noWrap/>
            <w:vAlign w:val="bottom"/>
            <w:hideMark/>
          </w:tcPr>
          <w:p w14:paraId="09B4012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27.4</w:t>
            </w:r>
          </w:p>
        </w:tc>
        <w:tc>
          <w:tcPr>
            <w:tcW w:w="960" w:type="dxa"/>
            <w:tcBorders>
              <w:top w:val="nil"/>
              <w:left w:val="nil"/>
              <w:bottom w:val="nil"/>
              <w:right w:val="nil"/>
            </w:tcBorders>
            <w:shd w:val="clear" w:color="auto" w:fill="auto"/>
            <w:noWrap/>
            <w:vAlign w:val="bottom"/>
            <w:hideMark/>
          </w:tcPr>
          <w:p w14:paraId="599DDCE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45.7</w:t>
            </w:r>
          </w:p>
        </w:tc>
        <w:tc>
          <w:tcPr>
            <w:tcW w:w="689" w:type="dxa"/>
            <w:tcBorders>
              <w:top w:val="nil"/>
              <w:left w:val="nil"/>
              <w:bottom w:val="nil"/>
              <w:right w:val="nil"/>
            </w:tcBorders>
            <w:shd w:val="clear" w:color="auto" w:fill="auto"/>
            <w:noWrap/>
            <w:vAlign w:val="bottom"/>
            <w:hideMark/>
          </w:tcPr>
          <w:p w14:paraId="1830AE0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785.2</w:t>
            </w:r>
          </w:p>
        </w:tc>
        <w:tc>
          <w:tcPr>
            <w:tcW w:w="1000" w:type="dxa"/>
            <w:tcBorders>
              <w:top w:val="nil"/>
              <w:left w:val="nil"/>
              <w:bottom w:val="nil"/>
              <w:right w:val="nil"/>
            </w:tcBorders>
            <w:shd w:val="clear" w:color="auto" w:fill="auto"/>
            <w:noWrap/>
            <w:vAlign w:val="bottom"/>
            <w:hideMark/>
          </w:tcPr>
          <w:p w14:paraId="1E907AF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147.7</w:t>
            </w:r>
          </w:p>
        </w:tc>
      </w:tr>
      <w:tr w:rsidR="00F26016" w:rsidRPr="00F26016" w14:paraId="066D790C" w14:textId="77777777" w:rsidTr="00F26016">
        <w:trPr>
          <w:trHeight w:val="300"/>
        </w:trPr>
        <w:tc>
          <w:tcPr>
            <w:tcW w:w="1140" w:type="dxa"/>
            <w:tcBorders>
              <w:top w:val="nil"/>
              <w:left w:val="nil"/>
              <w:bottom w:val="nil"/>
              <w:right w:val="nil"/>
            </w:tcBorders>
            <w:shd w:val="clear" w:color="auto" w:fill="auto"/>
            <w:noWrap/>
            <w:hideMark/>
          </w:tcPr>
          <w:p w14:paraId="325F375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w:t>
            </w:r>
          </w:p>
        </w:tc>
        <w:tc>
          <w:tcPr>
            <w:tcW w:w="1200" w:type="dxa"/>
            <w:tcBorders>
              <w:top w:val="nil"/>
              <w:left w:val="nil"/>
              <w:bottom w:val="nil"/>
              <w:right w:val="nil"/>
            </w:tcBorders>
            <w:shd w:val="clear" w:color="auto" w:fill="auto"/>
            <w:noWrap/>
            <w:hideMark/>
          </w:tcPr>
          <w:p w14:paraId="09DA84C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1F23C7E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3AB83F4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495FA11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74B4C31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55ACC58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6022E89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3640EDA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73.4</w:t>
            </w:r>
          </w:p>
        </w:tc>
        <w:tc>
          <w:tcPr>
            <w:tcW w:w="920" w:type="dxa"/>
            <w:tcBorders>
              <w:top w:val="nil"/>
              <w:left w:val="nil"/>
              <w:bottom w:val="nil"/>
              <w:right w:val="nil"/>
            </w:tcBorders>
            <w:shd w:val="clear" w:color="auto" w:fill="auto"/>
            <w:noWrap/>
            <w:vAlign w:val="bottom"/>
            <w:hideMark/>
          </w:tcPr>
          <w:p w14:paraId="73EAC80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26.9</w:t>
            </w:r>
          </w:p>
        </w:tc>
        <w:tc>
          <w:tcPr>
            <w:tcW w:w="741" w:type="dxa"/>
            <w:tcBorders>
              <w:top w:val="nil"/>
              <w:left w:val="nil"/>
              <w:bottom w:val="nil"/>
              <w:right w:val="nil"/>
            </w:tcBorders>
            <w:shd w:val="clear" w:color="auto" w:fill="auto"/>
            <w:noWrap/>
            <w:vAlign w:val="bottom"/>
            <w:hideMark/>
          </w:tcPr>
          <w:p w14:paraId="1107DD7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240.1</w:t>
            </w:r>
          </w:p>
        </w:tc>
        <w:tc>
          <w:tcPr>
            <w:tcW w:w="785" w:type="dxa"/>
            <w:tcBorders>
              <w:top w:val="nil"/>
              <w:left w:val="nil"/>
              <w:bottom w:val="nil"/>
              <w:right w:val="nil"/>
            </w:tcBorders>
            <w:shd w:val="clear" w:color="auto" w:fill="auto"/>
            <w:noWrap/>
            <w:vAlign w:val="bottom"/>
            <w:hideMark/>
          </w:tcPr>
          <w:p w14:paraId="75C868C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77.7</w:t>
            </w:r>
          </w:p>
        </w:tc>
        <w:tc>
          <w:tcPr>
            <w:tcW w:w="732" w:type="dxa"/>
            <w:tcBorders>
              <w:top w:val="nil"/>
              <w:left w:val="nil"/>
              <w:bottom w:val="nil"/>
              <w:right w:val="nil"/>
            </w:tcBorders>
            <w:shd w:val="clear" w:color="auto" w:fill="auto"/>
            <w:noWrap/>
            <w:vAlign w:val="bottom"/>
            <w:hideMark/>
          </w:tcPr>
          <w:p w14:paraId="2467D9B5" w14:textId="77777777" w:rsidR="00F26016" w:rsidRPr="00F26016" w:rsidRDefault="00F26016" w:rsidP="00F26016">
            <w:pPr>
              <w:rPr>
                <w:rFonts w:ascii="Calibri" w:eastAsia="Times New Roman" w:hAnsi="Calibri" w:cs="Times New Roman"/>
                <w:color w:val="000000"/>
                <w:sz w:val="16"/>
                <w:szCs w:val="16"/>
              </w:rPr>
            </w:pPr>
          </w:p>
        </w:tc>
        <w:tc>
          <w:tcPr>
            <w:tcW w:w="860" w:type="dxa"/>
            <w:tcBorders>
              <w:top w:val="nil"/>
              <w:left w:val="nil"/>
              <w:bottom w:val="nil"/>
              <w:right w:val="nil"/>
            </w:tcBorders>
            <w:shd w:val="clear" w:color="auto" w:fill="auto"/>
            <w:noWrap/>
            <w:vAlign w:val="bottom"/>
            <w:hideMark/>
          </w:tcPr>
          <w:p w14:paraId="3F17B8B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67.7</w:t>
            </w:r>
          </w:p>
        </w:tc>
        <w:tc>
          <w:tcPr>
            <w:tcW w:w="960" w:type="dxa"/>
            <w:tcBorders>
              <w:top w:val="nil"/>
              <w:left w:val="nil"/>
              <w:bottom w:val="nil"/>
              <w:right w:val="nil"/>
            </w:tcBorders>
            <w:shd w:val="clear" w:color="auto" w:fill="auto"/>
            <w:noWrap/>
            <w:vAlign w:val="bottom"/>
            <w:hideMark/>
          </w:tcPr>
          <w:p w14:paraId="0C1614A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235.2</w:t>
            </w:r>
          </w:p>
        </w:tc>
        <w:tc>
          <w:tcPr>
            <w:tcW w:w="689" w:type="dxa"/>
            <w:tcBorders>
              <w:top w:val="nil"/>
              <w:left w:val="nil"/>
              <w:bottom w:val="nil"/>
              <w:right w:val="nil"/>
            </w:tcBorders>
            <w:shd w:val="clear" w:color="auto" w:fill="auto"/>
            <w:noWrap/>
            <w:vAlign w:val="bottom"/>
            <w:hideMark/>
          </w:tcPr>
          <w:p w14:paraId="4623322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908.6</w:t>
            </w:r>
          </w:p>
        </w:tc>
        <w:tc>
          <w:tcPr>
            <w:tcW w:w="1000" w:type="dxa"/>
            <w:tcBorders>
              <w:top w:val="nil"/>
              <w:left w:val="nil"/>
              <w:bottom w:val="nil"/>
              <w:right w:val="nil"/>
            </w:tcBorders>
            <w:shd w:val="clear" w:color="auto" w:fill="auto"/>
            <w:noWrap/>
            <w:vAlign w:val="bottom"/>
            <w:hideMark/>
          </w:tcPr>
          <w:p w14:paraId="4F47895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134.0</w:t>
            </w:r>
          </w:p>
        </w:tc>
      </w:tr>
      <w:tr w:rsidR="00F26016" w:rsidRPr="00F26016" w14:paraId="2E24DAE7" w14:textId="77777777" w:rsidTr="00F26016">
        <w:trPr>
          <w:trHeight w:val="300"/>
        </w:trPr>
        <w:tc>
          <w:tcPr>
            <w:tcW w:w="1140" w:type="dxa"/>
            <w:tcBorders>
              <w:top w:val="nil"/>
              <w:left w:val="nil"/>
              <w:bottom w:val="nil"/>
              <w:right w:val="nil"/>
            </w:tcBorders>
            <w:shd w:val="clear" w:color="auto" w:fill="auto"/>
            <w:noWrap/>
            <w:hideMark/>
          </w:tcPr>
          <w:p w14:paraId="30C9870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w:t>
            </w:r>
          </w:p>
        </w:tc>
        <w:tc>
          <w:tcPr>
            <w:tcW w:w="1200" w:type="dxa"/>
            <w:tcBorders>
              <w:top w:val="nil"/>
              <w:left w:val="nil"/>
              <w:bottom w:val="nil"/>
              <w:right w:val="nil"/>
            </w:tcBorders>
            <w:shd w:val="clear" w:color="auto" w:fill="auto"/>
            <w:noWrap/>
            <w:hideMark/>
          </w:tcPr>
          <w:p w14:paraId="3E4E87F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65C3CA5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2335D50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633B3A1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722FC96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2E4DB6A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7665F14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3FE5EFE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62.3</w:t>
            </w:r>
          </w:p>
        </w:tc>
        <w:tc>
          <w:tcPr>
            <w:tcW w:w="920" w:type="dxa"/>
            <w:tcBorders>
              <w:top w:val="nil"/>
              <w:left w:val="nil"/>
              <w:bottom w:val="nil"/>
              <w:right w:val="nil"/>
            </w:tcBorders>
            <w:shd w:val="clear" w:color="auto" w:fill="auto"/>
            <w:noWrap/>
            <w:vAlign w:val="bottom"/>
            <w:hideMark/>
          </w:tcPr>
          <w:p w14:paraId="733088D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14.3</w:t>
            </w:r>
          </w:p>
        </w:tc>
        <w:tc>
          <w:tcPr>
            <w:tcW w:w="741" w:type="dxa"/>
            <w:tcBorders>
              <w:top w:val="nil"/>
              <w:left w:val="nil"/>
              <w:bottom w:val="nil"/>
              <w:right w:val="nil"/>
            </w:tcBorders>
            <w:shd w:val="clear" w:color="auto" w:fill="auto"/>
            <w:noWrap/>
            <w:vAlign w:val="bottom"/>
            <w:hideMark/>
          </w:tcPr>
          <w:p w14:paraId="27FE94D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9.9</w:t>
            </w:r>
          </w:p>
        </w:tc>
        <w:tc>
          <w:tcPr>
            <w:tcW w:w="785" w:type="dxa"/>
            <w:tcBorders>
              <w:top w:val="nil"/>
              <w:left w:val="nil"/>
              <w:bottom w:val="nil"/>
              <w:right w:val="nil"/>
            </w:tcBorders>
            <w:shd w:val="clear" w:color="auto" w:fill="auto"/>
            <w:noWrap/>
            <w:vAlign w:val="bottom"/>
            <w:hideMark/>
          </w:tcPr>
          <w:p w14:paraId="6CA0FC4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9.2</w:t>
            </w:r>
          </w:p>
        </w:tc>
        <w:tc>
          <w:tcPr>
            <w:tcW w:w="732" w:type="dxa"/>
            <w:tcBorders>
              <w:top w:val="nil"/>
              <w:left w:val="nil"/>
              <w:bottom w:val="nil"/>
              <w:right w:val="nil"/>
            </w:tcBorders>
            <w:shd w:val="clear" w:color="auto" w:fill="auto"/>
            <w:noWrap/>
            <w:vAlign w:val="bottom"/>
            <w:hideMark/>
          </w:tcPr>
          <w:p w14:paraId="76FC345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130.4</w:t>
            </w:r>
          </w:p>
        </w:tc>
        <w:tc>
          <w:tcPr>
            <w:tcW w:w="860" w:type="dxa"/>
            <w:tcBorders>
              <w:top w:val="nil"/>
              <w:left w:val="nil"/>
              <w:bottom w:val="nil"/>
              <w:right w:val="nil"/>
            </w:tcBorders>
            <w:shd w:val="clear" w:color="auto" w:fill="auto"/>
            <w:noWrap/>
            <w:vAlign w:val="bottom"/>
            <w:hideMark/>
          </w:tcPr>
          <w:p w14:paraId="4471FA0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960" w:type="dxa"/>
            <w:tcBorders>
              <w:top w:val="nil"/>
              <w:left w:val="nil"/>
              <w:bottom w:val="nil"/>
              <w:right w:val="nil"/>
            </w:tcBorders>
            <w:shd w:val="clear" w:color="auto" w:fill="auto"/>
            <w:noWrap/>
            <w:vAlign w:val="bottom"/>
            <w:hideMark/>
          </w:tcPr>
          <w:p w14:paraId="6392A0F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146.8</w:t>
            </w:r>
          </w:p>
        </w:tc>
        <w:tc>
          <w:tcPr>
            <w:tcW w:w="689" w:type="dxa"/>
            <w:tcBorders>
              <w:top w:val="nil"/>
              <w:left w:val="nil"/>
              <w:bottom w:val="nil"/>
              <w:right w:val="nil"/>
            </w:tcBorders>
            <w:shd w:val="clear" w:color="auto" w:fill="auto"/>
            <w:noWrap/>
            <w:vAlign w:val="bottom"/>
            <w:hideMark/>
          </w:tcPr>
          <w:p w14:paraId="0B35C7D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419.2</w:t>
            </w:r>
          </w:p>
        </w:tc>
        <w:tc>
          <w:tcPr>
            <w:tcW w:w="1000" w:type="dxa"/>
            <w:tcBorders>
              <w:top w:val="nil"/>
              <w:left w:val="nil"/>
              <w:bottom w:val="nil"/>
              <w:right w:val="nil"/>
            </w:tcBorders>
            <w:shd w:val="clear" w:color="auto" w:fill="auto"/>
            <w:noWrap/>
            <w:vAlign w:val="bottom"/>
            <w:hideMark/>
          </w:tcPr>
          <w:p w14:paraId="2940987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189.1</w:t>
            </w:r>
          </w:p>
        </w:tc>
      </w:tr>
      <w:tr w:rsidR="00F26016" w:rsidRPr="00F26016" w14:paraId="7BFCBABE" w14:textId="77777777" w:rsidTr="00F26016">
        <w:trPr>
          <w:trHeight w:val="300"/>
        </w:trPr>
        <w:tc>
          <w:tcPr>
            <w:tcW w:w="1140" w:type="dxa"/>
            <w:tcBorders>
              <w:top w:val="nil"/>
              <w:left w:val="nil"/>
              <w:bottom w:val="nil"/>
              <w:right w:val="nil"/>
            </w:tcBorders>
            <w:shd w:val="clear" w:color="auto" w:fill="auto"/>
            <w:noWrap/>
            <w:hideMark/>
          </w:tcPr>
          <w:p w14:paraId="56EE9E1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w:t>
            </w:r>
          </w:p>
        </w:tc>
        <w:tc>
          <w:tcPr>
            <w:tcW w:w="1200" w:type="dxa"/>
            <w:tcBorders>
              <w:top w:val="nil"/>
              <w:left w:val="nil"/>
              <w:bottom w:val="nil"/>
              <w:right w:val="nil"/>
            </w:tcBorders>
            <w:shd w:val="clear" w:color="auto" w:fill="auto"/>
            <w:noWrap/>
            <w:hideMark/>
          </w:tcPr>
          <w:p w14:paraId="1B32DD5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0961894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7DDB3CC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5EB6B68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2284D04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5C3703F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45A0023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26817F2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920" w:type="dxa"/>
            <w:tcBorders>
              <w:top w:val="nil"/>
              <w:left w:val="nil"/>
              <w:bottom w:val="nil"/>
              <w:right w:val="nil"/>
            </w:tcBorders>
            <w:shd w:val="clear" w:color="auto" w:fill="auto"/>
            <w:noWrap/>
            <w:vAlign w:val="bottom"/>
            <w:hideMark/>
          </w:tcPr>
          <w:p w14:paraId="50F8A59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11.5</w:t>
            </w:r>
          </w:p>
        </w:tc>
        <w:tc>
          <w:tcPr>
            <w:tcW w:w="741" w:type="dxa"/>
            <w:tcBorders>
              <w:top w:val="nil"/>
              <w:left w:val="nil"/>
              <w:bottom w:val="nil"/>
              <w:right w:val="nil"/>
            </w:tcBorders>
            <w:shd w:val="clear" w:color="auto" w:fill="auto"/>
            <w:noWrap/>
            <w:vAlign w:val="bottom"/>
            <w:hideMark/>
          </w:tcPr>
          <w:p w14:paraId="6DF6175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9.5</w:t>
            </w:r>
          </w:p>
        </w:tc>
        <w:tc>
          <w:tcPr>
            <w:tcW w:w="785" w:type="dxa"/>
            <w:tcBorders>
              <w:top w:val="nil"/>
              <w:left w:val="nil"/>
              <w:bottom w:val="nil"/>
              <w:right w:val="nil"/>
            </w:tcBorders>
            <w:shd w:val="clear" w:color="auto" w:fill="auto"/>
            <w:noWrap/>
            <w:vAlign w:val="bottom"/>
            <w:hideMark/>
          </w:tcPr>
          <w:p w14:paraId="14EAD50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10.2</w:t>
            </w:r>
          </w:p>
        </w:tc>
        <w:tc>
          <w:tcPr>
            <w:tcW w:w="732" w:type="dxa"/>
            <w:tcBorders>
              <w:top w:val="nil"/>
              <w:left w:val="nil"/>
              <w:bottom w:val="nil"/>
              <w:right w:val="nil"/>
            </w:tcBorders>
            <w:shd w:val="clear" w:color="auto" w:fill="auto"/>
            <w:noWrap/>
            <w:vAlign w:val="bottom"/>
            <w:hideMark/>
          </w:tcPr>
          <w:p w14:paraId="0FFC293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35.2</w:t>
            </w:r>
          </w:p>
        </w:tc>
        <w:tc>
          <w:tcPr>
            <w:tcW w:w="860" w:type="dxa"/>
            <w:tcBorders>
              <w:top w:val="nil"/>
              <w:left w:val="nil"/>
              <w:bottom w:val="nil"/>
              <w:right w:val="nil"/>
            </w:tcBorders>
            <w:shd w:val="clear" w:color="auto" w:fill="auto"/>
            <w:noWrap/>
            <w:vAlign w:val="bottom"/>
            <w:hideMark/>
          </w:tcPr>
          <w:p w14:paraId="57C6067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17.4</w:t>
            </w:r>
          </w:p>
        </w:tc>
        <w:tc>
          <w:tcPr>
            <w:tcW w:w="960" w:type="dxa"/>
            <w:tcBorders>
              <w:top w:val="nil"/>
              <w:left w:val="nil"/>
              <w:bottom w:val="nil"/>
              <w:right w:val="nil"/>
            </w:tcBorders>
            <w:shd w:val="clear" w:color="auto" w:fill="auto"/>
            <w:noWrap/>
            <w:vAlign w:val="bottom"/>
            <w:hideMark/>
          </w:tcPr>
          <w:p w14:paraId="62F3A54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85.9</w:t>
            </w:r>
          </w:p>
        </w:tc>
        <w:tc>
          <w:tcPr>
            <w:tcW w:w="689" w:type="dxa"/>
            <w:tcBorders>
              <w:top w:val="nil"/>
              <w:left w:val="nil"/>
              <w:bottom w:val="nil"/>
              <w:right w:val="nil"/>
            </w:tcBorders>
            <w:shd w:val="clear" w:color="auto" w:fill="auto"/>
            <w:noWrap/>
            <w:vAlign w:val="bottom"/>
            <w:hideMark/>
          </w:tcPr>
          <w:p w14:paraId="381873A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637.4</w:t>
            </w:r>
          </w:p>
        </w:tc>
        <w:tc>
          <w:tcPr>
            <w:tcW w:w="1000" w:type="dxa"/>
            <w:tcBorders>
              <w:top w:val="nil"/>
              <w:left w:val="nil"/>
              <w:bottom w:val="nil"/>
              <w:right w:val="nil"/>
            </w:tcBorders>
            <w:shd w:val="clear" w:color="auto" w:fill="auto"/>
            <w:noWrap/>
            <w:vAlign w:val="bottom"/>
            <w:hideMark/>
          </w:tcPr>
          <w:p w14:paraId="1D19A5D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144.5</w:t>
            </w:r>
          </w:p>
        </w:tc>
      </w:tr>
      <w:tr w:rsidR="00F26016" w:rsidRPr="00F26016" w14:paraId="0237CBAC" w14:textId="77777777" w:rsidTr="00F26016">
        <w:trPr>
          <w:trHeight w:val="300"/>
        </w:trPr>
        <w:tc>
          <w:tcPr>
            <w:tcW w:w="1140" w:type="dxa"/>
            <w:tcBorders>
              <w:top w:val="nil"/>
              <w:left w:val="nil"/>
              <w:bottom w:val="nil"/>
              <w:right w:val="nil"/>
            </w:tcBorders>
            <w:shd w:val="clear" w:color="auto" w:fill="auto"/>
            <w:noWrap/>
            <w:hideMark/>
          </w:tcPr>
          <w:p w14:paraId="2994F25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w:t>
            </w:r>
          </w:p>
        </w:tc>
        <w:tc>
          <w:tcPr>
            <w:tcW w:w="1200" w:type="dxa"/>
            <w:tcBorders>
              <w:top w:val="nil"/>
              <w:left w:val="nil"/>
              <w:bottom w:val="nil"/>
              <w:right w:val="nil"/>
            </w:tcBorders>
            <w:shd w:val="clear" w:color="auto" w:fill="auto"/>
            <w:noWrap/>
            <w:hideMark/>
          </w:tcPr>
          <w:p w14:paraId="52222CC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041BBB9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36F82A4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697BD0B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4E04042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0B1F508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4B617CD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75FF6BF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50.2</w:t>
            </w:r>
          </w:p>
        </w:tc>
        <w:tc>
          <w:tcPr>
            <w:tcW w:w="920" w:type="dxa"/>
            <w:tcBorders>
              <w:top w:val="nil"/>
              <w:left w:val="nil"/>
              <w:bottom w:val="nil"/>
              <w:right w:val="nil"/>
            </w:tcBorders>
            <w:shd w:val="clear" w:color="auto" w:fill="auto"/>
            <w:noWrap/>
            <w:vAlign w:val="bottom"/>
            <w:hideMark/>
          </w:tcPr>
          <w:p w14:paraId="62DCF7F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46.5</w:t>
            </w:r>
          </w:p>
        </w:tc>
        <w:tc>
          <w:tcPr>
            <w:tcW w:w="741" w:type="dxa"/>
            <w:tcBorders>
              <w:top w:val="nil"/>
              <w:left w:val="nil"/>
              <w:bottom w:val="nil"/>
              <w:right w:val="nil"/>
            </w:tcBorders>
            <w:shd w:val="clear" w:color="auto" w:fill="auto"/>
            <w:noWrap/>
            <w:vAlign w:val="bottom"/>
            <w:hideMark/>
          </w:tcPr>
          <w:p w14:paraId="5221522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106.1</w:t>
            </w:r>
          </w:p>
        </w:tc>
        <w:tc>
          <w:tcPr>
            <w:tcW w:w="785" w:type="dxa"/>
            <w:tcBorders>
              <w:top w:val="nil"/>
              <w:left w:val="nil"/>
              <w:bottom w:val="nil"/>
              <w:right w:val="nil"/>
            </w:tcBorders>
            <w:shd w:val="clear" w:color="auto" w:fill="auto"/>
            <w:noWrap/>
            <w:vAlign w:val="bottom"/>
            <w:hideMark/>
          </w:tcPr>
          <w:p w14:paraId="6358E44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34.2</w:t>
            </w:r>
          </w:p>
        </w:tc>
        <w:tc>
          <w:tcPr>
            <w:tcW w:w="732" w:type="dxa"/>
            <w:tcBorders>
              <w:top w:val="nil"/>
              <w:left w:val="nil"/>
              <w:bottom w:val="nil"/>
              <w:right w:val="nil"/>
            </w:tcBorders>
            <w:shd w:val="clear" w:color="auto" w:fill="auto"/>
            <w:noWrap/>
            <w:vAlign w:val="bottom"/>
            <w:hideMark/>
          </w:tcPr>
          <w:p w14:paraId="643A504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49.9</w:t>
            </w:r>
          </w:p>
        </w:tc>
        <w:tc>
          <w:tcPr>
            <w:tcW w:w="860" w:type="dxa"/>
            <w:tcBorders>
              <w:top w:val="nil"/>
              <w:left w:val="nil"/>
              <w:bottom w:val="nil"/>
              <w:right w:val="nil"/>
            </w:tcBorders>
            <w:shd w:val="clear" w:color="auto" w:fill="auto"/>
            <w:noWrap/>
            <w:vAlign w:val="bottom"/>
            <w:hideMark/>
          </w:tcPr>
          <w:p w14:paraId="2C26C7D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71.4</w:t>
            </w:r>
          </w:p>
        </w:tc>
        <w:tc>
          <w:tcPr>
            <w:tcW w:w="960" w:type="dxa"/>
            <w:tcBorders>
              <w:top w:val="nil"/>
              <w:left w:val="nil"/>
              <w:bottom w:val="nil"/>
              <w:right w:val="nil"/>
            </w:tcBorders>
            <w:shd w:val="clear" w:color="auto" w:fill="auto"/>
            <w:noWrap/>
            <w:vAlign w:val="bottom"/>
            <w:hideMark/>
          </w:tcPr>
          <w:p w14:paraId="66CDCD0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408.2</w:t>
            </w:r>
          </w:p>
        </w:tc>
        <w:tc>
          <w:tcPr>
            <w:tcW w:w="689" w:type="dxa"/>
            <w:tcBorders>
              <w:top w:val="nil"/>
              <w:left w:val="nil"/>
              <w:bottom w:val="nil"/>
              <w:right w:val="nil"/>
            </w:tcBorders>
            <w:shd w:val="clear" w:color="auto" w:fill="auto"/>
            <w:noWrap/>
            <w:vAlign w:val="bottom"/>
            <w:hideMark/>
          </w:tcPr>
          <w:p w14:paraId="003FC01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771.6</w:t>
            </w:r>
          </w:p>
        </w:tc>
        <w:tc>
          <w:tcPr>
            <w:tcW w:w="1000" w:type="dxa"/>
            <w:tcBorders>
              <w:top w:val="nil"/>
              <w:left w:val="nil"/>
              <w:bottom w:val="nil"/>
              <w:right w:val="nil"/>
            </w:tcBorders>
            <w:shd w:val="clear" w:color="auto" w:fill="auto"/>
            <w:noWrap/>
            <w:vAlign w:val="bottom"/>
            <w:hideMark/>
          </w:tcPr>
          <w:p w14:paraId="28B9FD5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138.0</w:t>
            </w:r>
          </w:p>
        </w:tc>
      </w:tr>
      <w:tr w:rsidR="00F26016" w:rsidRPr="00F26016" w14:paraId="155D02B9" w14:textId="77777777" w:rsidTr="00F26016">
        <w:trPr>
          <w:trHeight w:val="300"/>
        </w:trPr>
        <w:tc>
          <w:tcPr>
            <w:tcW w:w="1140" w:type="dxa"/>
            <w:tcBorders>
              <w:top w:val="nil"/>
              <w:left w:val="nil"/>
              <w:bottom w:val="nil"/>
              <w:right w:val="nil"/>
            </w:tcBorders>
            <w:shd w:val="clear" w:color="auto" w:fill="auto"/>
            <w:noWrap/>
            <w:hideMark/>
          </w:tcPr>
          <w:p w14:paraId="318D2CA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w:t>
            </w:r>
          </w:p>
        </w:tc>
        <w:tc>
          <w:tcPr>
            <w:tcW w:w="1200" w:type="dxa"/>
            <w:tcBorders>
              <w:top w:val="nil"/>
              <w:left w:val="nil"/>
              <w:bottom w:val="nil"/>
              <w:right w:val="nil"/>
            </w:tcBorders>
            <w:shd w:val="clear" w:color="auto" w:fill="auto"/>
            <w:noWrap/>
            <w:hideMark/>
          </w:tcPr>
          <w:p w14:paraId="0FF79C4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293224F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03C09F7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0FB1CD7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3323AA5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7A4AA53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1CB1387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55D05FC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51.1</w:t>
            </w:r>
          </w:p>
        </w:tc>
        <w:tc>
          <w:tcPr>
            <w:tcW w:w="920" w:type="dxa"/>
            <w:tcBorders>
              <w:top w:val="nil"/>
              <w:left w:val="nil"/>
              <w:bottom w:val="nil"/>
              <w:right w:val="nil"/>
            </w:tcBorders>
            <w:shd w:val="clear" w:color="auto" w:fill="auto"/>
            <w:noWrap/>
            <w:vAlign w:val="bottom"/>
            <w:hideMark/>
          </w:tcPr>
          <w:p w14:paraId="35F7761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741" w:type="dxa"/>
            <w:tcBorders>
              <w:top w:val="nil"/>
              <w:left w:val="nil"/>
              <w:bottom w:val="nil"/>
              <w:right w:val="nil"/>
            </w:tcBorders>
            <w:shd w:val="clear" w:color="auto" w:fill="auto"/>
            <w:noWrap/>
            <w:vAlign w:val="bottom"/>
            <w:hideMark/>
          </w:tcPr>
          <w:p w14:paraId="717A228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13.6</w:t>
            </w:r>
          </w:p>
        </w:tc>
        <w:tc>
          <w:tcPr>
            <w:tcW w:w="785" w:type="dxa"/>
            <w:tcBorders>
              <w:top w:val="nil"/>
              <w:left w:val="nil"/>
              <w:bottom w:val="nil"/>
              <w:right w:val="nil"/>
            </w:tcBorders>
            <w:shd w:val="clear" w:color="auto" w:fill="auto"/>
            <w:noWrap/>
            <w:vAlign w:val="bottom"/>
            <w:hideMark/>
          </w:tcPr>
          <w:p w14:paraId="758C5F0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10.8</w:t>
            </w:r>
          </w:p>
        </w:tc>
        <w:tc>
          <w:tcPr>
            <w:tcW w:w="732" w:type="dxa"/>
            <w:tcBorders>
              <w:top w:val="nil"/>
              <w:left w:val="nil"/>
              <w:bottom w:val="nil"/>
              <w:right w:val="nil"/>
            </w:tcBorders>
            <w:shd w:val="clear" w:color="auto" w:fill="auto"/>
            <w:noWrap/>
            <w:vAlign w:val="bottom"/>
            <w:hideMark/>
          </w:tcPr>
          <w:p w14:paraId="2526674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70.8</w:t>
            </w:r>
          </w:p>
        </w:tc>
        <w:tc>
          <w:tcPr>
            <w:tcW w:w="860" w:type="dxa"/>
            <w:tcBorders>
              <w:top w:val="nil"/>
              <w:left w:val="nil"/>
              <w:bottom w:val="nil"/>
              <w:right w:val="nil"/>
            </w:tcBorders>
            <w:shd w:val="clear" w:color="auto" w:fill="auto"/>
            <w:noWrap/>
            <w:vAlign w:val="bottom"/>
            <w:hideMark/>
          </w:tcPr>
          <w:p w14:paraId="4D5529F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8.5</w:t>
            </w:r>
          </w:p>
        </w:tc>
        <w:tc>
          <w:tcPr>
            <w:tcW w:w="960" w:type="dxa"/>
            <w:tcBorders>
              <w:top w:val="nil"/>
              <w:left w:val="nil"/>
              <w:bottom w:val="nil"/>
              <w:right w:val="nil"/>
            </w:tcBorders>
            <w:shd w:val="clear" w:color="auto" w:fill="auto"/>
            <w:noWrap/>
            <w:vAlign w:val="bottom"/>
            <w:hideMark/>
          </w:tcPr>
          <w:p w14:paraId="5737EFC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143.1</w:t>
            </w:r>
          </w:p>
        </w:tc>
        <w:tc>
          <w:tcPr>
            <w:tcW w:w="689" w:type="dxa"/>
            <w:tcBorders>
              <w:top w:val="nil"/>
              <w:left w:val="nil"/>
              <w:bottom w:val="nil"/>
              <w:right w:val="nil"/>
            </w:tcBorders>
            <w:shd w:val="clear" w:color="auto" w:fill="auto"/>
            <w:noWrap/>
            <w:vAlign w:val="bottom"/>
            <w:hideMark/>
          </w:tcPr>
          <w:p w14:paraId="17F57EB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792.3</w:t>
            </w:r>
          </w:p>
        </w:tc>
        <w:tc>
          <w:tcPr>
            <w:tcW w:w="1000" w:type="dxa"/>
            <w:tcBorders>
              <w:top w:val="nil"/>
              <w:left w:val="nil"/>
              <w:bottom w:val="nil"/>
              <w:right w:val="nil"/>
            </w:tcBorders>
            <w:shd w:val="clear" w:color="auto" w:fill="auto"/>
            <w:noWrap/>
            <w:vAlign w:val="bottom"/>
            <w:hideMark/>
          </w:tcPr>
          <w:p w14:paraId="400B879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195.3</w:t>
            </w:r>
          </w:p>
        </w:tc>
      </w:tr>
      <w:tr w:rsidR="00F26016" w:rsidRPr="00F26016" w14:paraId="44C0800B" w14:textId="77777777" w:rsidTr="00F26016">
        <w:trPr>
          <w:trHeight w:val="300"/>
        </w:trPr>
        <w:tc>
          <w:tcPr>
            <w:tcW w:w="1140" w:type="dxa"/>
            <w:tcBorders>
              <w:top w:val="nil"/>
              <w:left w:val="nil"/>
              <w:bottom w:val="nil"/>
              <w:right w:val="nil"/>
            </w:tcBorders>
            <w:shd w:val="clear" w:color="auto" w:fill="auto"/>
            <w:noWrap/>
            <w:hideMark/>
          </w:tcPr>
          <w:p w14:paraId="2C3E316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w:t>
            </w:r>
          </w:p>
        </w:tc>
        <w:tc>
          <w:tcPr>
            <w:tcW w:w="1200" w:type="dxa"/>
            <w:tcBorders>
              <w:top w:val="nil"/>
              <w:left w:val="nil"/>
              <w:bottom w:val="nil"/>
              <w:right w:val="nil"/>
            </w:tcBorders>
            <w:shd w:val="clear" w:color="auto" w:fill="auto"/>
            <w:noWrap/>
            <w:hideMark/>
          </w:tcPr>
          <w:p w14:paraId="68F9E6C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561645A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2F7A820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09DA9A5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225FA8A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4AD5556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753AF2C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71801D9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w:t>
            </w:r>
          </w:p>
        </w:tc>
        <w:tc>
          <w:tcPr>
            <w:tcW w:w="920" w:type="dxa"/>
            <w:tcBorders>
              <w:top w:val="nil"/>
              <w:left w:val="nil"/>
              <w:bottom w:val="nil"/>
              <w:right w:val="nil"/>
            </w:tcBorders>
            <w:shd w:val="clear" w:color="auto" w:fill="auto"/>
            <w:noWrap/>
            <w:vAlign w:val="bottom"/>
            <w:hideMark/>
          </w:tcPr>
          <w:p w14:paraId="5AFB584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8.7</w:t>
            </w:r>
          </w:p>
        </w:tc>
        <w:tc>
          <w:tcPr>
            <w:tcW w:w="741" w:type="dxa"/>
            <w:tcBorders>
              <w:top w:val="nil"/>
              <w:left w:val="nil"/>
              <w:bottom w:val="nil"/>
              <w:right w:val="nil"/>
            </w:tcBorders>
            <w:shd w:val="clear" w:color="auto" w:fill="auto"/>
            <w:noWrap/>
            <w:vAlign w:val="bottom"/>
            <w:hideMark/>
          </w:tcPr>
          <w:p w14:paraId="7775BD4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9.2</w:t>
            </w:r>
          </w:p>
        </w:tc>
        <w:tc>
          <w:tcPr>
            <w:tcW w:w="785" w:type="dxa"/>
            <w:tcBorders>
              <w:top w:val="nil"/>
              <w:left w:val="nil"/>
              <w:bottom w:val="nil"/>
              <w:right w:val="nil"/>
            </w:tcBorders>
            <w:shd w:val="clear" w:color="auto" w:fill="auto"/>
            <w:noWrap/>
            <w:vAlign w:val="bottom"/>
            <w:hideMark/>
          </w:tcPr>
          <w:p w14:paraId="7AEC57A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11.7</w:t>
            </w:r>
          </w:p>
        </w:tc>
        <w:tc>
          <w:tcPr>
            <w:tcW w:w="732" w:type="dxa"/>
            <w:tcBorders>
              <w:top w:val="nil"/>
              <w:left w:val="nil"/>
              <w:bottom w:val="nil"/>
              <w:right w:val="nil"/>
            </w:tcBorders>
            <w:shd w:val="clear" w:color="auto" w:fill="auto"/>
            <w:noWrap/>
            <w:vAlign w:val="bottom"/>
            <w:hideMark/>
          </w:tcPr>
          <w:p w14:paraId="57EBF83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45.3</w:t>
            </w:r>
          </w:p>
        </w:tc>
        <w:tc>
          <w:tcPr>
            <w:tcW w:w="860" w:type="dxa"/>
            <w:tcBorders>
              <w:top w:val="nil"/>
              <w:left w:val="nil"/>
              <w:bottom w:val="nil"/>
              <w:right w:val="nil"/>
            </w:tcBorders>
            <w:shd w:val="clear" w:color="auto" w:fill="auto"/>
            <w:noWrap/>
            <w:vAlign w:val="bottom"/>
            <w:hideMark/>
          </w:tcPr>
          <w:p w14:paraId="129D24C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16.5</w:t>
            </w:r>
          </w:p>
        </w:tc>
        <w:tc>
          <w:tcPr>
            <w:tcW w:w="960" w:type="dxa"/>
            <w:tcBorders>
              <w:top w:val="nil"/>
              <w:left w:val="nil"/>
              <w:bottom w:val="nil"/>
              <w:right w:val="nil"/>
            </w:tcBorders>
            <w:shd w:val="clear" w:color="auto" w:fill="auto"/>
            <w:noWrap/>
            <w:vAlign w:val="bottom"/>
            <w:hideMark/>
          </w:tcPr>
          <w:p w14:paraId="3198A9E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117.7</w:t>
            </w:r>
          </w:p>
        </w:tc>
        <w:tc>
          <w:tcPr>
            <w:tcW w:w="689" w:type="dxa"/>
            <w:tcBorders>
              <w:top w:val="nil"/>
              <w:left w:val="nil"/>
              <w:bottom w:val="nil"/>
              <w:right w:val="nil"/>
            </w:tcBorders>
            <w:shd w:val="clear" w:color="auto" w:fill="auto"/>
            <w:noWrap/>
            <w:vAlign w:val="bottom"/>
            <w:hideMark/>
          </w:tcPr>
          <w:p w14:paraId="48B9F06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632.8</w:t>
            </w:r>
          </w:p>
        </w:tc>
        <w:tc>
          <w:tcPr>
            <w:tcW w:w="1000" w:type="dxa"/>
            <w:tcBorders>
              <w:top w:val="nil"/>
              <w:left w:val="nil"/>
              <w:bottom w:val="nil"/>
              <w:right w:val="nil"/>
            </w:tcBorders>
            <w:shd w:val="clear" w:color="auto" w:fill="auto"/>
            <w:noWrap/>
            <w:vAlign w:val="bottom"/>
            <w:hideMark/>
          </w:tcPr>
          <w:p w14:paraId="2049A80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148.7</w:t>
            </w:r>
          </w:p>
        </w:tc>
      </w:tr>
      <w:tr w:rsidR="00F26016" w:rsidRPr="00F26016" w14:paraId="56D2B4CE" w14:textId="77777777" w:rsidTr="00F26016">
        <w:trPr>
          <w:trHeight w:val="300"/>
        </w:trPr>
        <w:tc>
          <w:tcPr>
            <w:tcW w:w="1140" w:type="dxa"/>
            <w:tcBorders>
              <w:top w:val="nil"/>
              <w:left w:val="nil"/>
              <w:bottom w:val="nil"/>
              <w:right w:val="nil"/>
            </w:tcBorders>
            <w:shd w:val="clear" w:color="auto" w:fill="auto"/>
            <w:noWrap/>
            <w:hideMark/>
          </w:tcPr>
          <w:p w14:paraId="27FCFBD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w:t>
            </w:r>
          </w:p>
        </w:tc>
        <w:tc>
          <w:tcPr>
            <w:tcW w:w="1200" w:type="dxa"/>
            <w:tcBorders>
              <w:top w:val="nil"/>
              <w:left w:val="nil"/>
              <w:bottom w:val="nil"/>
              <w:right w:val="nil"/>
            </w:tcBorders>
            <w:shd w:val="clear" w:color="auto" w:fill="auto"/>
            <w:noWrap/>
            <w:hideMark/>
          </w:tcPr>
          <w:p w14:paraId="2F572D4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3E707DB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7C92D00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2743AFD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6ABE1C3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1A4DDBB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37F23AD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62C7472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43.5</w:t>
            </w:r>
          </w:p>
        </w:tc>
        <w:tc>
          <w:tcPr>
            <w:tcW w:w="920" w:type="dxa"/>
            <w:tcBorders>
              <w:top w:val="nil"/>
              <w:left w:val="nil"/>
              <w:bottom w:val="nil"/>
              <w:right w:val="nil"/>
            </w:tcBorders>
            <w:shd w:val="clear" w:color="auto" w:fill="auto"/>
            <w:noWrap/>
            <w:vAlign w:val="bottom"/>
            <w:hideMark/>
          </w:tcPr>
          <w:p w14:paraId="1200A9B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37.0</w:t>
            </w:r>
          </w:p>
        </w:tc>
        <w:tc>
          <w:tcPr>
            <w:tcW w:w="741" w:type="dxa"/>
            <w:tcBorders>
              <w:top w:val="nil"/>
              <w:left w:val="nil"/>
              <w:bottom w:val="nil"/>
              <w:right w:val="nil"/>
            </w:tcBorders>
            <w:shd w:val="clear" w:color="auto" w:fill="auto"/>
            <w:noWrap/>
            <w:vAlign w:val="bottom"/>
            <w:hideMark/>
          </w:tcPr>
          <w:p w14:paraId="3E7B741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171.9</w:t>
            </w:r>
          </w:p>
        </w:tc>
        <w:tc>
          <w:tcPr>
            <w:tcW w:w="785" w:type="dxa"/>
            <w:tcBorders>
              <w:top w:val="nil"/>
              <w:left w:val="nil"/>
              <w:bottom w:val="nil"/>
              <w:right w:val="nil"/>
            </w:tcBorders>
            <w:shd w:val="clear" w:color="auto" w:fill="auto"/>
            <w:noWrap/>
            <w:vAlign w:val="bottom"/>
            <w:hideMark/>
          </w:tcPr>
          <w:p w14:paraId="2121B9C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67.9</w:t>
            </w:r>
          </w:p>
        </w:tc>
        <w:tc>
          <w:tcPr>
            <w:tcW w:w="732" w:type="dxa"/>
            <w:tcBorders>
              <w:top w:val="nil"/>
              <w:left w:val="nil"/>
              <w:bottom w:val="nil"/>
              <w:right w:val="nil"/>
            </w:tcBorders>
            <w:shd w:val="clear" w:color="auto" w:fill="auto"/>
            <w:noWrap/>
            <w:vAlign w:val="bottom"/>
            <w:hideMark/>
          </w:tcPr>
          <w:p w14:paraId="25E0C0D7" w14:textId="77777777" w:rsidR="00F26016" w:rsidRPr="00F26016" w:rsidRDefault="00F26016" w:rsidP="00F26016">
            <w:pPr>
              <w:rPr>
                <w:rFonts w:ascii="Calibri" w:eastAsia="Times New Roman" w:hAnsi="Calibri" w:cs="Times New Roman"/>
                <w:color w:val="000000"/>
                <w:sz w:val="16"/>
                <w:szCs w:val="16"/>
              </w:rPr>
            </w:pPr>
          </w:p>
        </w:tc>
        <w:tc>
          <w:tcPr>
            <w:tcW w:w="860" w:type="dxa"/>
            <w:tcBorders>
              <w:top w:val="nil"/>
              <w:left w:val="nil"/>
              <w:bottom w:val="nil"/>
              <w:right w:val="nil"/>
            </w:tcBorders>
            <w:shd w:val="clear" w:color="auto" w:fill="auto"/>
            <w:noWrap/>
            <w:vAlign w:val="bottom"/>
            <w:hideMark/>
          </w:tcPr>
          <w:p w14:paraId="3A52BEC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33.3</w:t>
            </w:r>
          </w:p>
        </w:tc>
        <w:tc>
          <w:tcPr>
            <w:tcW w:w="960" w:type="dxa"/>
            <w:tcBorders>
              <w:top w:val="nil"/>
              <w:left w:val="nil"/>
              <w:bottom w:val="nil"/>
              <w:right w:val="nil"/>
            </w:tcBorders>
            <w:shd w:val="clear" w:color="auto" w:fill="auto"/>
            <w:noWrap/>
            <w:vAlign w:val="bottom"/>
            <w:hideMark/>
          </w:tcPr>
          <w:p w14:paraId="136D23B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369.2</w:t>
            </w:r>
          </w:p>
        </w:tc>
        <w:tc>
          <w:tcPr>
            <w:tcW w:w="689" w:type="dxa"/>
            <w:tcBorders>
              <w:top w:val="nil"/>
              <w:left w:val="nil"/>
              <w:bottom w:val="nil"/>
              <w:right w:val="nil"/>
            </w:tcBorders>
            <w:shd w:val="clear" w:color="auto" w:fill="auto"/>
            <w:noWrap/>
            <w:vAlign w:val="bottom"/>
            <w:hideMark/>
          </w:tcPr>
          <w:p w14:paraId="5CFF29D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1153.3</w:t>
            </w:r>
          </w:p>
        </w:tc>
        <w:tc>
          <w:tcPr>
            <w:tcW w:w="1000" w:type="dxa"/>
            <w:tcBorders>
              <w:top w:val="nil"/>
              <w:left w:val="nil"/>
              <w:bottom w:val="nil"/>
              <w:right w:val="nil"/>
            </w:tcBorders>
            <w:shd w:val="clear" w:color="auto" w:fill="auto"/>
            <w:noWrap/>
            <w:vAlign w:val="bottom"/>
            <w:hideMark/>
          </w:tcPr>
          <w:p w14:paraId="43F6316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121.8</w:t>
            </w:r>
          </w:p>
        </w:tc>
      </w:tr>
      <w:tr w:rsidR="00F26016" w:rsidRPr="00F26016" w14:paraId="46FC7487" w14:textId="77777777" w:rsidTr="00F26016">
        <w:trPr>
          <w:trHeight w:val="300"/>
        </w:trPr>
        <w:tc>
          <w:tcPr>
            <w:tcW w:w="1140" w:type="dxa"/>
            <w:tcBorders>
              <w:top w:val="nil"/>
              <w:left w:val="nil"/>
              <w:bottom w:val="nil"/>
              <w:right w:val="nil"/>
            </w:tcBorders>
            <w:shd w:val="clear" w:color="auto" w:fill="auto"/>
            <w:noWrap/>
            <w:hideMark/>
          </w:tcPr>
          <w:p w14:paraId="6C6F21F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w:t>
            </w:r>
          </w:p>
        </w:tc>
        <w:tc>
          <w:tcPr>
            <w:tcW w:w="1200" w:type="dxa"/>
            <w:tcBorders>
              <w:top w:val="nil"/>
              <w:left w:val="nil"/>
              <w:bottom w:val="nil"/>
              <w:right w:val="nil"/>
            </w:tcBorders>
            <w:shd w:val="clear" w:color="auto" w:fill="auto"/>
            <w:noWrap/>
            <w:hideMark/>
          </w:tcPr>
          <w:p w14:paraId="7E78015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5CD8280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6B84115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449957E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49CDD59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7888D7A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34C6FA6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5081840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280.2</w:t>
            </w:r>
          </w:p>
        </w:tc>
        <w:tc>
          <w:tcPr>
            <w:tcW w:w="920" w:type="dxa"/>
            <w:tcBorders>
              <w:top w:val="nil"/>
              <w:left w:val="nil"/>
              <w:bottom w:val="nil"/>
              <w:right w:val="nil"/>
            </w:tcBorders>
            <w:shd w:val="clear" w:color="auto" w:fill="auto"/>
            <w:noWrap/>
            <w:vAlign w:val="bottom"/>
            <w:hideMark/>
          </w:tcPr>
          <w:p w14:paraId="13B20FD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41" w:type="dxa"/>
            <w:tcBorders>
              <w:top w:val="nil"/>
              <w:left w:val="nil"/>
              <w:bottom w:val="nil"/>
              <w:right w:val="nil"/>
            </w:tcBorders>
            <w:shd w:val="clear" w:color="auto" w:fill="auto"/>
            <w:noWrap/>
            <w:vAlign w:val="bottom"/>
            <w:hideMark/>
          </w:tcPr>
          <w:p w14:paraId="3116F0D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33.8</w:t>
            </w:r>
          </w:p>
        </w:tc>
        <w:tc>
          <w:tcPr>
            <w:tcW w:w="785" w:type="dxa"/>
            <w:tcBorders>
              <w:top w:val="nil"/>
              <w:left w:val="nil"/>
              <w:bottom w:val="nil"/>
              <w:right w:val="nil"/>
            </w:tcBorders>
            <w:shd w:val="clear" w:color="auto" w:fill="auto"/>
            <w:noWrap/>
            <w:vAlign w:val="bottom"/>
            <w:hideMark/>
          </w:tcPr>
          <w:p w14:paraId="58224F5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11.4</w:t>
            </w:r>
          </w:p>
        </w:tc>
        <w:tc>
          <w:tcPr>
            <w:tcW w:w="732" w:type="dxa"/>
            <w:tcBorders>
              <w:top w:val="nil"/>
              <w:left w:val="nil"/>
              <w:bottom w:val="nil"/>
              <w:right w:val="nil"/>
            </w:tcBorders>
            <w:shd w:val="clear" w:color="auto" w:fill="auto"/>
            <w:noWrap/>
            <w:vAlign w:val="bottom"/>
            <w:hideMark/>
          </w:tcPr>
          <w:p w14:paraId="374B3B7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1273.8</w:t>
            </w:r>
          </w:p>
        </w:tc>
        <w:tc>
          <w:tcPr>
            <w:tcW w:w="860" w:type="dxa"/>
            <w:tcBorders>
              <w:top w:val="nil"/>
              <w:left w:val="nil"/>
              <w:bottom w:val="nil"/>
              <w:right w:val="nil"/>
            </w:tcBorders>
            <w:shd w:val="clear" w:color="auto" w:fill="auto"/>
            <w:noWrap/>
            <w:vAlign w:val="bottom"/>
            <w:hideMark/>
          </w:tcPr>
          <w:p w14:paraId="5C34084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47.0</w:t>
            </w:r>
          </w:p>
        </w:tc>
        <w:tc>
          <w:tcPr>
            <w:tcW w:w="960" w:type="dxa"/>
            <w:tcBorders>
              <w:top w:val="nil"/>
              <w:left w:val="nil"/>
              <w:bottom w:val="nil"/>
              <w:right w:val="nil"/>
            </w:tcBorders>
            <w:shd w:val="clear" w:color="auto" w:fill="auto"/>
            <w:noWrap/>
            <w:vAlign w:val="bottom"/>
            <w:hideMark/>
          </w:tcPr>
          <w:p w14:paraId="532FA99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121.0</w:t>
            </w:r>
          </w:p>
        </w:tc>
        <w:tc>
          <w:tcPr>
            <w:tcW w:w="689" w:type="dxa"/>
            <w:tcBorders>
              <w:top w:val="nil"/>
              <w:left w:val="nil"/>
              <w:bottom w:val="nil"/>
              <w:right w:val="nil"/>
            </w:tcBorders>
            <w:shd w:val="clear" w:color="auto" w:fill="auto"/>
            <w:noWrap/>
            <w:vAlign w:val="bottom"/>
            <w:hideMark/>
          </w:tcPr>
          <w:p w14:paraId="668B1A5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701.6</w:t>
            </w:r>
          </w:p>
        </w:tc>
        <w:tc>
          <w:tcPr>
            <w:tcW w:w="1000" w:type="dxa"/>
            <w:tcBorders>
              <w:top w:val="nil"/>
              <w:left w:val="nil"/>
              <w:bottom w:val="nil"/>
              <w:right w:val="nil"/>
            </w:tcBorders>
            <w:shd w:val="clear" w:color="auto" w:fill="auto"/>
            <w:noWrap/>
            <w:vAlign w:val="bottom"/>
            <w:hideMark/>
          </w:tcPr>
          <w:p w14:paraId="017D824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211.7</w:t>
            </w:r>
          </w:p>
        </w:tc>
      </w:tr>
      <w:tr w:rsidR="00F26016" w:rsidRPr="00F26016" w14:paraId="2842549F" w14:textId="77777777" w:rsidTr="00F26016">
        <w:trPr>
          <w:trHeight w:val="300"/>
        </w:trPr>
        <w:tc>
          <w:tcPr>
            <w:tcW w:w="1140" w:type="dxa"/>
            <w:tcBorders>
              <w:top w:val="nil"/>
              <w:left w:val="nil"/>
              <w:bottom w:val="nil"/>
              <w:right w:val="nil"/>
            </w:tcBorders>
            <w:shd w:val="clear" w:color="auto" w:fill="auto"/>
            <w:noWrap/>
            <w:hideMark/>
          </w:tcPr>
          <w:p w14:paraId="5E0F2D7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w:t>
            </w:r>
          </w:p>
        </w:tc>
        <w:tc>
          <w:tcPr>
            <w:tcW w:w="1200" w:type="dxa"/>
            <w:tcBorders>
              <w:top w:val="nil"/>
              <w:left w:val="nil"/>
              <w:bottom w:val="nil"/>
              <w:right w:val="nil"/>
            </w:tcBorders>
            <w:shd w:val="clear" w:color="auto" w:fill="auto"/>
            <w:noWrap/>
            <w:hideMark/>
          </w:tcPr>
          <w:p w14:paraId="075126E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4F4DFD2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7DF5927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5100BC2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243E93E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0FBD1B8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64D5C14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7764228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w:t>
            </w:r>
          </w:p>
        </w:tc>
        <w:tc>
          <w:tcPr>
            <w:tcW w:w="920" w:type="dxa"/>
            <w:tcBorders>
              <w:top w:val="nil"/>
              <w:left w:val="nil"/>
              <w:bottom w:val="nil"/>
              <w:right w:val="nil"/>
            </w:tcBorders>
            <w:shd w:val="clear" w:color="auto" w:fill="auto"/>
            <w:noWrap/>
            <w:vAlign w:val="bottom"/>
            <w:hideMark/>
          </w:tcPr>
          <w:p w14:paraId="578D39D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18.6</w:t>
            </w:r>
          </w:p>
        </w:tc>
        <w:tc>
          <w:tcPr>
            <w:tcW w:w="741" w:type="dxa"/>
            <w:tcBorders>
              <w:top w:val="nil"/>
              <w:left w:val="nil"/>
              <w:bottom w:val="nil"/>
              <w:right w:val="nil"/>
            </w:tcBorders>
            <w:shd w:val="clear" w:color="auto" w:fill="auto"/>
            <w:noWrap/>
            <w:vAlign w:val="bottom"/>
            <w:hideMark/>
          </w:tcPr>
          <w:p w14:paraId="5FF0816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19.5</w:t>
            </w:r>
          </w:p>
        </w:tc>
        <w:tc>
          <w:tcPr>
            <w:tcW w:w="785" w:type="dxa"/>
            <w:tcBorders>
              <w:top w:val="nil"/>
              <w:left w:val="nil"/>
              <w:bottom w:val="nil"/>
              <w:right w:val="nil"/>
            </w:tcBorders>
            <w:shd w:val="clear" w:color="auto" w:fill="auto"/>
            <w:noWrap/>
            <w:vAlign w:val="bottom"/>
            <w:hideMark/>
          </w:tcPr>
          <w:p w14:paraId="28A17B9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17.5</w:t>
            </w:r>
          </w:p>
        </w:tc>
        <w:tc>
          <w:tcPr>
            <w:tcW w:w="732" w:type="dxa"/>
            <w:tcBorders>
              <w:top w:val="nil"/>
              <w:left w:val="nil"/>
              <w:bottom w:val="nil"/>
              <w:right w:val="nil"/>
            </w:tcBorders>
            <w:shd w:val="clear" w:color="auto" w:fill="auto"/>
            <w:noWrap/>
            <w:vAlign w:val="bottom"/>
            <w:hideMark/>
          </w:tcPr>
          <w:p w14:paraId="560F905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45.3</w:t>
            </w:r>
          </w:p>
        </w:tc>
        <w:tc>
          <w:tcPr>
            <w:tcW w:w="860" w:type="dxa"/>
            <w:tcBorders>
              <w:top w:val="nil"/>
              <w:left w:val="nil"/>
              <w:bottom w:val="nil"/>
              <w:right w:val="nil"/>
            </w:tcBorders>
            <w:shd w:val="clear" w:color="auto" w:fill="auto"/>
            <w:noWrap/>
            <w:vAlign w:val="bottom"/>
            <w:hideMark/>
          </w:tcPr>
          <w:p w14:paraId="2E21722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29.7</w:t>
            </w:r>
          </w:p>
        </w:tc>
        <w:tc>
          <w:tcPr>
            <w:tcW w:w="960" w:type="dxa"/>
            <w:tcBorders>
              <w:top w:val="nil"/>
              <w:left w:val="nil"/>
              <w:bottom w:val="nil"/>
              <w:right w:val="nil"/>
            </w:tcBorders>
            <w:shd w:val="clear" w:color="auto" w:fill="auto"/>
            <w:noWrap/>
            <w:vAlign w:val="bottom"/>
            <w:hideMark/>
          </w:tcPr>
          <w:p w14:paraId="542561D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83.5</w:t>
            </w:r>
          </w:p>
        </w:tc>
        <w:tc>
          <w:tcPr>
            <w:tcW w:w="689" w:type="dxa"/>
            <w:tcBorders>
              <w:top w:val="nil"/>
              <w:left w:val="nil"/>
              <w:bottom w:val="nil"/>
              <w:right w:val="nil"/>
            </w:tcBorders>
            <w:shd w:val="clear" w:color="auto" w:fill="auto"/>
            <w:noWrap/>
            <w:vAlign w:val="bottom"/>
            <w:hideMark/>
          </w:tcPr>
          <w:p w14:paraId="392751D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450.0</w:t>
            </w:r>
          </w:p>
        </w:tc>
        <w:tc>
          <w:tcPr>
            <w:tcW w:w="1000" w:type="dxa"/>
            <w:tcBorders>
              <w:top w:val="nil"/>
              <w:left w:val="nil"/>
              <w:bottom w:val="nil"/>
              <w:right w:val="nil"/>
            </w:tcBorders>
            <w:shd w:val="clear" w:color="auto" w:fill="auto"/>
            <w:noWrap/>
            <w:vAlign w:val="bottom"/>
            <w:hideMark/>
          </w:tcPr>
          <w:p w14:paraId="347C868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150.2</w:t>
            </w:r>
          </w:p>
        </w:tc>
      </w:tr>
      <w:tr w:rsidR="00F26016" w:rsidRPr="00F26016" w14:paraId="29353C8F" w14:textId="77777777" w:rsidTr="00F26016">
        <w:trPr>
          <w:trHeight w:val="300"/>
        </w:trPr>
        <w:tc>
          <w:tcPr>
            <w:tcW w:w="1140" w:type="dxa"/>
            <w:tcBorders>
              <w:top w:val="nil"/>
              <w:left w:val="nil"/>
              <w:bottom w:val="nil"/>
              <w:right w:val="nil"/>
            </w:tcBorders>
            <w:shd w:val="clear" w:color="auto" w:fill="auto"/>
            <w:noWrap/>
            <w:hideMark/>
          </w:tcPr>
          <w:p w14:paraId="13B50E3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w:t>
            </w:r>
          </w:p>
        </w:tc>
        <w:tc>
          <w:tcPr>
            <w:tcW w:w="1200" w:type="dxa"/>
            <w:tcBorders>
              <w:top w:val="nil"/>
              <w:left w:val="nil"/>
              <w:bottom w:val="nil"/>
              <w:right w:val="nil"/>
            </w:tcBorders>
            <w:shd w:val="clear" w:color="auto" w:fill="auto"/>
            <w:noWrap/>
            <w:hideMark/>
          </w:tcPr>
          <w:p w14:paraId="23EFEFA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46C9F46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4CB1A3E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55E9AD4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00A89CB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400</w:t>
            </w:r>
          </w:p>
        </w:tc>
        <w:tc>
          <w:tcPr>
            <w:tcW w:w="780" w:type="dxa"/>
            <w:tcBorders>
              <w:top w:val="nil"/>
              <w:left w:val="nil"/>
              <w:bottom w:val="nil"/>
              <w:right w:val="nil"/>
            </w:tcBorders>
            <w:shd w:val="clear" w:color="auto" w:fill="auto"/>
            <w:noWrap/>
            <w:hideMark/>
          </w:tcPr>
          <w:p w14:paraId="5F91B76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7434F15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w:t>
            </w:r>
          </w:p>
        </w:tc>
        <w:tc>
          <w:tcPr>
            <w:tcW w:w="660" w:type="dxa"/>
            <w:tcBorders>
              <w:top w:val="nil"/>
              <w:left w:val="nil"/>
              <w:bottom w:val="nil"/>
              <w:right w:val="nil"/>
            </w:tcBorders>
            <w:shd w:val="clear" w:color="auto" w:fill="auto"/>
            <w:noWrap/>
            <w:vAlign w:val="bottom"/>
            <w:hideMark/>
          </w:tcPr>
          <w:p w14:paraId="2E1B412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114.0</w:t>
            </w:r>
          </w:p>
        </w:tc>
        <w:tc>
          <w:tcPr>
            <w:tcW w:w="920" w:type="dxa"/>
            <w:tcBorders>
              <w:top w:val="nil"/>
              <w:left w:val="nil"/>
              <w:bottom w:val="nil"/>
              <w:right w:val="nil"/>
            </w:tcBorders>
            <w:shd w:val="clear" w:color="auto" w:fill="auto"/>
            <w:noWrap/>
            <w:vAlign w:val="bottom"/>
            <w:hideMark/>
          </w:tcPr>
          <w:p w14:paraId="669FC8B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43.5</w:t>
            </w:r>
          </w:p>
        </w:tc>
        <w:tc>
          <w:tcPr>
            <w:tcW w:w="741" w:type="dxa"/>
            <w:tcBorders>
              <w:top w:val="nil"/>
              <w:left w:val="nil"/>
              <w:bottom w:val="nil"/>
              <w:right w:val="nil"/>
            </w:tcBorders>
            <w:shd w:val="clear" w:color="auto" w:fill="auto"/>
            <w:noWrap/>
            <w:vAlign w:val="bottom"/>
            <w:hideMark/>
          </w:tcPr>
          <w:p w14:paraId="1AE2FF6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281.5</w:t>
            </w:r>
          </w:p>
        </w:tc>
        <w:tc>
          <w:tcPr>
            <w:tcW w:w="785" w:type="dxa"/>
            <w:tcBorders>
              <w:top w:val="nil"/>
              <w:left w:val="nil"/>
              <w:bottom w:val="nil"/>
              <w:right w:val="nil"/>
            </w:tcBorders>
            <w:shd w:val="clear" w:color="auto" w:fill="auto"/>
            <w:noWrap/>
            <w:vAlign w:val="bottom"/>
            <w:hideMark/>
          </w:tcPr>
          <w:p w14:paraId="116BCDE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83.0</w:t>
            </w:r>
          </w:p>
        </w:tc>
        <w:tc>
          <w:tcPr>
            <w:tcW w:w="732" w:type="dxa"/>
            <w:tcBorders>
              <w:top w:val="nil"/>
              <w:left w:val="nil"/>
              <w:bottom w:val="nil"/>
              <w:right w:val="nil"/>
            </w:tcBorders>
            <w:shd w:val="clear" w:color="auto" w:fill="auto"/>
            <w:noWrap/>
            <w:vAlign w:val="bottom"/>
            <w:hideMark/>
          </w:tcPr>
          <w:p w14:paraId="6FC61FE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243.5</w:t>
            </w:r>
          </w:p>
        </w:tc>
        <w:tc>
          <w:tcPr>
            <w:tcW w:w="860" w:type="dxa"/>
            <w:tcBorders>
              <w:top w:val="nil"/>
              <w:left w:val="nil"/>
              <w:bottom w:val="nil"/>
              <w:right w:val="nil"/>
            </w:tcBorders>
            <w:shd w:val="clear" w:color="auto" w:fill="auto"/>
            <w:noWrap/>
            <w:vAlign w:val="bottom"/>
            <w:hideMark/>
          </w:tcPr>
          <w:p w14:paraId="1EC3DC9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96.3</w:t>
            </w:r>
          </w:p>
        </w:tc>
        <w:tc>
          <w:tcPr>
            <w:tcW w:w="960" w:type="dxa"/>
            <w:tcBorders>
              <w:top w:val="nil"/>
              <w:left w:val="nil"/>
              <w:bottom w:val="nil"/>
              <w:right w:val="nil"/>
            </w:tcBorders>
            <w:shd w:val="clear" w:color="auto" w:fill="auto"/>
            <w:noWrap/>
            <w:vAlign w:val="bottom"/>
            <w:hideMark/>
          </w:tcPr>
          <w:p w14:paraId="5AF201F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233.1</w:t>
            </w:r>
          </w:p>
        </w:tc>
        <w:tc>
          <w:tcPr>
            <w:tcW w:w="689" w:type="dxa"/>
            <w:tcBorders>
              <w:top w:val="nil"/>
              <w:left w:val="nil"/>
              <w:bottom w:val="nil"/>
              <w:right w:val="nil"/>
            </w:tcBorders>
            <w:shd w:val="clear" w:color="auto" w:fill="auto"/>
            <w:noWrap/>
            <w:vAlign w:val="bottom"/>
            <w:hideMark/>
          </w:tcPr>
          <w:p w14:paraId="11433A2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897.2</w:t>
            </w:r>
          </w:p>
        </w:tc>
        <w:tc>
          <w:tcPr>
            <w:tcW w:w="1000" w:type="dxa"/>
            <w:tcBorders>
              <w:top w:val="nil"/>
              <w:left w:val="nil"/>
              <w:bottom w:val="nil"/>
              <w:right w:val="nil"/>
            </w:tcBorders>
            <w:shd w:val="clear" w:color="auto" w:fill="auto"/>
            <w:noWrap/>
            <w:vAlign w:val="bottom"/>
            <w:hideMark/>
          </w:tcPr>
          <w:p w14:paraId="5B1AAB9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137.8</w:t>
            </w:r>
          </w:p>
        </w:tc>
      </w:tr>
      <w:tr w:rsidR="00F26016" w:rsidRPr="00F26016" w14:paraId="233F4571" w14:textId="77777777" w:rsidTr="00F26016">
        <w:trPr>
          <w:trHeight w:val="300"/>
        </w:trPr>
        <w:tc>
          <w:tcPr>
            <w:tcW w:w="1140" w:type="dxa"/>
            <w:tcBorders>
              <w:top w:val="nil"/>
              <w:left w:val="nil"/>
              <w:bottom w:val="nil"/>
              <w:right w:val="nil"/>
            </w:tcBorders>
            <w:shd w:val="clear" w:color="auto" w:fill="auto"/>
            <w:noWrap/>
            <w:hideMark/>
          </w:tcPr>
          <w:p w14:paraId="7A61141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w:t>
            </w:r>
          </w:p>
        </w:tc>
        <w:tc>
          <w:tcPr>
            <w:tcW w:w="1200" w:type="dxa"/>
            <w:tcBorders>
              <w:top w:val="nil"/>
              <w:left w:val="nil"/>
              <w:bottom w:val="nil"/>
              <w:right w:val="nil"/>
            </w:tcBorders>
            <w:shd w:val="clear" w:color="auto" w:fill="auto"/>
            <w:noWrap/>
            <w:hideMark/>
          </w:tcPr>
          <w:p w14:paraId="794C7D8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0678E03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663D6F2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5DDECDB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4787B4E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3C35168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5BAE33D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450800D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139.8</w:t>
            </w:r>
          </w:p>
        </w:tc>
        <w:tc>
          <w:tcPr>
            <w:tcW w:w="920" w:type="dxa"/>
            <w:tcBorders>
              <w:top w:val="nil"/>
              <w:left w:val="nil"/>
              <w:bottom w:val="nil"/>
              <w:right w:val="nil"/>
            </w:tcBorders>
            <w:shd w:val="clear" w:color="auto" w:fill="auto"/>
            <w:noWrap/>
            <w:vAlign w:val="bottom"/>
            <w:hideMark/>
          </w:tcPr>
          <w:p w14:paraId="5F163A3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97.5</w:t>
            </w:r>
          </w:p>
        </w:tc>
        <w:tc>
          <w:tcPr>
            <w:tcW w:w="741" w:type="dxa"/>
            <w:tcBorders>
              <w:top w:val="nil"/>
              <w:left w:val="nil"/>
              <w:bottom w:val="nil"/>
              <w:right w:val="nil"/>
            </w:tcBorders>
            <w:shd w:val="clear" w:color="auto" w:fill="auto"/>
            <w:noWrap/>
            <w:vAlign w:val="bottom"/>
            <w:hideMark/>
          </w:tcPr>
          <w:p w14:paraId="72C4033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48.8</w:t>
            </w:r>
          </w:p>
        </w:tc>
        <w:tc>
          <w:tcPr>
            <w:tcW w:w="785" w:type="dxa"/>
            <w:tcBorders>
              <w:top w:val="nil"/>
              <w:left w:val="nil"/>
              <w:bottom w:val="nil"/>
              <w:right w:val="nil"/>
            </w:tcBorders>
            <w:shd w:val="clear" w:color="auto" w:fill="auto"/>
            <w:noWrap/>
            <w:vAlign w:val="bottom"/>
            <w:hideMark/>
          </w:tcPr>
          <w:p w14:paraId="64BCD19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36.0</w:t>
            </w:r>
          </w:p>
        </w:tc>
        <w:tc>
          <w:tcPr>
            <w:tcW w:w="732" w:type="dxa"/>
            <w:tcBorders>
              <w:top w:val="nil"/>
              <w:left w:val="nil"/>
              <w:bottom w:val="nil"/>
              <w:right w:val="nil"/>
            </w:tcBorders>
            <w:shd w:val="clear" w:color="auto" w:fill="auto"/>
            <w:noWrap/>
            <w:vAlign w:val="bottom"/>
            <w:hideMark/>
          </w:tcPr>
          <w:p w14:paraId="3AC0672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115.5</w:t>
            </w:r>
          </w:p>
        </w:tc>
        <w:tc>
          <w:tcPr>
            <w:tcW w:w="860" w:type="dxa"/>
            <w:tcBorders>
              <w:top w:val="nil"/>
              <w:left w:val="nil"/>
              <w:bottom w:val="nil"/>
              <w:right w:val="nil"/>
            </w:tcBorders>
            <w:shd w:val="clear" w:color="auto" w:fill="auto"/>
            <w:noWrap/>
            <w:vAlign w:val="bottom"/>
            <w:hideMark/>
          </w:tcPr>
          <w:p w14:paraId="0241A42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216.9</w:t>
            </w:r>
          </w:p>
        </w:tc>
        <w:tc>
          <w:tcPr>
            <w:tcW w:w="960" w:type="dxa"/>
            <w:tcBorders>
              <w:top w:val="nil"/>
              <w:left w:val="nil"/>
              <w:bottom w:val="nil"/>
              <w:right w:val="nil"/>
            </w:tcBorders>
            <w:shd w:val="clear" w:color="auto" w:fill="auto"/>
            <w:noWrap/>
            <w:vAlign w:val="bottom"/>
            <w:hideMark/>
          </w:tcPr>
          <w:p w14:paraId="2B43180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52.0</w:t>
            </w:r>
          </w:p>
        </w:tc>
        <w:tc>
          <w:tcPr>
            <w:tcW w:w="689" w:type="dxa"/>
            <w:tcBorders>
              <w:top w:val="nil"/>
              <w:left w:val="nil"/>
              <w:bottom w:val="nil"/>
              <w:right w:val="nil"/>
            </w:tcBorders>
            <w:shd w:val="clear" w:color="auto" w:fill="auto"/>
            <w:noWrap/>
            <w:vAlign w:val="bottom"/>
            <w:hideMark/>
          </w:tcPr>
          <w:p w14:paraId="47FC9BC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178.1</w:t>
            </w:r>
          </w:p>
        </w:tc>
        <w:tc>
          <w:tcPr>
            <w:tcW w:w="1000" w:type="dxa"/>
            <w:tcBorders>
              <w:top w:val="nil"/>
              <w:left w:val="nil"/>
              <w:bottom w:val="nil"/>
              <w:right w:val="nil"/>
            </w:tcBorders>
            <w:shd w:val="clear" w:color="auto" w:fill="auto"/>
            <w:noWrap/>
            <w:vAlign w:val="bottom"/>
            <w:hideMark/>
          </w:tcPr>
          <w:p w14:paraId="40F21C9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177.8</w:t>
            </w:r>
          </w:p>
        </w:tc>
      </w:tr>
      <w:tr w:rsidR="00F26016" w:rsidRPr="00F26016" w14:paraId="282E7787" w14:textId="77777777" w:rsidTr="00F26016">
        <w:trPr>
          <w:trHeight w:val="300"/>
        </w:trPr>
        <w:tc>
          <w:tcPr>
            <w:tcW w:w="1140" w:type="dxa"/>
            <w:tcBorders>
              <w:top w:val="nil"/>
              <w:left w:val="nil"/>
              <w:bottom w:val="nil"/>
              <w:right w:val="nil"/>
            </w:tcBorders>
            <w:shd w:val="clear" w:color="auto" w:fill="auto"/>
            <w:noWrap/>
            <w:hideMark/>
          </w:tcPr>
          <w:p w14:paraId="4D57B43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w:t>
            </w:r>
          </w:p>
        </w:tc>
        <w:tc>
          <w:tcPr>
            <w:tcW w:w="1200" w:type="dxa"/>
            <w:tcBorders>
              <w:top w:val="nil"/>
              <w:left w:val="nil"/>
              <w:bottom w:val="nil"/>
              <w:right w:val="nil"/>
            </w:tcBorders>
            <w:shd w:val="clear" w:color="auto" w:fill="auto"/>
            <w:noWrap/>
            <w:hideMark/>
          </w:tcPr>
          <w:p w14:paraId="38A8F28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446DE5E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4719071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2630C33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37BEA72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281F01D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4895A4C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2FDFA88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10.0</w:t>
            </w:r>
          </w:p>
        </w:tc>
        <w:tc>
          <w:tcPr>
            <w:tcW w:w="920" w:type="dxa"/>
            <w:tcBorders>
              <w:top w:val="nil"/>
              <w:left w:val="nil"/>
              <w:bottom w:val="nil"/>
              <w:right w:val="nil"/>
            </w:tcBorders>
            <w:shd w:val="clear" w:color="auto" w:fill="auto"/>
            <w:noWrap/>
            <w:vAlign w:val="bottom"/>
            <w:hideMark/>
          </w:tcPr>
          <w:p w14:paraId="325055E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14.2</w:t>
            </w:r>
          </w:p>
        </w:tc>
        <w:tc>
          <w:tcPr>
            <w:tcW w:w="741" w:type="dxa"/>
            <w:tcBorders>
              <w:top w:val="nil"/>
              <w:left w:val="nil"/>
              <w:bottom w:val="nil"/>
              <w:right w:val="nil"/>
            </w:tcBorders>
            <w:shd w:val="clear" w:color="auto" w:fill="auto"/>
            <w:noWrap/>
            <w:vAlign w:val="bottom"/>
            <w:hideMark/>
          </w:tcPr>
          <w:p w14:paraId="4EFB334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22.2</w:t>
            </w:r>
          </w:p>
        </w:tc>
        <w:tc>
          <w:tcPr>
            <w:tcW w:w="785" w:type="dxa"/>
            <w:tcBorders>
              <w:top w:val="nil"/>
              <w:left w:val="nil"/>
              <w:bottom w:val="nil"/>
              <w:right w:val="nil"/>
            </w:tcBorders>
            <w:shd w:val="clear" w:color="auto" w:fill="auto"/>
            <w:noWrap/>
            <w:vAlign w:val="bottom"/>
            <w:hideMark/>
          </w:tcPr>
          <w:p w14:paraId="15EA76B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24.8</w:t>
            </w:r>
          </w:p>
        </w:tc>
        <w:tc>
          <w:tcPr>
            <w:tcW w:w="732" w:type="dxa"/>
            <w:tcBorders>
              <w:top w:val="nil"/>
              <w:left w:val="nil"/>
              <w:bottom w:val="nil"/>
              <w:right w:val="nil"/>
            </w:tcBorders>
            <w:shd w:val="clear" w:color="auto" w:fill="auto"/>
            <w:noWrap/>
            <w:vAlign w:val="bottom"/>
            <w:hideMark/>
          </w:tcPr>
          <w:p w14:paraId="5ED9417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43.7</w:t>
            </w:r>
          </w:p>
        </w:tc>
        <w:tc>
          <w:tcPr>
            <w:tcW w:w="860" w:type="dxa"/>
            <w:tcBorders>
              <w:top w:val="nil"/>
              <w:left w:val="nil"/>
              <w:bottom w:val="nil"/>
              <w:right w:val="nil"/>
            </w:tcBorders>
            <w:shd w:val="clear" w:color="auto" w:fill="auto"/>
            <w:noWrap/>
            <w:vAlign w:val="bottom"/>
            <w:hideMark/>
          </w:tcPr>
          <w:p w14:paraId="4FB15D2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21.1</w:t>
            </w:r>
          </w:p>
        </w:tc>
        <w:tc>
          <w:tcPr>
            <w:tcW w:w="960" w:type="dxa"/>
            <w:tcBorders>
              <w:top w:val="nil"/>
              <w:left w:val="nil"/>
              <w:bottom w:val="nil"/>
              <w:right w:val="nil"/>
            </w:tcBorders>
            <w:shd w:val="clear" w:color="auto" w:fill="auto"/>
            <w:noWrap/>
            <w:vAlign w:val="bottom"/>
            <w:hideMark/>
          </w:tcPr>
          <w:p w14:paraId="624F82B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58.0</w:t>
            </w:r>
          </w:p>
        </w:tc>
        <w:tc>
          <w:tcPr>
            <w:tcW w:w="689" w:type="dxa"/>
            <w:tcBorders>
              <w:top w:val="nil"/>
              <w:left w:val="nil"/>
              <w:bottom w:val="nil"/>
              <w:right w:val="nil"/>
            </w:tcBorders>
            <w:shd w:val="clear" w:color="auto" w:fill="auto"/>
            <w:noWrap/>
            <w:vAlign w:val="bottom"/>
            <w:hideMark/>
          </w:tcPr>
          <w:p w14:paraId="1F56E01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694.2</w:t>
            </w:r>
          </w:p>
        </w:tc>
        <w:tc>
          <w:tcPr>
            <w:tcW w:w="1000" w:type="dxa"/>
            <w:tcBorders>
              <w:top w:val="nil"/>
              <w:left w:val="nil"/>
              <w:bottom w:val="nil"/>
              <w:right w:val="nil"/>
            </w:tcBorders>
            <w:shd w:val="clear" w:color="auto" w:fill="auto"/>
            <w:noWrap/>
            <w:vAlign w:val="bottom"/>
            <w:hideMark/>
          </w:tcPr>
          <w:p w14:paraId="62DF362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161.0</w:t>
            </w:r>
          </w:p>
        </w:tc>
      </w:tr>
      <w:tr w:rsidR="00F26016" w:rsidRPr="00F26016" w14:paraId="3B31C7CC" w14:textId="77777777" w:rsidTr="00F26016">
        <w:trPr>
          <w:trHeight w:val="300"/>
        </w:trPr>
        <w:tc>
          <w:tcPr>
            <w:tcW w:w="1140" w:type="dxa"/>
            <w:tcBorders>
              <w:top w:val="nil"/>
              <w:left w:val="nil"/>
              <w:bottom w:val="nil"/>
              <w:right w:val="nil"/>
            </w:tcBorders>
            <w:shd w:val="clear" w:color="auto" w:fill="auto"/>
            <w:noWrap/>
            <w:hideMark/>
          </w:tcPr>
          <w:p w14:paraId="19AC305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w:t>
            </w:r>
          </w:p>
        </w:tc>
        <w:tc>
          <w:tcPr>
            <w:tcW w:w="1200" w:type="dxa"/>
            <w:tcBorders>
              <w:top w:val="nil"/>
              <w:left w:val="nil"/>
              <w:bottom w:val="nil"/>
              <w:right w:val="nil"/>
            </w:tcBorders>
            <w:shd w:val="clear" w:color="auto" w:fill="auto"/>
            <w:noWrap/>
            <w:hideMark/>
          </w:tcPr>
          <w:p w14:paraId="7DC7393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5EEAFB5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77B975A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20E345D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49FBD9C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5DDE340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307EEC1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1034691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65.2</w:t>
            </w:r>
          </w:p>
        </w:tc>
        <w:tc>
          <w:tcPr>
            <w:tcW w:w="920" w:type="dxa"/>
            <w:tcBorders>
              <w:top w:val="nil"/>
              <w:left w:val="nil"/>
              <w:bottom w:val="nil"/>
              <w:right w:val="nil"/>
            </w:tcBorders>
            <w:shd w:val="clear" w:color="auto" w:fill="auto"/>
            <w:noWrap/>
            <w:vAlign w:val="bottom"/>
            <w:hideMark/>
          </w:tcPr>
          <w:p w14:paraId="45AFF09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91.3</w:t>
            </w:r>
          </w:p>
        </w:tc>
        <w:tc>
          <w:tcPr>
            <w:tcW w:w="741" w:type="dxa"/>
            <w:tcBorders>
              <w:top w:val="nil"/>
              <w:left w:val="nil"/>
              <w:bottom w:val="nil"/>
              <w:right w:val="nil"/>
            </w:tcBorders>
            <w:shd w:val="clear" w:color="auto" w:fill="auto"/>
            <w:noWrap/>
            <w:vAlign w:val="bottom"/>
            <w:hideMark/>
          </w:tcPr>
          <w:p w14:paraId="09AEBAC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265.6</w:t>
            </w:r>
          </w:p>
        </w:tc>
        <w:tc>
          <w:tcPr>
            <w:tcW w:w="785" w:type="dxa"/>
            <w:tcBorders>
              <w:top w:val="nil"/>
              <w:left w:val="nil"/>
              <w:bottom w:val="nil"/>
              <w:right w:val="nil"/>
            </w:tcBorders>
            <w:shd w:val="clear" w:color="auto" w:fill="auto"/>
            <w:noWrap/>
            <w:vAlign w:val="bottom"/>
            <w:hideMark/>
          </w:tcPr>
          <w:p w14:paraId="0F3F8AC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64.7</w:t>
            </w:r>
          </w:p>
        </w:tc>
        <w:tc>
          <w:tcPr>
            <w:tcW w:w="732" w:type="dxa"/>
            <w:tcBorders>
              <w:top w:val="nil"/>
              <w:left w:val="nil"/>
              <w:bottom w:val="nil"/>
              <w:right w:val="nil"/>
            </w:tcBorders>
            <w:shd w:val="clear" w:color="auto" w:fill="auto"/>
            <w:noWrap/>
            <w:vAlign w:val="bottom"/>
            <w:hideMark/>
          </w:tcPr>
          <w:p w14:paraId="13BAE5A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118.5</w:t>
            </w:r>
          </w:p>
        </w:tc>
        <w:tc>
          <w:tcPr>
            <w:tcW w:w="860" w:type="dxa"/>
            <w:tcBorders>
              <w:top w:val="nil"/>
              <w:left w:val="nil"/>
              <w:bottom w:val="nil"/>
              <w:right w:val="nil"/>
            </w:tcBorders>
            <w:shd w:val="clear" w:color="auto" w:fill="auto"/>
            <w:noWrap/>
            <w:vAlign w:val="bottom"/>
            <w:hideMark/>
          </w:tcPr>
          <w:p w14:paraId="0408315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108.9</w:t>
            </w:r>
          </w:p>
        </w:tc>
        <w:tc>
          <w:tcPr>
            <w:tcW w:w="960" w:type="dxa"/>
            <w:tcBorders>
              <w:top w:val="nil"/>
              <w:left w:val="nil"/>
              <w:bottom w:val="nil"/>
              <w:right w:val="nil"/>
            </w:tcBorders>
            <w:shd w:val="clear" w:color="auto" w:fill="auto"/>
            <w:noWrap/>
            <w:vAlign w:val="bottom"/>
            <w:hideMark/>
          </w:tcPr>
          <w:p w14:paraId="4958FCD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138.2</w:t>
            </w:r>
          </w:p>
        </w:tc>
        <w:tc>
          <w:tcPr>
            <w:tcW w:w="689" w:type="dxa"/>
            <w:tcBorders>
              <w:top w:val="nil"/>
              <w:left w:val="nil"/>
              <w:bottom w:val="nil"/>
              <w:right w:val="nil"/>
            </w:tcBorders>
            <w:shd w:val="clear" w:color="auto" w:fill="auto"/>
            <w:noWrap/>
            <w:vAlign w:val="bottom"/>
            <w:hideMark/>
          </w:tcPr>
          <w:p w14:paraId="75E8AD1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695.9</w:t>
            </w:r>
          </w:p>
        </w:tc>
        <w:tc>
          <w:tcPr>
            <w:tcW w:w="1000" w:type="dxa"/>
            <w:tcBorders>
              <w:top w:val="nil"/>
              <w:left w:val="nil"/>
              <w:bottom w:val="nil"/>
              <w:right w:val="nil"/>
            </w:tcBorders>
            <w:shd w:val="clear" w:color="auto" w:fill="auto"/>
            <w:noWrap/>
            <w:vAlign w:val="bottom"/>
            <w:hideMark/>
          </w:tcPr>
          <w:p w14:paraId="7A44C47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150.5</w:t>
            </w:r>
          </w:p>
        </w:tc>
      </w:tr>
      <w:tr w:rsidR="00F26016" w:rsidRPr="00F26016" w14:paraId="712B0BD5" w14:textId="77777777" w:rsidTr="00F26016">
        <w:trPr>
          <w:trHeight w:val="300"/>
        </w:trPr>
        <w:tc>
          <w:tcPr>
            <w:tcW w:w="1140" w:type="dxa"/>
            <w:tcBorders>
              <w:top w:val="nil"/>
              <w:left w:val="nil"/>
              <w:bottom w:val="nil"/>
              <w:right w:val="nil"/>
            </w:tcBorders>
            <w:shd w:val="clear" w:color="auto" w:fill="auto"/>
            <w:noWrap/>
            <w:hideMark/>
          </w:tcPr>
          <w:p w14:paraId="7FCAAA5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w:t>
            </w:r>
          </w:p>
        </w:tc>
        <w:tc>
          <w:tcPr>
            <w:tcW w:w="1200" w:type="dxa"/>
            <w:tcBorders>
              <w:top w:val="nil"/>
              <w:left w:val="nil"/>
              <w:bottom w:val="nil"/>
              <w:right w:val="nil"/>
            </w:tcBorders>
            <w:shd w:val="clear" w:color="auto" w:fill="auto"/>
            <w:noWrap/>
            <w:hideMark/>
          </w:tcPr>
          <w:p w14:paraId="1CF66FA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35271B3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384AC40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274EEDE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1A08801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5326EAC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1709371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57928D8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75.8</w:t>
            </w:r>
          </w:p>
        </w:tc>
        <w:tc>
          <w:tcPr>
            <w:tcW w:w="920" w:type="dxa"/>
            <w:tcBorders>
              <w:top w:val="nil"/>
              <w:left w:val="nil"/>
              <w:bottom w:val="nil"/>
              <w:right w:val="nil"/>
            </w:tcBorders>
            <w:shd w:val="clear" w:color="auto" w:fill="auto"/>
            <w:noWrap/>
            <w:vAlign w:val="bottom"/>
            <w:hideMark/>
          </w:tcPr>
          <w:p w14:paraId="2C4C1B4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68.5</w:t>
            </w:r>
          </w:p>
        </w:tc>
        <w:tc>
          <w:tcPr>
            <w:tcW w:w="741" w:type="dxa"/>
            <w:tcBorders>
              <w:top w:val="nil"/>
              <w:left w:val="nil"/>
              <w:bottom w:val="nil"/>
              <w:right w:val="nil"/>
            </w:tcBorders>
            <w:shd w:val="clear" w:color="auto" w:fill="auto"/>
            <w:noWrap/>
            <w:vAlign w:val="bottom"/>
            <w:hideMark/>
          </w:tcPr>
          <w:p w14:paraId="7EC0601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37.0</w:t>
            </w:r>
          </w:p>
        </w:tc>
        <w:tc>
          <w:tcPr>
            <w:tcW w:w="785" w:type="dxa"/>
            <w:tcBorders>
              <w:top w:val="nil"/>
              <w:left w:val="nil"/>
              <w:bottom w:val="nil"/>
              <w:right w:val="nil"/>
            </w:tcBorders>
            <w:shd w:val="clear" w:color="auto" w:fill="auto"/>
            <w:noWrap/>
            <w:vAlign w:val="bottom"/>
            <w:hideMark/>
          </w:tcPr>
          <w:p w14:paraId="3532591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46.7</w:t>
            </w:r>
          </w:p>
        </w:tc>
        <w:tc>
          <w:tcPr>
            <w:tcW w:w="732" w:type="dxa"/>
            <w:tcBorders>
              <w:top w:val="nil"/>
              <w:left w:val="nil"/>
              <w:bottom w:val="nil"/>
              <w:right w:val="nil"/>
            </w:tcBorders>
            <w:shd w:val="clear" w:color="auto" w:fill="auto"/>
            <w:noWrap/>
            <w:vAlign w:val="bottom"/>
            <w:hideMark/>
          </w:tcPr>
          <w:p w14:paraId="6791D84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115.0</w:t>
            </w:r>
          </w:p>
        </w:tc>
        <w:tc>
          <w:tcPr>
            <w:tcW w:w="860" w:type="dxa"/>
            <w:tcBorders>
              <w:top w:val="nil"/>
              <w:left w:val="nil"/>
              <w:bottom w:val="nil"/>
              <w:right w:val="nil"/>
            </w:tcBorders>
            <w:shd w:val="clear" w:color="auto" w:fill="auto"/>
            <w:noWrap/>
            <w:vAlign w:val="bottom"/>
            <w:hideMark/>
          </w:tcPr>
          <w:p w14:paraId="6123B3E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96.2</w:t>
            </w:r>
          </w:p>
        </w:tc>
        <w:tc>
          <w:tcPr>
            <w:tcW w:w="960" w:type="dxa"/>
            <w:tcBorders>
              <w:top w:val="nil"/>
              <w:left w:val="nil"/>
              <w:bottom w:val="nil"/>
              <w:right w:val="nil"/>
            </w:tcBorders>
            <w:shd w:val="clear" w:color="auto" w:fill="auto"/>
            <w:noWrap/>
            <w:vAlign w:val="bottom"/>
            <w:hideMark/>
          </w:tcPr>
          <w:p w14:paraId="31B8712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50.9</w:t>
            </w:r>
          </w:p>
        </w:tc>
        <w:tc>
          <w:tcPr>
            <w:tcW w:w="689" w:type="dxa"/>
            <w:tcBorders>
              <w:top w:val="nil"/>
              <w:left w:val="nil"/>
              <w:bottom w:val="nil"/>
              <w:right w:val="nil"/>
            </w:tcBorders>
            <w:shd w:val="clear" w:color="auto" w:fill="auto"/>
            <w:noWrap/>
            <w:vAlign w:val="bottom"/>
            <w:hideMark/>
          </w:tcPr>
          <w:p w14:paraId="0BDA3B7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92.6</w:t>
            </w:r>
          </w:p>
        </w:tc>
        <w:tc>
          <w:tcPr>
            <w:tcW w:w="1000" w:type="dxa"/>
            <w:tcBorders>
              <w:top w:val="nil"/>
              <w:left w:val="nil"/>
              <w:bottom w:val="nil"/>
              <w:right w:val="nil"/>
            </w:tcBorders>
            <w:shd w:val="clear" w:color="auto" w:fill="auto"/>
            <w:noWrap/>
            <w:vAlign w:val="bottom"/>
            <w:hideMark/>
          </w:tcPr>
          <w:p w14:paraId="4E280A9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176.7</w:t>
            </w:r>
          </w:p>
        </w:tc>
      </w:tr>
      <w:tr w:rsidR="00F26016" w:rsidRPr="00F26016" w14:paraId="219567C4" w14:textId="77777777" w:rsidTr="00F26016">
        <w:trPr>
          <w:trHeight w:val="300"/>
        </w:trPr>
        <w:tc>
          <w:tcPr>
            <w:tcW w:w="1140" w:type="dxa"/>
            <w:tcBorders>
              <w:top w:val="nil"/>
              <w:left w:val="nil"/>
              <w:bottom w:val="nil"/>
              <w:right w:val="nil"/>
            </w:tcBorders>
            <w:shd w:val="clear" w:color="auto" w:fill="auto"/>
            <w:noWrap/>
            <w:hideMark/>
          </w:tcPr>
          <w:p w14:paraId="1B71E77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w:t>
            </w:r>
          </w:p>
        </w:tc>
        <w:tc>
          <w:tcPr>
            <w:tcW w:w="1200" w:type="dxa"/>
            <w:tcBorders>
              <w:top w:val="nil"/>
              <w:left w:val="nil"/>
              <w:bottom w:val="nil"/>
              <w:right w:val="nil"/>
            </w:tcBorders>
            <w:shd w:val="clear" w:color="auto" w:fill="auto"/>
            <w:noWrap/>
            <w:hideMark/>
          </w:tcPr>
          <w:p w14:paraId="7BC86D4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53163D5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173B79E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5FBFC00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5A376A3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1AF3BD3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13AEC80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333BFD8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w:t>
            </w:r>
          </w:p>
        </w:tc>
        <w:tc>
          <w:tcPr>
            <w:tcW w:w="920" w:type="dxa"/>
            <w:tcBorders>
              <w:top w:val="nil"/>
              <w:left w:val="nil"/>
              <w:bottom w:val="nil"/>
              <w:right w:val="nil"/>
            </w:tcBorders>
            <w:shd w:val="clear" w:color="auto" w:fill="auto"/>
            <w:noWrap/>
            <w:vAlign w:val="bottom"/>
            <w:hideMark/>
          </w:tcPr>
          <w:p w14:paraId="1F7AB14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23.7</w:t>
            </w:r>
          </w:p>
        </w:tc>
        <w:tc>
          <w:tcPr>
            <w:tcW w:w="741" w:type="dxa"/>
            <w:tcBorders>
              <w:top w:val="nil"/>
              <w:left w:val="nil"/>
              <w:bottom w:val="nil"/>
              <w:right w:val="nil"/>
            </w:tcBorders>
            <w:shd w:val="clear" w:color="auto" w:fill="auto"/>
            <w:noWrap/>
            <w:vAlign w:val="bottom"/>
            <w:hideMark/>
          </w:tcPr>
          <w:p w14:paraId="40EF232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25.1</w:t>
            </w:r>
          </w:p>
        </w:tc>
        <w:tc>
          <w:tcPr>
            <w:tcW w:w="785" w:type="dxa"/>
            <w:tcBorders>
              <w:top w:val="nil"/>
              <w:left w:val="nil"/>
              <w:bottom w:val="nil"/>
              <w:right w:val="nil"/>
            </w:tcBorders>
            <w:shd w:val="clear" w:color="auto" w:fill="auto"/>
            <w:noWrap/>
            <w:vAlign w:val="bottom"/>
            <w:hideMark/>
          </w:tcPr>
          <w:p w14:paraId="3124FB9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20.6</w:t>
            </w:r>
          </w:p>
        </w:tc>
        <w:tc>
          <w:tcPr>
            <w:tcW w:w="732" w:type="dxa"/>
            <w:tcBorders>
              <w:top w:val="nil"/>
              <w:left w:val="nil"/>
              <w:bottom w:val="nil"/>
              <w:right w:val="nil"/>
            </w:tcBorders>
            <w:shd w:val="clear" w:color="auto" w:fill="auto"/>
            <w:noWrap/>
            <w:vAlign w:val="bottom"/>
            <w:hideMark/>
          </w:tcPr>
          <w:p w14:paraId="72D3C66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42.6</w:t>
            </w:r>
          </w:p>
        </w:tc>
        <w:tc>
          <w:tcPr>
            <w:tcW w:w="860" w:type="dxa"/>
            <w:tcBorders>
              <w:top w:val="nil"/>
              <w:left w:val="nil"/>
              <w:bottom w:val="nil"/>
              <w:right w:val="nil"/>
            </w:tcBorders>
            <w:shd w:val="clear" w:color="auto" w:fill="auto"/>
            <w:noWrap/>
            <w:vAlign w:val="bottom"/>
            <w:hideMark/>
          </w:tcPr>
          <w:p w14:paraId="41708B9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13.5</w:t>
            </w:r>
          </w:p>
        </w:tc>
        <w:tc>
          <w:tcPr>
            <w:tcW w:w="960" w:type="dxa"/>
            <w:tcBorders>
              <w:top w:val="nil"/>
              <w:left w:val="nil"/>
              <w:bottom w:val="nil"/>
              <w:right w:val="nil"/>
            </w:tcBorders>
            <w:shd w:val="clear" w:color="auto" w:fill="auto"/>
            <w:noWrap/>
            <w:vAlign w:val="bottom"/>
            <w:hideMark/>
          </w:tcPr>
          <w:p w14:paraId="15A7A55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42.3</w:t>
            </w:r>
          </w:p>
        </w:tc>
        <w:tc>
          <w:tcPr>
            <w:tcW w:w="689" w:type="dxa"/>
            <w:tcBorders>
              <w:top w:val="nil"/>
              <w:left w:val="nil"/>
              <w:bottom w:val="nil"/>
              <w:right w:val="nil"/>
            </w:tcBorders>
            <w:shd w:val="clear" w:color="auto" w:fill="auto"/>
            <w:noWrap/>
            <w:vAlign w:val="bottom"/>
            <w:hideMark/>
          </w:tcPr>
          <w:p w14:paraId="5B7E44F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365.2</w:t>
            </w:r>
          </w:p>
        </w:tc>
        <w:tc>
          <w:tcPr>
            <w:tcW w:w="1000" w:type="dxa"/>
            <w:tcBorders>
              <w:top w:val="nil"/>
              <w:left w:val="nil"/>
              <w:bottom w:val="nil"/>
              <w:right w:val="nil"/>
            </w:tcBorders>
            <w:shd w:val="clear" w:color="auto" w:fill="auto"/>
            <w:noWrap/>
            <w:vAlign w:val="bottom"/>
            <w:hideMark/>
          </w:tcPr>
          <w:p w14:paraId="162842B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153.5</w:t>
            </w:r>
          </w:p>
        </w:tc>
      </w:tr>
      <w:tr w:rsidR="00F26016" w:rsidRPr="00F26016" w14:paraId="6BAB6D66" w14:textId="77777777" w:rsidTr="00F26016">
        <w:trPr>
          <w:trHeight w:val="300"/>
        </w:trPr>
        <w:tc>
          <w:tcPr>
            <w:tcW w:w="1140" w:type="dxa"/>
            <w:tcBorders>
              <w:top w:val="nil"/>
              <w:left w:val="nil"/>
              <w:bottom w:val="nil"/>
              <w:right w:val="nil"/>
            </w:tcBorders>
            <w:shd w:val="clear" w:color="auto" w:fill="auto"/>
            <w:noWrap/>
            <w:hideMark/>
          </w:tcPr>
          <w:p w14:paraId="7BBA7D8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w:t>
            </w:r>
          </w:p>
        </w:tc>
        <w:tc>
          <w:tcPr>
            <w:tcW w:w="1200" w:type="dxa"/>
            <w:tcBorders>
              <w:top w:val="nil"/>
              <w:left w:val="nil"/>
              <w:bottom w:val="nil"/>
              <w:right w:val="nil"/>
            </w:tcBorders>
            <w:shd w:val="clear" w:color="auto" w:fill="auto"/>
            <w:noWrap/>
            <w:hideMark/>
          </w:tcPr>
          <w:p w14:paraId="3C6E8E2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784FDCB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2AD2FF9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7BA43D2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66CB510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20F001D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328434F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14F155C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49.4</w:t>
            </w:r>
          </w:p>
        </w:tc>
        <w:tc>
          <w:tcPr>
            <w:tcW w:w="920" w:type="dxa"/>
            <w:tcBorders>
              <w:top w:val="nil"/>
              <w:left w:val="nil"/>
              <w:bottom w:val="nil"/>
              <w:right w:val="nil"/>
            </w:tcBorders>
            <w:shd w:val="clear" w:color="auto" w:fill="auto"/>
            <w:noWrap/>
            <w:vAlign w:val="bottom"/>
            <w:hideMark/>
          </w:tcPr>
          <w:p w14:paraId="09748FE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83.9</w:t>
            </w:r>
          </w:p>
        </w:tc>
        <w:tc>
          <w:tcPr>
            <w:tcW w:w="741" w:type="dxa"/>
            <w:tcBorders>
              <w:top w:val="nil"/>
              <w:left w:val="nil"/>
              <w:bottom w:val="nil"/>
              <w:right w:val="nil"/>
            </w:tcBorders>
            <w:shd w:val="clear" w:color="auto" w:fill="auto"/>
            <w:noWrap/>
            <w:vAlign w:val="bottom"/>
            <w:hideMark/>
          </w:tcPr>
          <w:p w14:paraId="57C17E3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226.0</w:t>
            </w:r>
          </w:p>
        </w:tc>
        <w:tc>
          <w:tcPr>
            <w:tcW w:w="785" w:type="dxa"/>
            <w:tcBorders>
              <w:top w:val="nil"/>
              <w:left w:val="nil"/>
              <w:bottom w:val="nil"/>
              <w:right w:val="nil"/>
            </w:tcBorders>
            <w:shd w:val="clear" w:color="auto" w:fill="auto"/>
            <w:noWrap/>
            <w:vAlign w:val="bottom"/>
            <w:hideMark/>
          </w:tcPr>
          <w:p w14:paraId="3514C48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41.0</w:t>
            </w:r>
          </w:p>
        </w:tc>
        <w:tc>
          <w:tcPr>
            <w:tcW w:w="732" w:type="dxa"/>
            <w:tcBorders>
              <w:top w:val="nil"/>
              <w:left w:val="nil"/>
              <w:bottom w:val="nil"/>
              <w:right w:val="nil"/>
            </w:tcBorders>
            <w:shd w:val="clear" w:color="auto" w:fill="auto"/>
            <w:noWrap/>
            <w:vAlign w:val="bottom"/>
            <w:hideMark/>
          </w:tcPr>
          <w:p w14:paraId="78C424C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41.9</w:t>
            </w:r>
          </w:p>
        </w:tc>
        <w:tc>
          <w:tcPr>
            <w:tcW w:w="860" w:type="dxa"/>
            <w:tcBorders>
              <w:top w:val="nil"/>
              <w:left w:val="nil"/>
              <w:bottom w:val="nil"/>
              <w:right w:val="nil"/>
            </w:tcBorders>
            <w:shd w:val="clear" w:color="auto" w:fill="auto"/>
            <w:noWrap/>
            <w:vAlign w:val="bottom"/>
            <w:hideMark/>
          </w:tcPr>
          <w:p w14:paraId="17C3561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102.5</w:t>
            </w:r>
          </w:p>
        </w:tc>
        <w:tc>
          <w:tcPr>
            <w:tcW w:w="960" w:type="dxa"/>
            <w:tcBorders>
              <w:top w:val="nil"/>
              <w:left w:val="nil"/>
              <w:bottom w:val="nil"/>
              <w:right w:val="nil"/>
            </w:tcBorders>
            <w:shd w:val="clear" w:color="auto" w:fill="auto"/>
            <w:noWrap/>
            <w:vAlign w:val="bottom"/>
            <w:hideMark/>
          </w:tcPr>
          <w:p w14:paraId="3BCB410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101.5</w:t>
            </w:r>
          </w:p>
        </w:tc>
        <w:tc>
          <w:tcPr>
            <w:tcW w:w="689" w:type="dxa"/>
            <w:tcBorders>
              <w:top w:val="nil"/>
              <w:left w:val="nil"/>
              <w:bottom w:val="nil"/>
              <w:right w:val="nil"/>
            </w:tcBorders>
            <w:shd w:val="clear" w:color="auto" w:fill="auto"/>
            <w:noWrap/>
            <w:vAlign w:val="bottom"/>
            <w:hideMark/>
          </w:tcPr>
          <w:p w14:paraId="7F8A364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67.6</w:t>
            </w:r>
          </w:p>
        </w:tc>
        <w:tc>
          <w:tcPr>
            <w:tcW w:w="1000" w:type="dxa"/>
            <w:tcBorders>
              <w:top w:val="nil"/>
              <w:left w:val="nil"/>
              <w:bottom w:val="nil"/>
              <w:right w:val="nil"/>
            </w:tcBorders>
            <w:shd w:val="clear" w:color="auto" w:fill="auto"/>
            <w:noWrap/>
            <w:vAlign w:val="bottom"/>
            <w:hideMark/>
          </w:tcPr>
          <w:p w14:paraId="74513D5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122.5</w:t>
            </w:r>
          </w:p>
        </w:tc>
      </w:tr>
      <w:tr w:rsidR="00F26016" w:rsidRPr="00F26016" w14:paraId="09ADA68C" w14:textId="77777777" w:rsidTr="00F26016">
        <w:trPr>
          <w:trHeight w:val="300"/>
        </w:trPr>
        <w:tc>
          <w:tcPr>
            <w:tcW w:w="1140" w:type="dxa"/>
            <w:tcBorders>
              <w:top w:val="nil"/>
              <w:left w:val="nil"/>
              <w:bottom w:val="nil"/>
              <w:right w:val="nil"/>
            </w:tcBorders>
            <w:shd w:val="clear" w:color="auto" w:fill="auto"/>
            <w:noWrap/>
            <w:hideMark/>
          </w:tcPr>
          <w:p w14:paraId="2A90DBD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w:t>
            </w:r>
          </w:p>
        </w:tc>
        <w:tc>
          <w:tcPr>
            <w:tcW w:w="1200" w:type="dxa"/>
            <w:tcBorders>
              <w:top w:val="nil"/>
              <w:left w:val="nil"/>
              <w:bottom w:val="nil"/>
              <w:right w:val="nil"/>
            </w:tcBorders>
            <w:shd w:val="clear" w:color="auto" w:fill="auto"/>
            <w:noWrap/>
            <w:hideMark/>
          </w:tcPr>
          <w:p w14:paraId="124D9AD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463A39F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42CEAF5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0E298B0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6AC8418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1F86765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0475C39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34DD3A3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309.4</w:t>
            </w:r>
          </w:p>
        </w:tc>
        <w:tc>
          <w:tcPr>
            <w:tcW w:w="920" w:type="dxa"/>
            <w:tcBorders>
              <w:top w:val="nil"/>
              <w:left w:val="nil"/>
              <w:bottom w:val="nil"/>
              <w:right w:val="nil"/>
            </w:tcBorders>
            <w:shd w:val="clear" w:color="auto" w:fill="auto"/>
            <w:noWrap/>
            <w:vAlign w:val="bottom"/>
            <w:hideMark/>
          </w:tcPr>
          <w:p w14:paraId="261033D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59.0</w:t>
            </w:r>
          </w:p>
        </w:tc>
        <w:tc>
          <w:tcPr>
            <w:tcW w:w="741" w:type="dxa"/>
            <w:tcBorders>
              <w:top w:val="nil"/>
              <w:left w:val="nil"/>
              <w:bottom w:val="nil"/>
              <w:right w:val="nil"/>
            </w:tcBorders>
            <w:shd w:val="clear" w:color="auto" w:fill="auto"/>
            <w:noWrap/>
            <w:vAlign w:val="bottom"/>
            <w:hideMark/>
          </w:tcPr>
          <w:p w14:paraId="56A0A3D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51.6</w:t>
            </w:r>
          </w:p>
        </w:tc>
        <w:tc>
          <w:tcPr>
            <w:tcW w:w="785" w:type="dxa"/>
            <w:tcBorders>
              <w:top w:val="nil"/>
              <w:left w:val="nil"/>
              <w:bottom w:val="nil"/>
              <w:right w:val="nil"/>
            </w:tcBorders>
            <w:shd w:val="clear" w:color="auto" w:fill="auto"/>
            <w:noWrap/>
            <w:vAlign w:val="bottom"/>
            <w:hideMark/>
          </w:tcPr>
          <w:p w14:paraId="6BBAD49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17.6</w:t>
            </w:r>
          </w:p>
        </w:tc>
        <w:tc>
          <w:tcPr>
            <w:tcW w:w="732" w:type="dxa"/>
            <w:tcBorders>
              <w:top w:val="nil"/>
              <w:left w:val="nil"/>
              <w:bottom w:val="nil"/>
              <w:right w:val="nil"/>
            </w:tcBorders>
            <w:shd w:val="clear" w:color="auto" w:fill="auto"/>
            <w:noWrap/>
            <w:vAlign w:val="bottom"/>
            <w:hideMark/>
          </w:tcPr>
          <w:p w14:paraId="797B4C8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1096.5</w:t>
            </w:r>
          </w:p>
        </w:tc>
        <w:tc>
          <w:tcPr>
            <w:tcW w:w="860" w:type="dxa"/>
            <w:tcBorders>
              <w:top w:val="nil"/>
              <w:left w:val="nil"/>
              <w:bottom w:val="nil"/>
              <w:right w:val="nil"/>
            </w:tcBorders>
            <w:shd w:val="clear" w:color="auto" w:fill="auto"/>
            <w:noWrap/>
            <w:vAlign w:val="bottom"/>
            <w:hideMark/>
          </w:tcPr>
          <w:p w14:paraId="0A33813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252.1</w:t>
            </w:r>
          </w:p>
        </w:tc>
        <w:tc>
          <w:tcPr>
            <w:tcW w:w="960" w:type="dxa"/>
            <w:tcBorders>
              <w:top w:val="nil"/>
              <w:left w:val="nil"/>
              <w:bottom w:val="nil"/>
              <w:right w:val="nil"/>
            </w:tcBorders>
            <w:shd w:val="clear" w:color="auto" w:fill="auto"/>
            <w:noWrap/>
            <w:vAlign w:val="bottom"/>
            <w:hideMark/>
          </w:tcPr>
          <w:p w14:paraId="74F1721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61.0</w:t>
            </w:r>
          </w:p>
        </w:tc>
        <w:tc>
          <w:tcPr>
            <w:tcW w:w="689" w:type="dxa"/>
            <w:tcBorders>
              <w:top w:val="nil"/>
              <w:left w:val="nil"/>
              <w:bottom w:val="nil"/>
              <w:right w:val="nil"/>
            </w:tcBorders>
            <w:shd w:val="clear" w:color="auto" w:fill="auto"/>
            <w:noWrap/>
            <w:vAlign w:val="bottom"/>
            <w:hideMark/>
          </w:tcPr>
          <w:p w14:paraId="6DB315B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25.3</w:t>
            </w:r>
          </w:p>
        </w:tc>
        <w:tc>
          <w:tcPr>
            <w:tcW w:w="1000" w:type="dxa"/>
            <w:tcBorders>
              <w:top w:val="nil"/>
              <w:left w:val="nil"/>
              <w:bottom w:val="nil"/>
              <w:right w:val="nil"/>
            </w:tcBorders>
            <w:shd w:val="clear" w:color="auto" w:fill="auto"/>
            <w:noWrap/>
            <w:vAlign w:val="bottom"/>
            <w:hideMark/>
          </w:tcPr>
          <w:p w14:paraId="0A55691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158.4</w:t>
            </w:r>
          </w:p>
        </w:tc>
      </w:tr>
      <w:tr w:rsidR="00F26016" w:rsidRPr="00F26016" w14:paraId="2930677B" w14:textId="77777777" w:rsidTr="00F26016">
        <w:trPr>
          <w:trHeight w:val="300"/>
        </w:trPr>
        <w:tc>
          <w:tcPr>
            <w:tcW w:w="1140" w:type="dxa"/>
            <w:tcBorders>
              <w:top w:val="nil"/>
              <w:left w:val="nil"/>
              <w:bottom w:val="nil"/>
              <w:right w:val="nil"/>
            </w:tcBorders>
            <w:shd w:val="clear" w:color="auto" w:fill="auto"/>
            <w:noWrap/>
            <w:hideMark/>
          </w:tcPr>
          <w:p w14:paraId="65DB00C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w:t>
            </w:r>
          </w:p>
        </w:tc>
        <w:tc>
          <w:tcPr>
            <w:tcW w:w="1200" w:type="dxa"/>
            <w:tcBorders>
              <w:top w:val="nil"/>
              <w:left w:val="nil"/>
              <w:bottom w:val="nil"/>
              <w:right w:val="nil"/>
            </w:tcBorders>
            <w:shd w:val="clear" w:color="auto" w:fill="auto"/>
            <w:noWrap/>
            <w:hideMark/>
          </w:tcPr>
          <w:p w14:paraId="1DB8D94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577491F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2E0FD53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30748DA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026C241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09B1D5C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066244E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02FB139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5.0</w:t>
            </w:r>
          </w:p>
        </w:tc>
        <w:tc>
          <w:tcPr>
            <w:tcW w:w="920" w:type="dxa"/>
            <w:tcBorders>
              <w:top w:val="nil"/>
              <w:left w:val="nil"/>
              <w:bottom w:val="nil"/>
              <w:right w:val="nil"/>
            </w:tcBorders>
            <w:shd w:val="clear" w:color="auto" w:fill="auto"/>
            <w:noWrap/>
            <w:vAlign w:val="bottom"/>
            <w:hideMark/>
          </w:tcPr>
          <w:p w14:paraId="752AD70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19.7</w:t>
            </w:r>
          </w:p>
        </w:tc>
        <w:tc>
          <w:tcPr>
            <w:tcW w:w="741" w:type="dxa"/>
            <w:tcBorders>
              <w:top w:val="nil"/>
              <w:left w:val="nil"/>
              <w:bottom w:val="nil"/>
              <w:right w:val="nil"/>
            </w:tcBorders>
            <w:shd w:val="clear" w:color="auto" w:fill="auto"/>
            <w:noWrap/>
            <w:vAlign w:val="bottom"/>
            <w:hideMark/>
          </w:tcPr>
          <w:p w14:paraId="07881EA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22.9</w:t>
            </w:r>
          </w:p>
        </w:tc>
        <w:tc>
          <w:tcPr>
            <w:tcW w:w="785" w:type="dxa"/>
            <w:tcBorders>
              <w:top w:val="nil"/>
              <w:left w:val="nil"/>
              <w:bottom w:val="nil"/>
              <w:right w:val="nil"/>
            </w:tcBorders>
            <w:shd w:val="clear" w:color="auto" w:fill="auto"/>
            <w:noWrap/>
            <w:vAlign w:val="bottom"/>
            <w:hideMark/>
          </w:tcPr>
          <w:p w14:paraId="0C0D86C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27.0</w:t>
            </w:r>
          </w:p>
        </w:tc>
        <w:tc>
          <w:tcPr>
            <w:tcW w:w="732" w:type="dxa"/>
            <w:tcBorders>
              <w:top w:val="nil"/>
              <w:left w:val="nil"/>
              <w:bottom w:val="nil"/>
              <w:right w:val="nil"/>
            </w:tcBorders>
            <w:shd w:val="clear" w:color="auto" w:fill="auto"/>
            <w:noWrap/>
            <w:vAlign w:val="bottom"/>
            <w:hideMark/>
          </w:tcPr>
          <w:p w14:paraId="7DF82F0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58.9</w:t>
            </w:r>
          </w:p>
        </w:tc>
        <w:tc>
          <w:tcPr>
            <w:tcW w:w="860" w:type="dxa"/>
            <w:tcBorders>
              <w:top w:val="nil"/>
              <w:left w:val="nil"/>
              <w:bottom w:val="nil"/>
              <w:right w:val="nil"/>
            </w:tcBorders>
            <w:shd w:val="clear" w:color="auto" w:fill="auto"/>
            <w:noWrap/>
            <w:vAlign w:val="bottom"/>
            <w:hideMark/>
          </w:tcPr>
          <w:p w14:paraId="3531C66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27.2</w:t>
            </w:r>
          </w:p>
        </w:tc>
        <w:tc>
          <w:tcPr>
            <w:tcW w:w="960" w:type="dxa"/>
            <w:tcBorders>
              <w:top w:val="nil"/>
              <w:left w:val="nil"/>
              <w:bottom w:val="nil"/>
              <w:right w:val="nil"/>
            </w:tcBorders>
            <w:shd w:val="clear" w:color="auto" w:fill="auto"/>
            <w:noWrap/>
            <w:vAlign w:val="bottom"/>
            <w:hideMark/>
          </w:tcPr>
          <w:p w14:paraId="5194948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43.2</w:t>
            </w:r>
          </w:p>
        </w:tc>
        <w:tc>
          <w:tcPr>
            <w:tcW w:w="689" w:type="dxa"/>
            <w:tcBorders>
              <w:top w:val="nil"/>
              <w:left w:val="nil"/>
              <w:bottom w:val="nil"/>
              <w:right w:val="nil"/>
            </w:tcBorders>
            <w:shd w:val="clear" w:color="auto" w:fill="auto"/>
            <w:noWrap/>
            <w:vAlign w:val="bottom"/>
            <w:hideMark/>
          </w:tcPr>
          <w:p w14:paraId="4C12498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943.1</w:t>
            </w:r>
          </w:p>
        </w:tc>
        <w:tc>
          <w:tcPr>
            <w:tcW w:w="1000" w:type="dxa"/>
            <w:tcBorders>
              <w:top w:val="nil"/>
              <w:left w:val="nil"/>
              <w:bottom w:val="nil"/>
              <w:right w:val="nil"/>
            </w:tcBorders>
            <w:shd w:val="clear" w:color="auto" w:fill="auto"/>
            <w:noWrap/>
            <w:vAlign w:val="bottom"/>
            <w:hideMark/>
          </w:tcPr>
          <w:p w14:paraId="749C3F2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143.3</w:t>
            </w:r>
          </w:p>
        </w:tc>
      </w:tr>
      <w:tr w:rsidR="00F26016" w:rsidRPr="00F26016" w14:paraId="2AFD9784" w14:textId="77777777" w:rsidTr="00F26016">
        <w:trPr>
          <w:trHeight w:val="300"/>
        </w:trPr>
        <w:tc>
          <w:tcPr>
            <w:tcW w:w="1140" w:type="dxa"/>
            <w:tcBorders>
              <w:top w:val="nil"/>
              <w:left w:val="nil"/>
              <w:bottom w:val="nil"/>
              <w:right w:val="nil"/>
            </w:tcBorders>
            <w:shd w:val="clear" w:color="auto" w:fill="auto"/>
            <w:noWrap/>
            <w:hideMark/>
          </w:tcPr>
          <w:p w14:paraId="40FEB41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w:t>
            </w:r>
          </w:p>
        </w:tc>
        <w:tc>
          <w:tcPr>
            <w:tcW w:w="1200" w:type="dxa"/>
            <w:tcBorders>
              <w:top w:val="nil"/>
              <w:left w:val="nil"/>
              <w:bottom w:val="nil"/>
              <w:right w:val="nil"/>
            </w:tcBorders>
            <w:shd w:val="clear" w:color="auto" w:fill="auto"/>
            <w:noWrap/>
            <w:hideMark/>
          </w:tcPr>
          <w:p w14:paraId="0650EC5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6986BE3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713BEED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2346840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6344A76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5BD6517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47FF12A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1F7C3A4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109.6</w:t>
            </w:r>
          </w:p>
        </w:tc>
        <w:tc>
          <w:tcPr>
            <w:tcW w:w="920" w:type="dxa"/>
            <w:tcBorders>
              <w:top w:val="nil"/>
              <w:left w:val="nil"/>
              <w:bottom w:val="nil"/>
              <w:right w:val="nil"/>
            </w:tcBorders>
            <w:shd w:val="clear" w:color="auto" w:fill="auto"/>
            <w:noWrap/>
            <w:vAlign w:val="bottom"/>
            <w:hideMark/>
          </w:tcPr>
          <w:p w14:paraId="7BD4C84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113.6</w:t>
            </w:r>
          </w:p>
        </w:tc>
        <w:tc>
          <w:tcPr>
            <w:tcW w:w="741" w:type="dxa"/>
            <w:tcBorders>
              <w:top w:val="nil"/>
              <w:left w:val="nil"/>
              <w:bottom w:val="nil"/>
              <w:right w:val="nil"/>
            </w:tcBorders>
            <w:shd w:val="clear" w:color="auto" w:fill="auto"/>
            <w:noWrap/>
            <w:vAlign w:val="bottom"/>
            <w:hideMark/>
          </w:tcPr>
          <w:p w14:paraId="2D1429C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319.0</w:t>
            </w:r>
          </w:p>
        </w:tc>
        <w:tc>
          <w:tcPr>
            <w:tcW w:w="785" w:type="dxa"/>
            <w:tcBorders>
              <w:top w:val="nil"/>
              <w:left w:val="nil"/>
              <w:bottom w:val="nil"/>
              <w:right w:val="nil"/>
            </w:tcBorders>
            <w:shd w:val="clear" w:color="auto" w:fill="auto"/>
            <w:noWrap/>
            <w:vAlign w:val="bottom"/>
            <w:hideMark/>
          </w:tcPr>
          <w:p w14:paraId="7992A28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92.8</w:t>
            </w:r>
          </w:p>
        </w:tc>
        <w:tc>
          <w:tcPr>
            <w:tcW w:w="732" w:type="dxa"/>
            <w:tcBorders>
              <w:top w:val="nil"/>
              <w:left w:val="nil"/>
              <w:bottom w:val="nil"/>
              <w:right w:val="nil"/>
            </w:tcBorders>
            <w:shd w:val="clear" w:color="auto" w:fill="auto"/>
            <w:noWrap/>
            <w:vAlign w:val="bottom"/>
            <w:hideMark/>
          </w:tcPr>
          <w:p w14:paraId="097332C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243.0</w:t>
            </w:r>
          </w:p>
        </w:tc>
        <w:tc>
          <w:tcPr>
            <w:tcW w:w="860" w:type="dxa"/>
            <w:tcBorders>
              <w:top w:val="nil"/>
              <w:left w:val="nil"/>
              <w:bottom w:val="nil"/>
              <w:right w:val="nil"/>
            </w:tcBorders>
            <w:shd w:val="clear" w:color="auto" w:fill="auto"/>
            <w:noWrap/>
            <w:vAlign w:val="bottom"/>
            <w:hideMark/>
          </w:tcPr>
          <w:p w14:paraId="237096D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187.2</w:t>
            </w:r>
          </w:p>
        </w:tc>
        <w:tc>
          <w:tcPr>
            <w:tcW w:w="960" w:type="dxa"/>
            <w:tcBorders>
              <w:top w:val="nil"/>
              <w:left w:val="nil"/>
              <w:bottom w:val="nil"/>
              <w:right w:val="nil"/>
            </w:tcBorders>
            <w:shd w:val="clear" w:color="auto" w:fill="auto"/>
            <w:noWrap/>
            <w:vAlign w:val="bottom"/>
            <w:hideMark/>
          </w:tcPr>
          <w:p w14:paraId="3157DB6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121.2</w:t>
            </w:r>
          </w:p>
        </w:tc>
        <w:tc>
          <w:tcPr>
            <w:tcW w:w="689" w:type="dxa"/>
            <w:tcBorders>
              <w:top w:val="nil"/>
              <w:left w:val="nil"/>
              <w:bottom w:val="nil"/>
              <w:right w:val="nil"/>
            </w:tcBorders>
            <w:shd w:val="clear" w:color="auto" w:fill="auto"/>
            <w:noWrap/>
            <w:vAlign w:val="bottom"/>
            <w:hideMark/>
          </w:tcPr>
          <w:p w14:paraId="1288A65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82.8</w:t>
            </w:r>
          </w:p>
        </w:tc>
        <w:tc>
          <w:tcPr>
            <w:tcW w:w="1000" w:type="dxa"/>
            <w:tcBorders>
              <w:top w:val="nil"/>
              <w:left w:val="nil"/>
              <w:bottom w:val="nil"/>
              <w:right w:val="nil"/>
            </w:tcBorders>
            <w:shd w:val="clear" w:color="auto" w:fill="auto"/>
            <w:noWrap/>
            <w:vAlign w:val="bottom"/>
            <w:hideMark/>
          </w:tcPr>
          <w:p w14:paraId="1F62C3C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108.9</w:t>
            </w:r>
          </w:p>
        </w:tc>
      </w:tr>
      <w:tr w:rsidR="00F26016" w:rsidRPr="00F26016" w14:paraId="2211C584" w14:textId="77777777" w:rsidTr="00F26016">
        <w:trPr>
          <w:trHeight w:val="300"/>
        </w:trPr>
        <w:tc>
          <w:tcPr>
            <w:tcW w:w="1140" w:type="dxa"/>
            <w:tcBorders>
              <w:top w:val="nil"/>
              <w:left w:val="nil"/>
              <w:bottom w:val="nil"/>
              <w:right w:val="nil"/>
            </w:tcBorders>
            <w:shd w:val="clear" w:color="auto" w:fill="auto"/>
            <w:noWrap/>
            <w:hideMark/>
          </w:tcPr>
          <w:p w14:paraId="5DAA5DD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w:t>
            </w:r>
          </w:p>
        </w:tc>
        <w:tc>
          <w:tcPr>
            <w:tcW w:w="1200" w:type="dxa"/>
            <w:tcBorders>
              <w:top w:val="nil"/>
              <w:left w:val="nil"/>
              <w:bottom w:val="nil"/>
              <w:right w:val="nil"/>
            </w:tcBorders>
            <w:shd w:val="clear" w:color="auto" w:fill="auto"/>
            <w:noWrap/>
            <w:hideMark/>
          </w:tcPr>
          <w:p w14:paraId="6BDF1ED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69AE926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6933DFD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061E6A0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57D6A09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5FDB284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75A515D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5942CD9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233.5</w:t>
            </w:r>
          </w:p>
        </w:tc>
        <w:tc>
          <w:tcPr>
            <w:tcW w:w="920" w:type="dxa"/>
            <w:tcBorders>
              <w:top w:val="nil"/>
              <w:left w:val="nil"/>
              <w:bottom w:val="nil"/>
              <w:right w:val="nil"/>
            </w:tcBorders>
            <w:shd w:val="clear" w:color="auto" w:fill="auto"/>
            <w:noWrap/>
            <w:vAlign w:val="bottom"/>
            <w:hideMark/>
          </w:tcPr>
          <w:p w14:paraId="72D5EB9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63.2</w:t>
            </w:r>
          </w:p>
        </w:tc>
        <w:tc>
          <w:tcPr>
            <w:tcW w:w="741" w:type="dxa"/>
            <w:tcBorders>
              <w:top w:val="nil"/>
              <w:left w:val="nil"/>
              <w:bottom w:val="nil"/>
              <w:right w:val="nil"/>
            </w:tcBorders>
            <w:shd w:val="clear" w:color="auto" w:fill="auto"/>
            <w:noWrap/>
            <w:vAlign w:val="bottom"/>
            <w:hideMark/>
          </w:tcPr>
          <w:p w14:paraId="13BC534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91.2</w:t>
            </w:r>
          </w:p>
        </w:tc>
        <w:tc>
          <w:tcPr>
            <w:tcW w:w="785" w:type="dxa"/>
            <w:tcBorders>
              <w:top w:val="nil"/>
              <w:left w:val="nil"/>
              <w:bottom w:val="nil"/>
              <w:right w:val="nil"/>
            </w:tcBorders>
            <w:shd w:val="clear" w:color="auto" w:fill="auto"/>
            <w:noWrap/>
            <w:vAlign w:val="bottom"/>
            <w:hideMark/>
          </w:tcPr>
          <w:p w14:paraId="3AD4A19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66.5</w:t>
            </w:r>
          </w:p>
        </w:tc>
        <w:tc>
          <w:tcPr>
            <w:tcW w:w="732" w:type="dxa"/>
            <w:tcBorders>
              <w:top w:val="nil"/>
              <w:left w:val="nil"/>
              <w:bottom w:val="nil"/>
              <w:right w:val="nil"/>
            </w:tcBorders>
            <w:shd w:val="clear" w:color="auto" w:fill="auto"/>
            <w:noWrap/>
            <w:vAlign w:val="bottom"/>
            <w:hideMark/>
          </w:tcPr>
          <w:p w14:paraId="0A47F7E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894.8</w:t>
            </w:r>
          </w:p>
        </w:tc>
        <w:tc>
          <w:tcPr>
            <w:tcW w:w="860" w:type="dxa"/>
            <w:tcBorders>
              <w:top w:val="nil"/>
              <w:left w:val="nil"/>
              <w:bottom w:val="nil"/>
              <w:right w:val="nil"/>
            </w:tcBorders>
            <w:shd w:val="clear" w:color="auto" w:fill="auto"/>
            <w:noWrap/>
            <w:vAlign w:val="bottom"/>
            <w:hideMark/>
          </w:tcPr>
          <w:p w14:paraId="05FED8F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127.4</w:t>
            </w:r>
          </w:p>
        </w:tc>
        <w:tc>
          <w:tcPr>
            <w:tcW w:w="960" w:type="dxa"/>
            <w:tcBorders>
              <w:top w:val="nil"/>
              <w:left w:val="nil"/>
              <w:bottom w:val="nil"/>
              <w:right w:val="nil"/>
            </w:tcBorders>
            <w:shd w:val="clear" w:color="auto" w:fill="auto"/>
            <w:noWrap/>
            <w:vAlign w:val="bottom"/>
            <w:hideMark/>
          </w:tcPr>
          <w:p w14:paraId="1CD5AF4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60.1</w:t>
            </w:r>
          </w:p>
        </w:tc>
        <w:tc>
          <w:tcPr>
            <w:tcW w:w="689" w:type="dxa"/>
            <w:tcBorders>
              <w:top w:val="nil"/>
              <w:left w:val="nil"/>
              <w:bottom w:val="nil"/>
              <w:right w:val="nil"/>
            </w:tcBorders>
            <w:shd w:val="clear" w:color="auto" w:fill="auto"/>
            <w:noWrap/>
            <w:vAlign w:val="bottom"/>
            <w:hideMark/>
          </w:tcPr>
          <w:p w14:paraId="4CB312A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65.6</w:t>
            </w:r>
          </w:p>
        </w:tc>
        <w:tc>
          <w:tcPr>
            <w:tcW w:w="1000" w:type="dxa"/>
            <w:tcBorders>
              <w:top w:val="nil"/>
              <w:left w:val="nil"/>
              <w:bottom w:val="nil"/>
              <w:right w:val="nil"/>
            </w:tcBorders>
            <w:shd w:val="clear" w:color="auto" w:fill="auto"/>
            <w:noWrap/>
            <w:vAlign w:val="bottom"/>
            <w:hideMark/>
          </w:tcPr>
          <w:p w14:paraId="0CE0AB2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184.7</w:t>
            </w:r>
          </w:p>
        </w:tc>
      </w:tr>
      <w:tr w:rsidR="00F26016" w:rsidRPr="00F26016" w14:paraId="183A0C79" w14:textId="77777777" w:rsidTr="00F26016">
        <w:trPr>
          <w:trHeight w:val="300"/>
        </w:trPr>
        <w:tc>
          <w:tcPr>
            <w:tcW w:w="1140" w:type="dxa"/>
            <w:tcBorders>
              <w:top w:val="nil"/>
              <w:left w:val="nil"/>
              <w:bottom w:val="nil"/>
              <w:right w:val="nil"/>
            </w:tcBorders>
            <w:shd w:val="clear" w:color="auto" w:fill="auto"/>
            <w:noWrap/>
            <w:hideMark/>
          </w:tcPr>
          <w:p w14:paraId="1ED3191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w:t>
            </w:r>
          </w:p>
        </w:tc>
        <w:tc>
          <w:tcPr>
            <w:tcW w:w="1200" w:type="dxa"/>
            <w:tcBorders>
              <w:top w:val="nil"/>
              <w:left w:val="nil"/>
              <w:bottom w:val="nil"/>
              <w:right w:val="nil"/>
            </w:tcBorders>
            <w:shd w:val="clear" w:color="auto" w:fill="auto"/>
            <w:noWrap/>
            <w:hideMark/>
          </w:tcPr>
          <w:p w14:paraId="237673C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12446CC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660D5C0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298FE3D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10256A0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0661791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646F4C6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1CD4197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3.2</w:t>
            </w:r>
          </w:p>
        </w:tc>
        <w:tc>
          <w:tcPr>
            <w:tcW w:w="920" w:type="dxa"/>
            <w:tcBorders>
              <w:top w:val="nil"/>
              <w:left w:val="nil"/>
              <w:bottom w:val="nil"/>
              <w:right w:val="nil"/>
            </w:tcBorders>
            <w:shd w:val="clear" w:color="auto" w:fill="auto"/>
            <w:noWrap/>
            <w:vAlign w:val="bottom"/>
            <w:hideMark/>
          </w:tcPr>
          <w:p w14:paraId="0FE0B2B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18.2</w:t>
            </w:r>
          </w:p>
        </w:tc>
        <w:tc>
          <w:tcPr>
            <w:tcW w:w="741" w:type="dxa"/>
            <w:tcBorders>
              <w:top w:val="nil"/>
              <w:left w:val="nil"/>
              <w:bottom w:val="nil"/>
              <w:right w:val="nil"/>
            </w:tcBorders>
            <w:shd w:val="clear" w:color="auto" w:fill="auto"/>
            <w:noWrap/>
            <w:vAlign w:val="bottom"/>
            <w:hideMark/>
          </w:tcPr>
          <w:p w14:paraId="3A358FF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31.8</w:t>
            </w:r>
          </w:p>
        </w:tc>
        <w:tc>
          <w:tcPr>
            <w:tcW w:w="785" w:type="dxa"/>
            <w:tcBorders>
              <w:top w:val="nil"/>
              <w:left w:val="nil"/>
              <w:bottom w:val="nil"/>
              <w:right w:val="nil"/>
            </w:tcBorders>
            <w:shd w:val="clear" w:color="auto" w:fill="auto"/>
            <w:noWrap/>
            <w:vAlign w:val="bottom"/>
            <w:hideMark/>
          </w:tcPr>
          <w:p w14:paraId="33E1D7D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31.9</w:t>
            </w:r>
          </w:p>
        </w:tc>
        <w:tc>
          <w:tcPr>
            <w:tcW w:w="732" w:type="dxa"/>
            <w:tcBorders>
              <w:top w:val="nil"/>
              <w:left w:val="nil"/>
              <w:bottom w:val="nil"/>
              <w:right w:val="nil"/>
            </w:tcBorders>
            <w:shd w:val="clear" w:color="auto" w:fill="auto"/>
            <w:noWrap/>
            <w:vAlign w:val="bottom"/>
            <w:hideMark/>
          </w:tcPr>
          <w:p w14:paraId="7A233C4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39.1</w:t>
            </w:r>
          </w:p>
        </w:tc>
        <w:tc>
          <w:tcPr>
            <w:tcW w:w="860" w:type="dxa"/>
            <w:tcBorders>
              <w:top w:val="nil"/>
              <w:left w:val="nil"/>
              <w:bottom w:val="nil"/>
              <w:right w:val="nil"/>
            </w:tcBorders>
            <w:shd w:val="clear" w:color="auto" w:fill="auto"/>
            <w:noWrap/>
            <w:vAlign w:val="bottom"/>
            <w:hideMark/>
          </w:tcPr>
          <w:p w14:paraId="34CB9D4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17.4</w:t>
            </w:r>
          </w:p>
        </w:tc>
        <w:tc>
          <w:tcPr>
            <w:tcW w:w="960" w:type="dxa"/>
            <w:tcBorders>
              <w:top w:val="nil"/>
              <w:left w:val="nil"/>
              <w:bottom w:val="nil"/>
              <w:right w:val="nil"/>
            </w:tcBorders>
            <w:shd w:val="clear" w:color="auto" w:fill="auto"/>
            <w:noWrap/>
            <w:vAlign w:val="bottom"/>
            <w:hideMark/>
          </w:tcPr>
          <w:p w14:paraId="025E470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38.8</w:t>
            </w:r>
          </w:p>
        </w:tc>
        <w:tc>
          <w:tcPr>
            <w:tcW w:w="689" w:type="dxa"/>
            <w:tcBorders>
              <w:top w:val="nil"/>
              <w:left w:val="nil"/>
              <w:bottom w:val="nil"/>
              <w:right w:val="nil"/>
            </w:tcBorders>
            <w:shd w:val="clear" w:color="auto" w:fill="auto"/>
            <w:noWrap/>
            <w:vAlign w:val="bottom"/>
            <w:hideMark/>
          </w:tcPr>
          <w:p w14:paraId="75D87A6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427.3</w:t>
            </w:r>
          </w:p>
        </w:tc>
        <w:tc>
          <w:tcPr>
            <w:tcW w:w="1000" w:type="dxa"/>
            <w:tcBorders>
              <w:top w:val="nil"/>
              <w:left w:val="nil"/>
              <w:bottom w:val="nil"/>
              <w:right w:val="nil"/>
            </w:tcBorders>
            <w:shd w:val="clear" w:color="auto" w:fill="auto"/>
            <w:noWrap/>
            <w:vAlign w:val="bottom"/>
            <w:hideMark/>
          </w:tcPr>
          <w:p w14:paraId="0CDD134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155.8</w:t>
            </w:r>
          </w:p>
        </w:tc>
      </w:tr>
      <w:tr w:rsidR="00F26016" w:rsidRPr="00F26016" w14:paraId="03E3515D" w14:textId="77777777" w:rsidTr="00F26016">
        <w:trPr>
          <w:trHeight w:val="300"/>
        </w:trPr>
        <w:tc>
          <w:tcPr>
            <w:tcW w:w="1140" w:type="dxa"/>
            <w:tcBorders>
              <w:top w:val="nil"/>
              <w:left w:val="nil"/>
              <w:bottom w:val="nil"/>
              <w:right w:val="nil"/>
            </w:tcBorders>
            <w:shd w:val="clear" w:color="auto" w:fill="auto"/>
            <w:noWrap/>
            <w:hideMark/>
          </w:tcPr>
          <w:p w14:paraId="05FD4AD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w:t>
            </w:r>
          </w:p>
        </w:tc>
        <w:tc>
          <w:tcPr>
            <w:tcW w:w="1200" w:type="dxa"/>
            <w:tcBorders>
              <w:top w:val="nil"/>
              <w:left w:val="nil"/>
              <w:bottom w:val="nil"/>
              <w:right w:val="nil"/>
            </w:tcBorders>
            <w:shd w:val="clear" w:color="auto" w:fill="auto"/>
            <w:noWrap/>
            <w:hideMark/>
          </w:tcPr>
          <w:p w14:paraId="612CB52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0B2E88F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13491F8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774A856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00ECD60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18DC808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5E3B595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25DE461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83.0</w:t>
            </w:r>
          </w:p>
        </w:tc>
        <w:tc>
          <w:tcPr>
            <w:tcW w:w="920" w:type="dxa"/>
            <w:tcBorders>
              <w:top w:val="nil"/>
              <w:left w:val="nil"/>
              <w:bottom w:val="nil"/>
              <w:right w:val="nil"/>
            </w:tcBorders>
            <w:shd w:val="clear" w:color="auto" w:fill="auto"/>
            <w:noWrap/>
            <w:vAlign w:val="bottom"/>
            <w:hideMark/>
          </w:tcPr>
          <w:p w14:paraId="5B33B16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86.2</w:t>
            </w:r>
          </w:p>
        </w:tc>
        <w:tc>
          <w:tcPr>
            <w:tcW w:w="741" w:type="dxa"/>
            <w:tcBorders>
              <w:top w:val="nil"/>
              <w:left w:val="nil"/>
              <w:bottom w:val="nil"/>
              <w:right w:val="nil"/>
            </w:tcBorders>
            <w:shd w:val="clear" w:color="auto" w:fill="auto"/>
            <w:noWrap/>
            <w:vAlign w:val="bottom"/>
            <w:hideMark/>
          </w:tcPr>
          <w:p w14:paraId="692A90F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274.5</w:t>
            </w:r>
          </w:p>
        </w:tc>
        <w:tc>
          <w:tcPr>
            <w:tcW w:w="785" w:type="dxa"/>
            <w:tcBorders>
              <w:top w:val="nil"/>
              <w:left w:val="nil"/>
              <w:bottom w:val="nil"/>
              <w:right w:val="nil"/>
            </w:tcBorders>
            <w:shd w:val="clear" w:color="auto" w:fill="auto"/>
            <w:noWrap/>
            <w:vAlign w:val="bottom"/>
            <w:hideMark/>
          </w:tcPr>
          <w:p w14:paraId="210842E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61.3</w:t>
            </w:r>
          </w:p>
        </w:tc>
        <w:tc>
          <w:tcPr>
            <w:tcW w:w="732" w:type="dxa"/>
            <w:tcBorders>
              <w:top w:val="nil"/>
              <w:left w:val="nil"/>
              <w:bottom w:val="nil"/>
              <w:right w:val="nil"/>
            </w:tcBorders>
            <w:shd w:val="clear" w:color="auto" w:fill="auto"/>
            <w:noWrap/>
            <w:vAlign w:val="bottom"/>
            <w:hideMark/>
          </w:tcPr>
          <w:p w14:paraId="54FC46D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164.8</w:t>
            </w:r>
          </w:p>
        </w:tc>
        <w:tc>
          <w:tcPr>
            <w:tcW w:w="860" w:type="dxa"/>
            <w:tcBorders>
              <w:top w:val="nil"/>
              <w:left w:val="nil"/>
              <w:bottom w:val="nil"/>
              <w:right w:val="nil"/>
            </w:tcBorders>
            <w:shd w:val="clear" w:color="auto" w:fill="auto"/>
            <w:noWrap/>
            <w:vAlign w:val="bottom"/>
            <w:hideMark/>
          </w:tcPr>
          <w:p w14:paraId="6D37015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101.7</w:t>
            </w:r>
          </w:p>
        </w:tc>
        <w:tc>
          <w:tcPr>
            <w:tcW w:w="960" w:type="dxa"/>
            <w:tcBorders>
              <w:top w:val="nil"/>
              <w:left w:val="nil"/>
              <w:bottom w:val="nil"/>
              <w:right w:val="nil"/>
            </w:tcBorders>
            <w:shd w:val="clear" w:color="auto" w:fill="auto"/>
            <w:noWrap/>
            <w:vAlign w:val="bottom"/>
            <w:hideMark/>
          </w:tcPr>
          <w:p w14:paraId="723B793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102.4</w:t>
            </w:r>
          </w:p>
        </w:tc>
        <w:tc>
          <w:tcPr>
            <w:tcW w:w="689" w:type="dxa"/>
            <w:tcBorders>
              <w:top w:val="nil"/>
              <w:left w:val="nil"/>
              <w:bottom w:val="nil"/>
              <w:right w:val="nil"/>
            </w:tcBorders>
            <w:shd w:val="clear" w:color="auto" w:fill="auto"/>
            <w:noWrap/>
            <w:vAlign w:val="bottom"/>
            <w:hideMark/>
          </w:tcPr>
          <w:p w14:paraId="6EA7052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727.4</w:t>
            </w:r>
          </w:p>
        </w:tc>
        <w:tc>
          <w:tcPr>
            <w:tcW w:w="1000" w:type="dxa"/>
            <w:tcBorders>
              <w:top w:val="nil"/>
              <w:left w:val="nil"/>
              <w:bottom w:val="nil"/>
              <w:right w:val="nil"/>
            </w:tcBorders>
            <w:shd w:val="clear" w:color="auto" w:fill="auto"/>
            <w:noWrap/>
            <w:vAlign w:val="bottom"/>
            <w:hideMark/>
          </w:tcPr>
          <w:p w14:paraId="187CB97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129.7</w:t>
            </w:r>
          </w:p>
        </w:tc>
      </w:tr>
      <w:tr w:rsidR="00F26016" w:rsidRPr="00F26016" w14:paraId="799E85C8" w14:textId="77777777" w:rsidTr="00F26016">
        <w:trPr>
          <w:trHeight w:val="300"/>
        </w:trPr>
        <w:tc>
          <w:tcPr>
            <w:tcW w:w="1140" w:type="dxa"/>
            <w:tcBorders>
              <w:top w:val="nil"/>
              <w:left w:val="nil"/>
              <w:bottom w:val="nil"/>
              <w:right w:val="nil"/>
            </w:tcBorders>
            <w:shd w:val="clear" w:color="auto" w:fill="auto"/>
            <w:noWrap/>
            <w:hideMark/>
          </w:tcPr>
          <w:p w14:paraId="42B5156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w:t>
            </w:r>
          </w:p>
        </w:tc>
        <w:tc>
          <w:tcPr>
            <w:tcW w:w="1200" w:type="dxa"/>
            <w:tcBorders>
              <w:top w:val="nil"/>
              <w:left w:val="nil"/>
              <w:bottom w:val="nil"/>
              <w:right w:val="nil"/>
            </w:tcBorders>
            <w:shd w:val="clear" w:color="auto" w:fill="auto"/>
            <w:noWrap/>
            <w:hideMark/>
          </w:tcPr>
          <w:p w14:paraId="3804031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0CF752F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073582E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2AEB96D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2B073F9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501ED97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4A88CB9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7CF7769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116.0</w:t>
            </w:r>
          </w:p>
        </w:tc>
        <w:tc>
          <w:tcPr>
            <w:tcW w:w="920" w:type="dxa"/>
            <w:tcBorders>
              <w:top w:val="nil"/>
              <w:left w:val="nil"/>
              <w:bottom w:val="nil"/>
              <w:right w:val="nil"/>
            </w:tcBorders>
            <w:shd w:val="clear" w:color="auto" w:fill="auto"/>
            <w:noWrap/>
            <w:vAlign w:val="bottom"/>
            <w:hideMark/>
          </w:tcPr>
          <w:p w14:paraId="3C8E2A3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42.6</w:t>
            </w:r>
          </w:p>
        </w:tc>
        <w:tc>
          <w:tcPr>
            <w:tcW w:w="741" w:type="dxa"/>
            <w:tcBorders>
              <w:top w:val="nil"/>
              <w:left w:val="nil"/>
              <w:bottom w:val="nil"/>
              <w:right w:val="nil"/>
            </w:tcBorders>
            <w:shd w:val="clear" w:color="auto" w:fill="auto"/>
            <w:noWrap/>
            <w:vAlign w:val="bottom"/>
            <w:hideMark/>
          </w:tcPr>
          <w:p w14:paraId="34F58CD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24.5</w:t>
            </w:r>
          </w:p>
        </w:tc>
        <w:tc>
          <w:tcPr>
            <w:tcW w:w="785" w:type="dxa"/>
            <w:tcBorders>
              <w:top w:val="nil"/>
              <w:left w:val="nil"/>
              <w:bottom w:val="nil"/>
              <w:right w:val="nil"/>
            </w:tcBorders>
            <w:shd w:val="clear" w:color="auto" w:fill="auto"/>
            <w:noWrap/>
            <w:vAlign w:val="bottom"/>
            <w:hideMark/>
          </w:tcPr>
          <w:p w14:paraId="4B2800C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26.2</w:t>
            </w:r>
          </w:p>
        </w:tc>
        <w:tc>
          <w:tcPr>
            <w:tcW w:w="732" w:type="dxa"/>
            <w:tcBorders>
              <w:top w:val="nil"/>
              <w:left w:val="nil"/>
              <w:bottom w:val="nil"/>
              <w:right w:val="nil"/>
            </w:tcBorders>
            <w:shd w:val="clear" w:color="auto" w:fill="auto"/>
            <w:noWrap/>
            <w:vAlign w:val="bottom"/>
            <w:hideMark/>
          </w:tcPr>
          <w:p w14:paraId="58B367E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147.2</w:t>
            </w:r>
          </w:p>
        </w:tc>
        <w:tc>
          <w:tcPr>
            <w:tcW w:w="860" w:type="dxa"/>
            <w:tcBorders>
              <w:top w:val="nil"/>
              <w:left w:val="nil"/>
              <w:bottom w:val="nil"/>
              <w:right w:val="nil"/>
            </w:tcBorders>
            <w:shd w:val="clear" w:color="auto" w:fill="auto"/>
            <w:noWrap/>
            <w:vAlign w:val="bottom"/>
            <w:hideMark/>
          </w:tcPr>
          <w:p w14:paraId="75A5E1E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201.1</w:t>
            </w:r>
          </w:p>
        </w:tc>
        <w:tc>
          <w:tcPr>
            <w:tcW w:w="960" w:type="dxa"/>
            <w:tcBorders>
              <w:top w:val="nil"/>
              <w:left w:val="nil"/>
              <w:bottom w:val="nil"/>
              <w:right w:val="nil"/>
            </w:tcBorders>
            <w:shd w:val="clear" w:color="auto" w:fill="auto"/>
            <w:noWrap/>
            <w:vAlign w:val="bottom"/>
            <w:hideMark/>
          </w:tcPr>
          <w:p w14:paraId="77D95F9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54.7</w:t>
            </w:r>
          </w:p>
        </w:tc>
        <w:tc>
          <w:tcPr>
            <w:tcW w:w="689" w:type="dxa"/>
            <w:tcBorders>
              <w:top w:val="nil"/>
              <w:left w:val="nil"/>
              <w:bottom w:val="nil"/>
              <w:right w:val="nil"/>
            </w:tcBorders>
            <w:shd w:val="clear" w:color="auto" w:fill="auto"/>
            <w:noWrap/>
            <w:vAlign w:val="bottom"/>
            <w:hideMark/>
          </w:tcPr>
          <w:p w14:paraId="6934447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38.9</w:t>
            </w:r>
          </w:p>
        </w:tc>
        <w:tc>
          <w:tcPr>
            <w:tcW w:w="1000" w:type="dxa"/>
            <w:tcBorders>
              <w:top w:val="nil"/>
              <w:left w:val="nil"/>
              <w:bottom w:val="nil"/>
              <w:right w:val="nil"/>
            </w:tcBorders>
            <w:shd w:val="clear" w:color="auto" w:fill="auto"/>
            <w:noWrap/>
            <w:vAlign w:val="bottom"/>
            <w:hideMark/>
          </w:tcPr>
          <w:p w14:paraId="1533A71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181.3</w:t>
            </w:r>
          </w:p>
        </w:tc>
      </w:tr>
      <w:tr w:rsidR="00F26016" w:rsidRPr="00F26016" w14:paraId="1D02BA79" w14:textId="77777777" w:rsidTr="00F26016">
        <w:trPr>
          <w:trHeight w:val="300"/>
        </w:trPr>
        <w:tc>
          <w:tcPr>
            <w:tcW w:w="1140" w:type="dxa"/>
            <w:tcBorders>
              <w:top w:val="nil"/>
              <w:left w:val="nil"/>
              <w:bottom w:val="nil"/>
              <w:right w:val="nil"/>
            </w:tcBorders>
            <w:shd w:val="clear" w:color="auto" w:fill="auto"/>
            <w:noWrap/>
            <w:hideMark/>
          </w:tcPr>
          <w:p w14:paraId="517F34B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w:t>
            </w:r>
          </w:p>
        </w:tc>
        <w:tc>
          <w:tcPr>
            <w:tcW w:w="1200" w:type="dxa"/>
            <w:tcBorders>
              <w:top w:val="nil"/>
              <w:left w:val="nil"/>
              <w:bottom w:val="nil"/>
              <w:right w:val="nil"/>
            </w:tcBorders>
            <w:shd w:val="clear" w:color="auto" w:fill="auto"/>
            <w:noWrap/>
            <w:hideMark/>
          </w:tcPr>
          <w:p w14:paraId="1816B32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39E3315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5BE79D9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5F96317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1FF4096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701A961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46FC644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5BA061C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9.5</w:t>
            </w:r>
          </w:p>
        </w:tc>
        <w:tc>
          <w:tcPr>
            <w:tcW w:w="920" w:type="dxa"/>
            <w:tcBorders>
              <w:top w:val="nil"/>
              <w:left w:val="nil"/>
              <w:bottom w:val="nil"/>
              <w:right w:val="nil"/>
            </w:tcBorders>
            <w:shd w:val="clear" w:color="auto" w:fill="auto"/>
            <w:noWrap/>
            <w:vAlign w:val="bottom"/>
            <w:hideMark/>
          </w:tcPr>
          <w:p w14:paraId="32D48CB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9.2</w:t>
            </w:r>
          </w:p>
        </w:tc>
        <w:tc>
          <w:tcPr>
            <w:tcW w:w="741" w:type="dxa"/>
            <w:tcBorders>
              <w:top w:val="nil"/>
              <w:left w:val="nil"/>
              <w:bottom w:val="nil"/>
              <w:right w:val="nil"/>
            </w:tcBorders>
            <w:shd w:val="clear" w:color="auto" w:fill="auto"/>
            <w:noWrap/>
            <w:vAlign w:val="bottom"/>
            <w:hideMark/>
          </w:tcPr>
          <w:p w14:paraId="1F2694B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20.7</w:t>
            </w:r>
          </w:p>
        </w:tc>
        <w:tc>
          <w:tcPr>
            <w:tcW w:w="785" w:type="dxa"/>
            <w:tcBorders>
              <w:top w:val="nil"/>
              <w:left w:val="nil"/>
              <w:bottom w:val="nil"/>
              <w:right w:val="nil"/>
            </w:tcBorders>
            <w:shd w:val="clear" w:color="auto" w:fill="auto"/>
            <w:noWrap/>
            <w:vAlign w:val="bottom"/>
            <w:hideMark/>
          </w:tcPr>
          <w:p w14:paraId="2623A9E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20.1</w:t>
            </w:r>
          </w:p>
        </w:tc>
        <w:tc>
          <w:tcPr>
            <w:tcW w:w="732" w:type="dxa"/>
            <w:tcBorders>
              <w:top w:val="nil"/>
              <w:left w:val="nil"/>
              <w:bottom w:val="nil"/>
              <w:right w:val="nil"/>
            </w:tcBorders>
            <w:shd w:val="clear" w:color="auto" w:fill="auto"/>
            <w:noWrap/>
            <w:vAlign w:val="bottom"/>
            <w:hideMark/>
          </w:tcPr>
          <w:p w14:paraId="413943E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30.3</w:t>
            </w:r>
          </w:p>
        </w:tc>
        <w:tc>
          <w:tcPr>
            <w:tcW w:w="860" w:type="dxa"/>
            <w:tcBorders>
              <w:top w:val="nil"/>
              <w:left w:val="nil"/>
              <w:bottom w:val="nil"/>
              <w:right w:val="nil"/>
            </w:tcBorders>
            <w:shd w:val="clear" w:color="auto" w:fill="auto"/>
            <w:noWrap/>
            <w:vAlign w:val="bottom"/>
            <w:hideMark/>
          </w:tcPr>
          <w:p w14:paraId="4CEED7F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20.7</w:t>
            </w:r>
          </w:p>
        </w:tc>
        <w:tc>
          <w:tcPr>
            <w:tcW w:w="960" w:type="dxa"/>
            <w:tcBorders>
              <w:top w:val="nil"/>
              <w:left w:val="nil"/>
              <w:bottom w:val="nil"/>
              <w:right w:val="nil"/>
            </w:tcBorders>
            <w:shd w:val="clear" w:color="auto" w:fill="auto"/>
            <w:noWrap/>
            <w:vAlign w:val="bottom"/>
            <w:hideMark/>
          </w:tcPr>
          <w:p w14:paraId="01E04A3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28.6</w:t>
            </w:r>
          </w:p>
        </w:tc>
        <w:tc>
          <w:tcPr>
            <w:tcW w:w="689" w:type="dxa"/>
            <w:tcBorders>
              <w:top w:val="nil"/>
              <w:left w:val="nil"/>
              <w:bottom w:val="nil"/>
              <w:right w:val="nil"/>
            </w:tcBorders>
            <w:shd w:val="clear" w:color="auto" w:fill="auto"/>
            <w:noWrap/>
            <w:vAlign w:val="bottom"/>
            <w:hideMark/>
          </w:tcPr>
          <w:p w14:paraId="148CFDC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519.8</w:t>
            </w:r>
          </w:p>
        </w:tc>
        <w:tc>
          <w:tcPr>
            <w:tcW w:w="1000" w:type="dxa"/>
            <w:tcBorders>
              <w:top w:val="nil"/>
              <w:left w:val="nil"/>
              <w:bottom w:val="nil"/>
              <w:right w:val="nil"/>
            </w:tcBorders>
            <w:shd w:val="clear" w:color="auto" w:fill="auto"/>
            <w:noWrap/>
            <w:vAlign w:val="bottom"/>
            <w:hideMark/>
          </w:tcPr>
          <w:p w14:paraId="7FEF5E5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142.5</w:t>
            </w:r>
          </w:p>
        </w:tc>
      </w:tr>
      <w:tr w:rsidR="00F26016" w:rsidRPr="00F26016" w14:paraId="7FE241B8" w14:textId="77777777" w:rsidTr="00F26016">
        <w:trPr>
          <w:trHeight w:val="300"/>
        </w:trPr>
        <w:tc>
          <w:tcPr>
            <w:tcW w:w="1140" w:type="dxa"/>
            <w:tcBorders>
              <w:top w:val="nil"/>
              <w:left w:val="nil"/>
              <w:bottom w:val="nil"/>
              <w:right w:val="nil"/>
            </w:tcBorders>
            <w:shd w:val="clear" w:color="auto" w:fill="auto"/>
            <w:noWrap/>
            <w:hideMark/>
          </w:tcPr>
          <w:p w14:paraId="0CB8747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w:t>
            </w:r>
          </w:p>
        </w:tc>
        <w:tc>
          <w:tcPr>
            <w:tcW w:w="1200" w:type="dxa"/>
            <w:tcBorders>
              <w:top w:val="nil"/>
              <w:left w:val="nil"/>
              <w:bottom w:val="nil"/>
              <w:right w:val="nil"/>
            </w:tcBorders>
            <w:shd w:val="clear" w:color="auto" w:fill="auto"/>
            <w:noWrap/>
            <w:hideMark/>
          </w:tcPr>
          <w:p w14:paraId="1B59087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41A7AF0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58F17C0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4330CB8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41FCB47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16A4ECF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5023732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7B04AA0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58.6</w:t>
            </w:r>
          </w:p>
        </w:tc>
        <w:tc>
          <w:tcPr>
            <w:tcW w:w="920" w:type="dxa"/>
            <w:tcBorders>
              <w:top w:val="nil"/>
              <w:left w:val="nil"/>
              <w:bottom w:val="nil"/>
              <w:right w:val="nil"/>
            </w:tcBorders>
            <w:shd w:val="clear" w:color="auto" w:fill="auto"/>
            <w:noWrap/>
            <w:vAlign w:val="bottom"/>
            <w:hideMark/>
          </w:tcPr>
          <w:p w14:paraId="7CFCB89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84.2</w:t>
            </w:r>
          </w:p>
        </w:tc>
        <w:tc>
          <w:tcPr>
            <w:tcW w:w="741" w:type="dxa"/>
            <w:tcBorders>
              <w:top w:val="nil"/>
              <w:left w:val="nil"/>
              <w:bottom w:val="nil"/>
              <w:right w:val="nil"/>
            </w:tcBorders>
            <w:shd w:val="clear" w:color="auto" w:fill="auto"/>
            <w:noWrap/>
            <w:vAlign w:val="bottom"/>
            <w:hideMark/>
          </w:tcPr>
          <w:p w14:paraId="0642937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250.7</w:t>
            </w:r>
          </w:p>
        </w:tc>
        <w:tc>
          <w:tcPr>
            <w:tcW w:w="785" w:type="dxa"/>
            <w:tcBorders>
              <w:top w:val="nil"/>
              <w:left w:val="nil"/>
              <w:bottom w:val="nil"/>
              <w:right w:val="nil"/>
            </w:tcBorders>
            <w:shd w:val="clear" w:color="auto" w:fill="auto"/>
            <w:noWrap/>
            <w:vAlign w:val="bottom"/>
            <w:hideMark/>
          </w:tcPr>
          <w:p w14:paraId="431ED8A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64.6</w:t>
            </w:r>
          </w:p>
        </w:tc>
        <w:tc>
          <w:tcPr>
            <w:tcW w:w="732" w:type="dxa"/>
            <w:tcBorders>
              <w:top w:val="nil"/>
              <w:left w:val="nil"/>
              <w:bottom w:val="nil"/>
              <w:right w:val="nil"/>
            </w:tcBorders>
            <w:shd w:val="clear" w:color="auto" w:fill="auto"/>
            <w:noWrap/>
            <w:vAlign w:val="bottom"/>
            <w:hideMark/>
          </w:tcPr>
          <w:p w14:paraId="116B260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29.8</w:t>
            </w:r>
          </w:p>
        </w:tc>
        <w:tc>
          <w:tcPr>
            <w:tcW w:w="860" w:type="dxa"/>
            <w:tcBorders>
              <w:top w:val="nil"/>
              <w:left w:val="nil"/>
              <w:bottom w:val="nil"/>
              <w:right w:val="nil"/>
            </w:tcBorders>
            <w:shd w:val="clear" w:color="auto" w:fill="auto"/>
            <w:noWrap/>
            <w:vAlign w:val="bottom"/>
            <w:hideMark/>
          </w:tcPr>
          <w:p w14:paraId="569F022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68.5</w:t>
            </w:r>
          </w:p>
        </w:tc>
        <w:tc>
          <w:tcPr>
            <w:tcW w:w="960" w:type="dxa"/>
            <w:tcBorders>
              <w:top w:val="nil"/>
              <w:left w:val="nil"/>
              <w:bottom w:val="nil"/>
              <w:right w:val="nil"/>
            </w:tcBorders>
            <w:shd w:val="clear" w:color="auto" w:fill="auto"/>
            <w:noWrap/>
            <w:vAlign w:val="bottom"/>
            <w:hideMark/>
          </w:tcPr>
          <w:p w14:paraId="2D229F0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120.4</w:t>
            </w:r>
          </w:p>
        </w:tc>
        <w:tc>
          <w:tcPr>
            <w:tcW w:w="689" w:type="dxa"/>
            <w:tcBorders>
              <w:top w:val="nil"/>
              <w:left w:val="nil"/>
              <w:bottom w:val="nil"/>
              <w:right w:val="nil"/>
            </w:tcBorders>
            <w:shd w:val="clear" w:color="auto" w:fill="auto"/>
            <w:noWrap/>
            <w:vAlign w:val="bottom"/>
            <w:hideMark/>
          </w:tcPr>
          <w:p w14:paraId="243BE25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725.2</w:t>
            </w:r>
          </w:p>
        </w:tc>
        <w:tc>
          <w:tcPr>
            <w:tcW w:w="1000" w:type="dxa"/>
            <w:tcBorders>
              <w:top w:val="nil"/>
              <w:left w:val="nil"/>
              <w:bottom w:val="nil"/>
              <w:right w:val="nil"/>
            </w:tcBorders>
            <w:shd w:val="clear" w:color="auto" w:fill="auto"/>
            <w:noWrap/>
            <w:vAlign w:val="bottom"/>
            <w:hideMark/>
          </w:tcPr>
          <w:p w14:paraId="286683F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134.4</w:t>
            </w:r>
          </w:p>
        </w:tc>
      </w:tr>
      <w:tr w:rsidR="00F26016" w:rsidRPr="00F26016" w14:paraId="3B54A02F" w14:textId="77777777" w:rsidTr="00F26016">
        <w:trPr>
          <w:trHeight w:val="300"/>
        </w:trPr>
        <w:tc>
          <w:tcPr>
            <w:tcW w:w="1140" w:type="dxa"/>
            <w:tcBorders>
              <w:top w:val="nil"/>
              <w:left w:val="nil"/>
              <w:bottom w:val="nil"/>
              <w:right w:val="nil"/>
            </w:tcBorders>
            <w:shd w:val="clear" w:color="auto" w:fill="auto"/>
            <w:noWrap/>
            <w:hideMark/>
          </w:tcPr>
          <w:p w14:paraId="2600349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w:t>
            </w:r>
          </w:p>
        </w:tc>
        <w:tc>
          <w:tcPr>
            <w:tcW w:w="1200" w:type="dxa"/>
            <w:tcBorders>
              <w:top w:val="nil"/>
              <w:left w:val="nil"/>
              <w:bottom w:val="nil"/>
              <w:right w:val="nil"/>
            </w:tcBorders>
            <w:shd w:val="clear" w:color="auto" w:fill="auto"/>
            <w:noWrap/>
            <w:hideMark/>
          </w:tcPr>
          <w:p w14:paraId="70EF662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2B2E5DA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2CCAA85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75A96DB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7FE4052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69A7E35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68C8956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7217AD3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259.0</w:t>
            </w:r>
          </w:p>
        </w:tc>
        <w:tc>
          <w:tcPr>
            <w:tcW w:w="920" w:type="dxa"/>
            <w:tcBorders>
              <w:top w:val="nil"/>
              <w:left w:val="nil"/>
              <w:bottom w:val="nil"/>
              <w:right w:val="nil"/>
            </w:tcBorders>
            <w:shd w:val="clear" w:color="auto" w:fill="auto"/>
            <w:noWrap/>
            <w:vAlign w:val="bottom"/>
            <w:hideMark/>
          </w:tcPr>
          <w:p w14:paraId="115CDDF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40.1</w:t>
            </w:r>
          </w:p>
        </w:tc>
        <w:tc>
          <w:tcPr>
            <w:tcW w:w="741" w:type="dxa"/>
            <w:tcBorders>
              <w:top w:val="nil"/>
              <w:left w:val="nil"/>
              <w:bottom w:val="nil"/>
              <w:right w:val="nil"/>
            </w:tcBorders>
            <w:shd w:val="clear" w:color="auto" w:fill="auto"/>
            <w:noWrap/>
            <w:vAlign w:val="bottom"/>
            <w:hideMark/>
          </w:tcPr>
          <w:p w14:paraId="32BB1AA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83.7</w:t>
            </w:r>
          </w:p>
        </w:tc>
        <w:tc>
          <w:tcPr>
            <w:tcW w:w="785" w:type="dxa"/>
            <w:tcBorders>
              <w:top w:val="nil"/>
              <w:left w:val="nil"/>
              <w:bottom w:val="nil"/>
              <w:right w:val="nil"/>
            </w:tcBorders>
            <w:shd w:val="clear" w:color="auto" w:fill="auto"/>
            <w:noWrap/>
            <w:vAlign w:val="bottom"/>
            <w:hideMark/>
          </w:tcPr>
          <w:p w14:paraId="4EF94F2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67.9</w:t>
            </w:r>
          </w:p>
        </w:tc>
        <w:tc>
          <w:tcPr>
            <w:tcW w:w="732" w:type="dxa"/>
            <w:tcBorders>
              <w:top w:val="nil"/>
              <w:left w:val="nil"/>
              <w:bottom w:val="nil"/>
              <w:right w:val="nil"/>
            </w:tcBorders>
            <w:shd w:val="clear" w:color="auto" w:fill="auto"/>
            <w:noWrap/>
            <w:vAlign w:val="bottom"/>
            <w:hideMark/>
          </w:tcPr>
          <w:p w14:paraId="4D5F767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1135.4</w:t>
            </w:r>
          </w:p>
        </w:tc>
        <w:tc>
          <w:tcPr>
            <w:tcW w:w="860" w:type="dxa"/>
            <w:tcBorders>
              <w:top w:val="nil"/>
              <w:left w:val="nil"/>
              <w:bottom w:val="nil"/>
              <w:right w:val="nil"/>
            </w:tcBorders>
            <w:shd w:val="clear" w:color="auto" w:fill="auto"/>
            <w:noWrap/>
            <w:vAlign w:val="bottom"/>
            <w:hideMark/>
          </w:tcPr>
          <w:p w14:paraId="6251B75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85.9</w:t>
            </w:r>
          </w:p>
        </w:tc>
        <w:tc>
          <w:tcPr>
            <w:tcW w:w="960" w:type="dxa"/>
            <w:tcBorders>
              <w:top w:val="nil"/>
              <w:left w:val="nil"/>
              <w:bottom w:val="nil"/>
              <w:right w:val="nil"/>
            </w:tcBorders>
            <w:shd w:val="clear" w:color="auto" w:fill="auto"/>
            <w:noWrap/>
            <w:vAlign w:val="bottom"/>
            <w:hideMark/>
          </w:tcPr>
          <w:p w14:paraId="73F41A5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74.3</w:t>
            </w:r>
          </w:p>
        </w:tc>
        <w:tc>
          <w:tcPr>
            <w:tcW w:w="689" w:type="dxa"/>
            <w:tcBorders>
              <w:top w:val="nil"/>
              <w:left w:val="nil"/>
              <w:bottom w:val="nil"/>
              <w:right w:val="nil"/>
            </w:tcBorders>
            <w:shd w:val="clear" w:color="auto" w:fill="auto"/>
            <w:noWrap/>
            <w:vAlign w:val="bottom"/>
            <w:hideMark/>
          </w:tcPr>
          <w:p w14:paraId="76A448B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366.6</w:t>
            </w:r>
          </w:p>
        </w:tc>
        <w:tc>
          <w:tcPr>
            <w:tcW w:w="1000" w:type="dxa"/>
            <w:tcBorders>
              <w:top w:val="nil"/>
              <w:left w:val="nil"/>
              <w:bottom w:val="nil"/>
              <w:right w:val="nil"/>
            </w:tcBorders>
            <w:shd w:val="clear" w:color="auto" w:fill="auto"/>
            <w:noWrap/>
            <w:vAlign w:val="bottom"/>
            <w:hideMark/>
          </w:tcPr>
          <w:p w14:paraId="1787445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183.2</w:t>
            </w:r>
          </w:p>
        </w:tc>
      </w:tr>
      <w:tr w:rsidR="00F26016" w:rsidRPr="00F26016" w14:paraId="5D7CB1B6" w14:textId="77777777" w:rsidTr="00F26016">
        <w:trPr>
          <w:trHeight w:val="300"/>
        </w:trPr>
        <w:tc>
          <w:tcPr>
            <w:tcW w:w="1140" w:type="dxa"/>
            <w:tcBorders>
              <w:top w:val="nil"/>
              <w:left w:val="nil"/>
              <w:bottom w:val="nil"/>
              <w:right w:val="nil"/>
            </w:tcBorders>
            <w:shd w:val="clear" w:color="auto" w:fill="auto"/>
            <w:noWrap/>
            <w:hideMark/>
          </w:tcPr>
          <w:p w14:paraId="3891ECD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w:t>
            </w:r>
          </w:p>
        </w:tc>
        <w:tc>
          <w:tcPr>
            <w:tcW w:w="1200" w:type="dxa"/>
            <w:tcBorders>
              <w:top w:val="nil"/>
              <w:left w:val="nil"/>
              <w:bottom w:val="nil"/>
              <w:right w:val="nil"/>
            </w:tcBorders>
            <w:shd w:val="clear" w:color="auto" w:fill="auto"/>
            <w:noWrap/>
            <w:hideMark/>
          </w:tcPr>
          <w:p w14:paraId="5138A03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046663B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670B931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42166A4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70F874A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06A0B18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5DC6F64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34E3267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3.9</w:t>
            </w:r>
          </w:p>
        </w:tc>
        <w:tc>
          <w:tcPr>
            <w:tcW w:w="920" w:type="dxa"/>
            <w:tcBorders>
              <w:top w:val="nil"/>
              <w:left w:val="nil"/>
              <w:bottom w:val="nil"/>
              <w:right w:val="nil"/>
            </w:tcBorders>
            <w:shd w:val="clear" w:color="auto" w:fill="auto"/>
            <w:noWrap/>
            <w:vAlign w:val="bottom"/>
            <w:hideMark/>
          </w:tcPr>
          <w:p w14:paraId="0948465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36.7</w:t>
            </w:r>
          </w:p>
        </w:tc>
        <w:tc>
          <w:tcPr>
            <w:tcW w:w="741" w:type="dxa"/>
            <w:tcBorders>
              <w:top w:val="nil"/>
              <w:left w:val="nil"/>
              <w:bottom w:val="nil"/>
              <w:right w:val="nil"/>
            </w:tcBorders>
            <w:shd w:val="clear" w:color="auto" w:fill="auto"/>
            <w:noWrap/>
            <w:vAlign w:val="bottom"/>
            <w:hideMark/>
          </w:tcPr>
          <w:p w14:paraId="34BED1D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29.8</w:t>
            </w:r>
          </w:p>
        </w:tc>
        <w:tc>
          <w:tcPr>
            <w:tcW w:w="785" w:type="dxa"/>
            <w:tcBorders>
              <w:top w:val="nil"/>
              <w:left w:val="nil"/>
              <w:bottom w:val="nil"/>
              <w:right w:val="nil"/>
            </w:tcBorders>
            <w:shd w:val="clear" w:color="auto" w:fill="auto"/>
            <w:noWrap/>
            <w:vAlign w:val="bottom"/>
            <w:hideMark/>
          </w:tcPr>
          <w:p w14:paraId="1785105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28.3</w:t>
            </w:r>
          </w:p>
        </w:tc>
        <w:tc>
          <w:tcPr>
            <w:tcW w:w="732" w:type="dxa"/>
            <w:tcBorders>
              <w:top w:val="nil"/>
              <w:left w:val="nil"/>
              <w:bottom w:val="nil"/>
              <w:right w:val="nil"/>
            </w:tcBorders>
            <w:shd w:val="clear" w:color="auto" w:fill="auto"/>
            <w:noWrap/>
            <w:vAlign w:val="bottom"/>
            <w:hideMark/>
          </w:tcPr>
          <w:p w14:paraId="66D03D9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79.7</w:t>
            </w:r>
          </w:p>
        </w:tc>
        <w:tc>
          <w:tcPr>
            <w:tcW w:w="860" w:type="dxa"/>
            <w:tcBorders>
              <w:top w:val="nil"/>
              <w:left w:val="nil"/>
              <w:bottom w:val="nil"/>
              <w:right w:val="nil"/>
            </w:tcBorders>
            <w:shd w:val="clear" w:color="auto" w:fill="auto"/>
            <w:noWrap/>
            <w:vAlign w:val="bottom"/>
            <w:hideMark/>
          </w:tcPr>
          <w:p w14:paraId="5DD7598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35.7</w:t>
            </w:r>
          </w:p>
        </w:tc>
        <w:tc>
          <w:tcPr>
            <w:tcW w:w="960" w:type="dxa"/>
            <w:tcBorders>
              <w:top w:val="nil"/>
              <w:left w:val="nil"/>
              <w:bottom w:val="nil"/>
              <w:right w:val="nil"/>
            </w:tcBorders>
            <w:shd w:val="clear" w:color="auto" w:fill="auto"/>
            <w:noWrap/>
            <w:vAlign w:val="bottom"/>
            <w:hideMark/>
          </w:tcPr>
          <w:p w14:paraId="2991F55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83.7</w:t>
            </w:r>
          </w:p>
        </w:tc>
        <w:tc>
          <w:tcPr>
            <w:tcW w:w="689" w:type="dxa"/>
            <w:tcBorders>
              <w:top w:val="nil"/>
              <w:left w:val="nil"/>
              <w:bottom w:val="nil"/>
              <w:right w:val="nil"/>
            </w:tcBorders>
            <w:shd w:val="clear" w:color="auto" w:fill="auto"/>
            <w:noWrap/>
            <w:vAlign w:val="bottom"/>
            <w:hideMark/>
          </w:tcPr>
          <w:p w14:paraId="5F7EFDE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629.0</w:t>
            </w:r>
          </w:p>
        </w:tc>
        <w:tc>
          <w:tcPr>
            <w:tcW w:w="1000" w:type="dxa"/>
            <w:tcBorders>
              <w:top w:val="nil"/>
              <w:left w:val="nil"/>
              <w:bottom w:val="nil"/>
              <w:right w:val="nil"/>
            </w:tcBorders>
            <w:shd w:val="clear" w:color="auto" w:fill="auto"/>
            <w:noWrap/>
            <w:vAlign w:val="bottom"/>
            <w:hideMark/>
          </w:tcPr>
          <w:p w14:paraId="25DE555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132.5</w:t>
            </w:r>
          </w:p>
        </w:tc>
      </w:tr>
      <w:tr w:rsidR="00F26016" w:rsidRPr="00F26016" w14:paraId="398F02C6" w14:textId="77777777" w:rsidTr="00F26016">
        <w:trPr>
          <w:trHeight w:val="300"/>
        </w:trPr>
        <w:tc>
          <w:tcPr>
            <w:tcW w:w="1140" w:type="dxa"/>
            <w:tcBorders>
              <w:top w:val="nil"/>
              <w:left w:val="nil"/>
              <w:bottom w:val="nil"/>
              <w:right w:val="nil"/>
            </w:tcBorders>
            <w:shd w:val="clear" w:color="auto" w:fill="auto"/>
            <w:noWrap/>
            <w:hideMark/>
          </w:tcPr>
          <w:p w14:paraId="13BA7B6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w:t>
            </w:r>
          </w:p>
        </w:tc>
        <w:tc>
          <w:tcPr>
            <w:tcW w:w="1200" w:type="dxa"/>
            <w:tcBorders>
              <w:top w:val="nil"/>
              <w:left w:val="nil"/>
              <w:bottom w:val="nil"/>
              <w:right w:val="nil"/>
            </w:tcBorders>
            <w:shd w:val="clear" w:color="auto" w:fill="auto"/>
            <w:noWrap/>
            <w:hideMark/>
          </w:tcPr>
          <w:p w14:paraId="741D8BB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2C85CF2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24683BA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4DC5F3A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3E22048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1500</w:t>
            </w:r>
          </w:p>
        </w:tc>
        <w:tc>
          <w:tcPr>
            <w:tcW w:w="780" w:type="dxa"/>
            <w:tcBorders>
              <w:top w:val="nil"/>
              <w:left w:val="nil"/>
              <w:bottom w:val="nil"/>
              <w:right w:val="nil"/>
            </w:tcBorders>
            <w:shd w:val="clear" w:color="auto" w:fill="auto"/>
            <w:noWrap/>
            <w:hideMark/>
          </w:tcPr>
          <w:p w14:paraId="3A153A6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5B6DC56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660" w:type="dxa"/>
            <w:tcBorders>
              <w:top w:val="nil"/>
              <w:left w:val="nil"/>
              <w:bottom w:val="nil"/>
              <w:right w:val="nil"/>
            </w:tcBorders>
            <w:shd w:val="clear" w:color="auto" w:fill="auto"/>
            <w:noWrap/>
            <w:vAlign w:val="bottom"/>
            <w:hideMark/>
          </w:tcPr>
          <w:p w14:paraId="1D3AC74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76.8</w:t>
            </w:r>
          </w:p>
        </w:tc>
        <w:tc>
          <w:tcPr>
            <w:tcW w:w="920" w:type="dxa"/>
            <w:tcBorders>
              <w:top w:val="nil"/>
              <w:left w:val="nil"/>
              <w:bottom w:val="nil"/>
              <w:right w:val="nil"/>
            </w:tcBorders>
            <w:shd w:val="clear" w:color="auto" w:fill="auto"/>
            <w:noWrap/>
            <w:vAlign w:val="bottom"/>
            <w:hideMark/>
          </w:tcPr>
          <w:p w14:paraId="72FCA85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83.0</w:t>
            </w:r>
          </w:p>
        </w:tc>
        <w:tc>
          <w:tcPr>
            <w:tcW w:w="741" w:type="dxa"/>
            <w:tcBorders>
              <w:top w:val="nil"/>
              <w:left w:val="nil"/>
              <w:bottom w:val="nil"/>
              <w:right w:val="nil"/>
            </w:tcBorders>
            <w:shd w:val="clear" w:color="auto" w:fill="auto"/>
            <w:noWrap/>
            <w:vAlign w:val="bottom"/>
            <w:hideMark/>
          </w:tcPr>
          <w:p w14:paraId="61D3FE5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291.9</w:t>
            </w:r>
          </w:p>
        </w:tc>
        <w:tc>
          <w:tcPr>
            <w:tcW w:w="785" w:type="dxa"/>
            <w:tcBorders>
              <w:top w:val="nil"/>
              <w:left w:val="nil"/>
              <w:bottom w:val="nil"/>
              <w:right w:val="nil"/>
            </w:tcBorders>
            <w:shd w:val="clear" w:color="auto" w:fill="auto"/>
            <w:noWrap/>
            <w:vAlign w:val="bottom"/>
            <w:hideMark/>
          </w:tcPr>
          <w:p w14:paraId="1CD1CB9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120.7</w:t>
            </w:r>
          </w:p>
        </w:tc>
        <w:tc>
          <w:tcPr>
            <w:tcW w:w="732" w:type="dxa"/>
            <w:tcBorders>
              <w:top w:val="nil"/>
              <w:left w:val="nil"/>
              <w:bottom w:val="nil"/>
              <w:right w:val="nil"/>
            </w:tcBorders>
            <w:shd w:val="clear" w:color="auto" w:fill="auto"/>
            <w:noWrap/>
            <w:vAlign w:val="bottom"/>
            <w:hideMark/>
          </w:tcPr>
          <w:p w14:paraId="377C343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54.8</w:t>
            </w:r>
          </w:p>
        </w:tc>
        <w:tc>
          <w:tcPr>
            <w:tcW w:w="860" w:type="dxa"/>
            <w:tcBorders>
              <w:top w:val="nil"/>
              <w:left w:val="nil"/>
              <w:bottom w:val="nil"/>
              <w:right w:val="nil"/>
            </w:tcBorders>
            <w:shd w:val="clear" w:color="auto" w:fill="auto"/>
            <w:noWrap/>
            <w:vAlign w:val="bottom"/>
            <w:hideMark/>
          </w:tcPr>
          <w:p w14:paraId="32EC5CC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93.8</w:t>
            </w:r>
          </w:p>
        </w:tc>
        <w:tc>
          <w:tcPr>
            <w:tcW w:w="960" w:type="dxa"/>
            <w:tcBorders>
              <w:top w:val="nil"/>
              <w:left w:val="nil"/>
              <w:bottom w:val="nil"/>
              <w:right w:val="nil"/>
            </w:tcBorders>
            <w:shd w:val="clear" w:color="auto" w:fill="auto"/>
            <w:noWrap/>
            <w:vAlign w:val="bottom"/>
            <w:hideMark/>
          </w:tcPr>
          <w:p w14:paraId="30B0119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181.1</w:t>
            </w:r>
          </w:p>
        </w:tc>
        <w:tc>
          <w:tcPr>
            <w:tcW w:w="689" w:type="dxa"/>
            <w:tcBorders>
              <w:top w:val="nil"/>
              <w:left w:val="nil"/>
              <w:bottom w:val="nil"/>
              <w:right w:val="nil"/>
            </w:tcBorders>
            <w:shd w:val="clear" w:color="auto" w:fill="auto"/>
            <w:noWrap/>
            <w:vAlign w:val="bottom"/>
            <w:hideMark/>
          </w:tcPr>
          <w:p w14:paraId="6DA08D4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246.5</w:t>
            </w:r>
          </w:p>
        </w:tc>
        <w:tc>
          <w:tcPr>
            <w:tcW w:w="1000" w:type="dxa"/>
            <w:tcBorders>
              <w:top w:val="nil"/>
              <w:left w:val="nil"/>
              <w:bottom w:val="nil"/>
              <w:right w:val="nil"/>
            </w:tcBorders>
            <w:shd w:val="clear" w:color="auto" w:fill="auto"/>
            <w:noWrap/>
            <w:vAlign w:val="bottom"/>
            <w:hideMark/>
          </w:tcPr>
          <w:p w14:paraId="43589D1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125.9</w:t>
            </w:r>
          </w:p>
        </w:tc>
      </w:tr>
      <w:tr w:rsidR="00F26016" w:rsidRPr="00F26016" w14:paraId="56682CB6" w14:textId="77777777" w:rsidTr="00F26016">
        <w:trPr>
          <w:trHeight w:val="300"/>
        </w:trPr>
        <w:tc>
          <w:tcPr>
            <w:tcW w:w="1140" w:type="dxa"/>
            <w:tcBorders>
              <w:top w:val="nil"/>
              <w:left w:val="nil"/>
              <w:bottom w:val="nil"/>
              <w:right w:val="nil"/>
            </w:tcBorders>
            <w:shd w:val="clear" w:color="auto" w:fill="auto"/>
            <w:noWrap/>
            <w:hideMark/>
          </w:tcPr>
          <w:p w14:paraId="3E6A3F1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w:t>
            </w:r>
          </w:p>
        </w:tc>
        <w:tc>
          <w:tcPr>
            <w:tcW w:w="1200" w:type="dxa"/>
            <w:tcBorders>
              <w:top w:val="nil"/>
              <w:left w:val="nil"/>
              <w:bottom w:val="nil"/>
              <w:right w:val="nil"/>
            </w:tcBorders>
            <w:shd w:val="clear" w:color="auto" w:fill="auto"/>
            <w:noWrap/>
            <w:hideMark/>
          </w:tcPr>
          <w:p w14:paraId="0D035B6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54D6568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3DC290A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6C330F3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7DDB503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61A1912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0E4AFF3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6E2D4CE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204.5</w:t>
            </w:r>
          </w:p>
        </w:tc>
        <w:tc>
          <w:tcPr>
            <w:tcW w:w="920" w:type="dxa"/>
            <w:tcBorders>
              <w:top w:val="nil"/>
              <w:left w:val="nil"/>
              <w:bottom w:val="nil"/>
              <w:right w:val="nil"/>
            </w:tcBorders>
            <w:shd w:val="clear" w:color="auto" w:fill="auto"/>
            <w:noWrap/>
            <w:vAlign w:val="bottom"/>
            <w:hideMark/>
          </w:tcPr>
          <w:p w14:paraId="5AEBF9A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19.1</w:t>
            </w:r>
          </w:p>
        </w:tc>
        <w:tc>
          <w:tcPr>
            <w:tcW w:w="741" w:type="dxa"/>
            <w:tcBorders>
              <w:top w:val="nil"/>
              <w:left w:val="nil"/>
              <w:bottom w:val="nil"/>
              <w:right w:val="nil"/>
            </w:tcBorders>
            <w:shd w:val="clear" w:color="auto" w:fill="auto"/>
            <w:noWrap/>
            <w:vAlign w:val="bottom"/>
            <w:hideMark/>
          </w:tcPr>
          <w:p w14:paraId="29D6783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15.7</w:t>
            </w:r>
          </w:p>
        </w:tc>
        <w:tc>
          <w:tcPr>
            <w:tcW w:w="785" w:type="dxa"/>
            <w:tcBorders>
              <w:top w:val="nil"/>
              <w:left w:val="nil"/>
              <w:bottom w:val="nil"/>
              <w:right w:val="nil"/>
            </w:tcBorders>
            <w:shd w:val="clear" w:color="auto" w:fill="auto"/>
            <w:noWrap/>
            <w:vAlign w:val="bottom"/>
            <w:hideMark/>
          </w:tcPr>
          <w:p w14:paraId="23CF381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10.3</w:t>
            </w:r>
          </w:p>
        </w:tc>
        <w:tc>
          <w:tcPr>
            <w:tcW w:w="732" w:type="dxa"/>
            <w:tcBorders>
              <w:top w:val="nil"/>
              <w:left w:val="nil"/>
              <w:bottom w:val="nil"/>
              <w:right w:val="nil"/>
            </w:tcBorders>
            <w:shd w:val="clear" w:color="auto" w:fill="auto"/>
            <w:noWrap/>
            <w:vAlign w:val="bottom"/>
            <w:hideMark/>
          </w:tcPr>
          <w:p w14:paraId="5FA891B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925.8</w:t>
            </w:r>
          </w:p>
        </w:tc>
        <w:tc>
          <w:tcPr>
            <w:tcW w:w="860" w:type="dxa"/>
            <w:tcBorders>
              <w:top w:val="nil"/>
              <w:left w:val="nil"/>
              <w:bottom w:val="nil"/>
              <w:right w:val="nil"/>
            </w:tcBorders>
            <w:shd w:val="clear" w:color="auto" w:fill="auto"/>
            <w:noWrap/>
            <w:vAlign w:val="bottom"/>
            <w:hideMark/>
          </w:tcPr>
          <w:p w14:paraId="60EB09D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14.3</w:t>
            </w:r>
          </w:p>
        </w:tc>
        <w:tc>
          <w:tcPr>
            <w:tcW w:w="960" w:type="dxa"/>
            <w:tcBorders>
              <w:top w:val="nil"/>
              <w:left w:val="nil"/>
              <w:bottom w:val="nil"/>
              <w:right w:val="nil"/>
            </w:tcBorders>
            <w:shd w:val="clear" w:color="auto" w:fill="auto"/>
            <w:noWrap/>
            <w:vAlign w:val="bottom"/>
            <w:hideMark/>
          </w:tcPr>
          <w:p w14:paraId="33E69B8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189.5</w:t>
            </w:r>
          </w:p>
        </w:tc>
        <w:tc>
          <w:tcPr>
            <w:tcW w:w="689" w:type="dxa"/>
            <w:tcBorders>
              <w:top w:val="nil"/>
              <w:left w:val="nil"/>
              <w:bottom w:val="nil"/>
              <w:right w:val="nil"/>
            </w:tcBorders>
            <w:shd w:val="clear" w:color="auto" w:fill="auto"/>
            <w:noWrap/>
            <w:vAlign w:val="bottom"/>
            <w:hideMark/>
          </w:tcPr>
          <w:p w14:paraId="30E9A35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369.7</w:t>
            </w:r>
          </w:p>
        </w:tc>
        <w:tc>
          <w:tcPr>
            <w:tcW w:w="1000" w:type="dxa"/>
            <w:tcBorders>
              <w:top w:val="nil"/>
              <w:left w:val="nil"/>
              <w:bottom w:val="nil"/>
              <w:right w:val="nil"/>
            </w:tcBorders>
            <w:shd w:val="clear" w:color="auto" w:fill="auto"/>
            <w:noWrap/>
            <w:vAlign w:val="bottom"/>
            <w:hideMark/>
          </w:tcPr>
          <w:p w14:paraId="0E2C593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206.0</w:t>
            </w:r>
          </w:p>
        </w:tc>
      </w:tr>
      <w:tr w:rsidR="00F26016" w:rsidRPr="00F26016" w14:paraId="5D50A070" w14:textId="77777777" w:rsidTr="00F26016">
        <w:trPr>
          <w:trHeight w:val="300"/>
        </w:trPr>
        <w:tc>
          <w:tcPr>
            <w:tcW w:w="1140" w:type="dxa"/>
            <w:tcBorders>
              <w:top w:val="nil"/>
              <w:left w:val="nil"/>
              <w:bottom w:val="nil"/>
              <w:right w:val="nil"/>
            </w:tcBorders>
            <w:shd w:val="clear" w:color="auto" w:fill="auto"/>
            <w:noWrap/>
            <w:hideMark/>
          </w:tcPr>
          <w:p w14:paraId="75881AC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w:t>
            </w:r>
          </w:p>
        </w:tc>
        <w:tc>
          <w:tcPr>
            <w:tcW w:w="1200" w:type="dxa"/>
            <w:tcBorders>
              <w:top w:val="nil"/>
              <w:left w:val="nil"/>
              <w:bottom w:val="nil"/>
              <w:right w:val="nil"/>
            </w:tcBorders>
            <w:shd w:val="clear" w:color="auto" w:fill="auto"/>
            <w:noWrap/>
            <w:hideMark/>
          </w:tcPr>
          <w:p w14:paraId="017759C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5ABAC32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49DCEBE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3B521E0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585800E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4328C8B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0EA8B99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79E3EC8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w:t>
            </w:r>
          </w:p>
        </w:tc>
        <w:tc>
          <w:tcPr>
            <w:tcW w:w="920" w:type="dxa"/>
            <w:tcBorders>
              <w:top w:val="nil"/>
              <w:left w:val="nil"/>
              <w:bottom w:val="nil"/>
              <w:right w:val="nil"/>
            </w:tcBorders>
            <w:shd w:val="clear" w:color="auto" w:fill="auto"/>
            <w:noWrap/>
            <w:vAlign w:val="bottom"/>
            <w:hideMark/>
          </w:tcPr>
          <w:p w14:paraId="37F5023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10.0</w:t>
            </w:r>
          </w:p>
        </w:tc>
        <w:tc>
          <w:tcPr>
            <w:tcW w:w="741" w:type="dxa"/>
            <w:tcBorders>
              <w:top w:val="nil"/>
              <w:left w:val="nil"/>
              <w:bottom w:val="nil"/>
              <w:right w:val="nil"/>
            </w:tcBorders>
            <w:shd w:val="clear" w:color="auto" w:fill="auto"/>
            <w:noWrap/>
            <w:vAlign w:val="bottom"/>
            <w:hideMark/>
          </w:tcPr>
          <w:p w14:paraId="4D63648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8.4</w:t>
            </w:r>
          </w:p>
        </w:tc>
        <w:tc>
          <w:tcPr>
            <w:tcW w:w="785" w:type="dxa"/>
            <w:tcBorders>
              <w:top w:val="nil"/>
              <w:left w:val="nil"/>
              <w:bottom w:val="nil"/>
              <w:right w:val="nil"/>
            </w:tcBorders>
            <w:shd w:val="clear" w:color="auto" w:fill="auto"/>
            <w:noWrap/>
            <w:vAlign w:val="bottom"/>
            <w:hideMark/>
          </w:tcPr>
          <w:p w14:paraId="791479B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10.6</w:t>
            </w:r>
          </w:p>
        </w:tc>
        <w:tc>
          <w:tcPr>
            <w:tcW w:w="732" w:type="dxa"/>
            <w:tcBorders>
              <w:top w:val="nil"/>
              <w:left w:val="nil"/>
              <w:bottom w:val="nil"/>
              <w:right w:val="nil"/>
            </w:tcBorders>
            <w:shd w:val="clear" w:color="auto" w:fill="auto"/>
            <w:noWrap/>
            <w:vAlign w:val="bottom"/>
            <w:hideMark/>
          </w:tcPr>
          <w:p w14:paraId="218F3AA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65.5</w:t>
            </w:r>
          </w:p>
        </w:tc>
        <w:tc>
          <w:tcPr>
            <w:tcW w:w="860" w:type="dxa"/>
            <w:tcBorders>
              <w:top w:val="nil"/>
              <w:left w:val="nil"/>
              <w:bottom w:val="nil"/>
              <w:right w:val="nil"/>
            </w:tcBorders>
            <w:shd w:val="clear" w:color="auto" w:fill="auto"/>
            <w:noWrap/>
            <w:vAlign w:val="bottom"/>
            <w:hideMark/>
          </w:tcPr>
          <w:p w14:paraId="0ECAD1C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15.5</w:t>
            </w:r>
          </w:p>
        </w:tc>
        <w:tc>
          <w:tcPr>
            <w:tcW w:w="960" w:type="dxa"/>
            <w:tcBorders>
              <w:top w:val="nil"/>
              <w:left w:val="nil"/>
              <w:bottom w:val="nil"/>
              <w:right w:val="nil"/>
            </w:tcBorders>
            <w:shd w:val="clear" w:color="auto" w:fill="auto"/>
            <w:noWrap/>
            <w:vAlign w:val="bottom"/>
            <w:hideMark/>
          </w:tcPr>
          <w:p w14:paraId="15DF358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60.1</w:t>
            </w:r>
          </w:p>
        </w:tc>
        <w:tc>
          <w:tcPr>
            <w:tcW w:w="689" w:type="dxa"/>
            <w:tcBorders>
              <w:top w:val="nil"/>
              <w:left w:val="nil"/>
              <w:bottom w:val="nil"/>
              <w:right w:val="nil"/>
            </w:tcBorders>
            <w:shd w:val="clear" w:color="auto" w:fill="auto"/>
            <w:noWrap/>
            <w:vAlign w:val="bottom"/>
            <w:hideMark/>
          </w:tcPr>
          <w:p w14:paraId="2F14911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620.6</w:t>
            </w:r>
          </w:p>
        </w:tc>
        <w:tc>
          <w:tcPr>
            <w:tcW w:w="1000" w:type="dxa"/>
            <w:tcBorders>
              <w:top w:val="nil"/>
              <w:left w:val="nil"/>
              <w:bottom w:val="nil"/>
              <w:right w:val="nil"/>
            </w:tcBorders>
            <w:shd w:val="clear" w:color="auto" w:fill="auto"/>
            <w:noWrap/>
            <w:vAlign w:val="bottom"/>
            <w:hideMark/>
          </w:tcPr>
          <w:p w14:paraId="4310246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155.0</w:t>
            </w:r>
          </w:p>
        </w:tc>
      </w:tr>
      <w:tr w:rsidR="00F26016" w:rsidRPr="00F26016" w14:paraId="5E48CB04" w14:textId="77777777" w:rsidTr="00F26016">
        <w:trPr>
          <w:trHeight w:val="300"/>
        </w:trPr>
        <w:tc>
          <w:tcPr>
            <w:tcW w:w="1140" w:type="dxa"/>
            <w:tcBorders>
              <w:top w:val="nil"/>
              <w:left w:val="nil"/>
              <w:bottom w:val="nil"/>
              <w:right w:val="nil"/>
            </w:tcBorders>
            <w:shd w:val="clear" w:color="auto" w:fill="auto"/>
            <w:noWrap/>
            <w:hideMark/>
          </w:tcPr>
          <w:p w14:paraId="7927C48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w:t>
            </w:r>
          </w:p>
        </w:tc>
        <w:tc>
          <w:tcPr>
            <w:tcW w:w="1200" w:type="dxa"/>
            <w:tcBorders>
              <w:top w:val="nil"/>
              <w:left w:val="nil"/>
              <w:bottom w:val="nil"/>
              <w:right w:val="nil"/>
            </w:tcBorders>
            <w:shd w:val="clear" w:color="auto" w:fill="auto"/>
            <w:noWrap/>
            <w:hideMark/>
          </w:tcPr>
          <w:p w14:paraId="05AC233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37D01EF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4641D59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66AB90C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5EDD8EA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74B6D2F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24C84B5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32FE000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90.3</w:t>
            </w:r>
          </w:p>
        </w:tc>
        <w:tc>
          <w:tcPr>
            <w:tcW w:w="920" w:type="dxa"/>
            <w:tcBorders>
              <w:top w:val="nil"/>
              <w:left w:val="nil"/>
              <w:bottom w:val="nil"/>
              <w:right w:val="nil"/>
            </w:tcBorders>
            <w:shd w:val="clear" w:color="auto" w:fill="auto"/>
            <w:noWrap/>
            <w:vAlign w:val="bottom"/>
            <w:hideMark/>
          </w:tcPr>
          <w:p w14:paraId="5553B65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21.4</w:t>
            </w:r>
          </w:p>
        </w:tc>
        <w:tc>
          <w:tcPr>
            <w:tcW w:w="741" w:type="dxa"/>
            <w:tcBorders>
              <w:top w:val="nil"/>
              <w:left w:val="nil"/>
              <w:bottom w:val="nil"/>
              <w:right w:val="nil"/>
            </w:tcBorders>
            <w:shd w:val="clear" w:color="auto" w:fill="auto"/>
            <w:noWrap/>
            <w:vAlign w:val="bottom"/>
            <w:hideMark/>
          </w:tcPr>
          <w:p w14:paraId="0787822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168.5</w:t>
            </w:r>
          </w:p>
        </w:tc>
        <w:tc>
          <w:tcPr>
            <w:tcW w:w="785" w:type="dxa"/>
            <w:tcBorders>
              <w:top w:val="nil"/>
              <w:left w:val="nil"/>
              <w:bottom w:val="nil"/>
              <w:right w:val="nil"/>
            </w:tcBorders>
            <w:shd w:val="clear" w:color="auto" w:fill="auto"/>
            <w:noWrap/>
            <w:vAlign w:val="bottom"/>
            <w:hideMark/>
          </w:tcPr>
          <w:p w14:paraId="7499A5E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49.3</w:t>
            </w:r>
          </w:p>
        </w:tc>
        <w:tc>
          <w:tcPr>
            <w:tcW w:w="732" w:type="dxa"/>
            <w:tcBorders>
              <w:top w:val="nil"/>
              <w:left w:val="nil"/>
              <w:bottom w:val="nil"/>
              <w:right w:val="nil"/>
            </w:tcBorders>
            <w:shd w:val="clear" w:color="auto" w:fill="auto"/>
            <w:noWrap/>
            <w:vAlign w:val="bottom"/>
            <w:hideMark/>
          </w:tcPr>
          <w:p w14:paraId="457E798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228.7</w:t>
            </w:r>
          </w:p>
        </w:tc>
        <w:tc>
          <w:tcPr>
            <w:tcW w:w="860" w:type="dxa"/>
            <w:tcBorders>
              <w:top w:val="nil"/>
              <w:left w:val="nil"/>
              <w:bottom w:val="nil"/>
              <w:right w:val="nil"/>
            </w:tcBorders>
            <w:shd w:val="clear" w:color="auto" w:fill="auto"/>
            <w:noWrap/>
            <w:vAlign w:val="bottom"/>
            <w:hideMark/>
          </w:tcPr>
          <w:p w14:paraId="20098F4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139.9</w:t>
            </w:r>
          </w:p>
        </w:tc>
        <w:tc>
          <w:tcPr>
            <w:tcW w:w="960" w:type="dxa"/>
            <w:tcBorders>
              <w:top w:val="nil"/>
              <w:left w:val="nil"/>
              <w:bottom w:val="nil"/>
              <w:right w:val="nil"/>
            </w:tcBorders>
            <w:shd w:val="clear" w:color="auto" w:fill="auto"/>
            <w:noWrap/>
            <w:vAlign w:val="bottom"/>
            <w:hideMark/>
          </w:tcPr>
          <w:p w14:paraId="29C98E9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236.4</w:t>
            </w:r>
          </w:p>
        </w:tc>
        <w:tc>
          <w:tcPr>
            <w:tcW w:w="689" w:type="dxa"/>
            <w:tcBorders>
              <w:top w:val="nil"/>
              <w:left w:val="nil"/>
              <w:bottom w:val="nil"/>
              <w:right w:val="nil"/>
            </w:tcBorders>
            <w:shd w:val="clear" w:color="auto" w:fill="auto"/>
            <w:noWrap/>
            <w:vAlign w:val="bottom"/>
            <w:hideMark/>
          </w:tcPr>
          <w:p w14:paraId="346F6EB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837.7</w:t>
            </w:r>
          </w:p>
        </w:tc>
        <w:tc>
          <w:tcPr>
            <w:tcW w:w="1000" w:type="dxa"/>
            <w:tcBorders>
              <w:top w:val="nil"/>
              <w:left w:val="nil"/>
              <w:bottom w:val="nil"/>
              <w:right w:val="nil"/>
            </w:tcBorders>
            <w:shd w:val="clear" w:color="auto" w:fill="auto"/>
            <w:noWrap/>
            <w:vAlign w:val="bottom"/>
            <w:hideMark/>
          </w:tcPr>
          <w:p w14:paraId="31F6A5F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145.6</w:t>
            </w:r>
          </w:p>
        </w:tc>
      </w:tr>
      <w:tr w:rsidR="00F26016" w:rsidRPr="00F26016" w14:paraId="499311F0" w14:textId="77777777" w:rsidTr="00F26016">
        <w:trPr>
          <w:trHeight w:val="300"/>
        </w:trPr>
        <w:tc>
          <w:tcPr>
            <w:tcW w:w="1140" w:type="dxa"/>
            <w:tcBorders>
              <w:top w:val="nil"/>
              <w:left w:val="nil"/>
              <w:bottom w:val="nil"/>
              <w:right w:val="nil"/>
            </w:tcBorders>
            <w:shd w:val="clear" w:color="auto" w:fill="auto"/>
            <w:noWrap/>
            <w:hideMark/>
          </w:tcPr>
          <w:p w14:paraId="29A148B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w:t>
            </w:r>
          </w:p>
        </w:tc>
        <w:tc>
          <w:tcPr>
            <w:tcW w:w="1200" w:type="dxa"/>
            <w:tcBorders>
              <w:top w:val="nil"/>
              <w:left w:val="nil"/>
              <w:bottom w:val="nil"/>
              <w:right w:val="nil"/>
            </w:tcBorders>
            <w:shd w:val="clear" w:color="auto" w:fill="auto"/>
            <w:noWrap/>
            <w:hideMark/>
          </w:tcPr>
          <w:p w14:paraId="2B6EB24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50B9161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67907BB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2CE6164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11F0BD7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5BA14FC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567D6A9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246E132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49.2</w:t>
            </w:r>
          </w:p>
        </w:tc>
        <w:tc>
          <w:tcPr>
            <w:tcW w:w="920" w:type="dxa"/>
            <w:tcBorders>
              <w:top w:val="nil"/>
              <w:left w:val="nil"/>
              <w:bottom w:val="nil"/>
              <w:right w:val="nil"/>
            </w:tcBorders>
            <w:shd w:val="clear" w:color="auto" w:fill="auto"/>
            <w:noWrap/>
            <w:vAlign w:val="bottom"/>
            <w:hideMark/>
          </w:tcPr>
          <w:p w14:paraId="2DE13D7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11.7</w:t>
            </w:r>
          </w:p>
        </w:tc>
        <w:tc>
          <w:tcPr>
            <w:tcW w:w="741" w:type="dxa"/>
            <w:tcBorders>
              <w:top w:val="nil"/>
              <w:left w:val="nil"/>
              <w:bottom w:val="nil"/>
              <w:right w:val="nil"/>
            </w:tcBorders>
            <w:shd w:val="clear" w:color="auto" w:fill="auto"/>
            <w:noWrap/>
            <w:vAlign w:val="bottom"/>
            <w:hideMark/>
          </w:tcPr>
          <w:p w14:paraId="34FF117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13.7</w:t>
            </w:r>
          </w:p>
        </w:tc>
        <w:tc>
          <w:tcPr>
            <w:tcW w:w="785" w:type="dxa"/>
            <w:tcBorders>
              <w:top w:val="nil"/>
              <w:left w:val="nil"/>
              <w:bottom w:val="nil"/>
              <w:right w:val="nil"/>
            </w:tcBorders>
            <w:shd w:val="clear" w:color="auto" w:fill="auto"/>
            <w:noWrap/>
            <w:vAlign w:val="bottom"/>
            <w:hideMark/>
          </w:tcPr>
          <w:p w14:paraId="384CB30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8.0</w:t>
            </w:r>
          </w:p>
        </w:tc>
        <w:tc>
          <w:tcPr>
            <w:tcW w:w="732" w:type="dxa"/>
            <w:tcBorders>
              <w:top w:val="nil"/>
              <w:left w:val="nil"/>
              <w:bottom w:val="nil"/>
              <w:right w:val="nil"/>
            </w:tcBorders>
            <w:shd w:val="clear" w:color="auto" w:fill="auto"/>
            <w:noWrap/>
            <w:vAlign w:val="bottom"/>
            <w:hideMark/>
          </w:tcPr>
          <w:p w14:paraId="717DF0D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96.0</w:t>
            </w:r>
          </w:p>
        </w:tc>
        <w:tc>
          <w:tcPr>
            <w:tcW w:w="860" w:type="dxa"/>
            <w:tcBorders>
              <w:top w:val="nil"/>
              <w:left w:val="nil"/>
              <w:bottom w:val="nil"/>
              <w:right w:val="nil"/>
            </w:tcBorders>
            <w:shd w:val="clear" w:color="auto" w:fill="auto"/>
            <w:noWrap/>
            <w:vAlign w:val="bottom"/>
            <w:hideMark/>
          </w:tcPr>
          <w:p w14:paraId="078DFA6C" w14:textId="77777777" w:rsidR="00F26016" w:rsidRPr="00F26016" w:rsidRDefault="00F26016" w:rsidP="00F26016">
            <w:pPr>
              <w:rPr>
                <w:rFonts w:ascii="Calibri" w:eastAsia="Times New Roman" w:hAnsi="Calibri" w:cs="Times New Roman"/>
                <w:color w:val="000000"/>
                <w:sz w:val="16"/>
                <w:szCs w:val="16"/>
              </w:rPr>
            </w:pPr>
          </w:p>
        </w:tc>
        <w:tc>
          <w:tcPr>
            <w:tcW w:w="960" w:type="dxa"/>
            <w:tcBorders>
              <w:top w:val="nil"/>
              <w:left w:val="nil"/>
              <w:bottom w:val="nil"/>
              <w:right w:val="nil"/>
            </w:tcBorders>
            <w:shd w:val="clear" w:color="auto" w:fill="auto"/>
            <w:noWrap/>
            <w:vAlign w:val="bottom"/>
            <w:hideMark/>
          </w:tcPr>
          <w:p w14:paraId="6CCCB44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221.2</w:t>
            </w:r>
          </w:p>
        </w:tc>
        <w:tc>
          <w:tcPr>
            <w:tcW w:w="689" w:type="dxa"/>
            <w:tcBorders>
              <w:top w:val="nil"/>
              <w:left w:val="nil"/>
              <w:bottom w:val="nil"/>
              <w:right w:val="nil"/>
            </w:tcBorders>
            <w:shd w:val="clear" w:color="auto" w:fill="auto"/>
            <w:noWrap/>
            <w:vAlign w:val="bottom"/>
            <w:hideMark/>
          </w:tcPr>
          <w:p w14:paraId="042C3C9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771.0</w:t>
            </w:r>
          </w:p>
        </w:tc>
        <w:tc>
          <w:tcPr>
            <w:tcW w:w="1000" w:type="dxa"/>
            <w:tcBorders>
              <w:top w:val="nil"/>
              <w:left w:val="nil"/>
              <w:bottom w:val="nil"/>
              <w:right w:val="nil"/>
            </w:tcBorders>
            <w:shd w:val="clear" w:color="auto" w:fill="auto"/>
            <w:noWrap/>
            <w:vAlign w:val="bottom"/>
            <w:hideMark/>
          </w:tcPr>
          <w:p w14:paraId="301C526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187.8</w:t>
            </w:r>
          </w:p>
        </w:tc>
      </w:tr>
      <w:tr w:rsidR="00F26016" w:rsidRPr="00F26016" w14:paraId="63782BA4" w14:textId="77777777" w:rsidTr="00F26016">
        <w:trPr>
          <w:trHeight w:val="300"/>
        </w:trPr>
        <w:tc>
          <w:tcPr>
            <w:tcW w:w="1140" w:type="dxa"/>
            <w:tcBorders>
              <w:top w:val="nil"/>
              <w:left w:val="nil"/>
              <w:bottom w:val="nil"/>
              <w:right w:val="nil"/>
            </w:tcBorders>
            <w:shd w:val="clear" w:color="auto" w:fill="auto"/>
            <w:noWrap/>
            <w:hideMark/>
          </w:tcPr>
          <w:p w14:paraId="2A24051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w:t>
            </w:r>
          </w:p>
        </w:tc>
        <w:tc>
          <w:tcPr>
            <w:tcW w:w="1200" w:type="dxa"/>
            <w:tcBorders>
              <w:top w:val="nil"/>
              <w:left w:val="nil"/>
              <w:bottom w:val="nil"/>
              <w:right w:val="nil"/>
            </w:tcBorders>
            <w:shd w:val="clear" w:color="auto" w:fill="auto"/>
            <w:noWrap/>
            <w:hideMark/>
          </w:tcPr>
          <w:p w14:paraId="42E3580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26B60D1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31211CC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5E5A981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5489D6B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46FE157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1C89ABC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688ECFD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9.5</w:t>
            </w:r>
          </w:p>
        </w:tc>
        <w:tc>
          <w:tcPr>
            <w:tcW w:w="920" w:type="dxa"/>
            <w:tcBorders>
              <w:top w:val="nil"/>
              <w:left w:val="nil"/>
              <w:bottom w:val="nil"/>
              <w:right w:val="nil"/>
            </w:tcBorders>
            <w:shd w:val="clear" w:color="auto" w:fill="auto"/>
            <w:noWrap/>
            <w:vAlign w:val="bottom"/>
            <w:hideMark/>
          </w:tcPr>
          <w:p w14:paraId="49C79AC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w:t>
            </w:r>
          </w:p>
        </w:tc>
        <w:tc>
          <w:tcPr>
            <w:tcW w:w="741" w:type="dxa"/>
            <w:tcBorders>
              <w:top w:val="nil"/>
              <w:left w:val="nil"/>
              <w:bottom w:val="nil"/>
              <w:right w:val="nil"/>
            </w:tcBorders>
            <w:shd w:val="clear" w:color="auto" w:fill="auto"/>
            <w:noWrap/>
            <w:vAlign w:val="bottom"/>
            <w:hideMark/>
          </w:tcPr>
          <w:p w14:paraId="0989CF4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6.3</w:t>
            </w:r>
          </w:p>
        </w:tc>
        <w:tc>
          <w:tcPr>
            <w:tcW w:w="785" w:type="dxa"/>
            <w:tcBorders>
              <w:top w:val="nil"/>
              <w:left w:val="nil"/>
              <w:bottom w:val="nil"/>
              <w:right w:val="nil"/>
            </w:tcBorders>
            <w:shd w:val="clear" w:color="auto" w:fill="auto"/>
            <w:noWrap/>
            <w:vAlign w:val="bottom"/>
            <w:hideMark/>
          </w:tcPr>
          <w:p w14:paraId="06E1FB3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7.6</w:t>
            </w:r>
          </w:p>
        </w:tc>
        <w:tc>
          <w:tcPr>
            <w:tcW w:w="732" w:type="dxa"/>
            <w:tcBorders>
              <w:top w:val="nil"/>
              <w:left w:val="nil"/>
              <w:bottom w:val="nil"/>
              <w:right w:val="nil"/>
            </w:tcBorders>
            <w:shd w:val="clear" w:color="auto" w:fill="auto"/>
            <w:noWrap/>
            <w:vAlign w:val="bottom"/>
            <w:hideMark/>
          </w:tcPr>
          <w:p w14:paraId="266E27D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44.8</w:t>
            </w:r>
          </w:p>
        </w:tc>
        <w:tc>
          <w:tcPr>
            <w:tcW w:w="860" w:type="dxa"/>
            <w:tcBorders>
              <w:top w:val="nil"/>
              <w:left w:val="nil"/>
              <w:bottom w:val="nil"/>
              <w:right w:val="nil"/>
            </w:tcBorders>
            <w:shd w:val="clear" w:color="auto" w:fill="auto"/>
            <w:noWrap/>
            <w:vAlign w:val="bottom"/>
            <w:hideMark/>
          </w:tcPr>
          <w:p w14:paraId="6AFB674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w:t>
            </w:r>
          </w:p>
        </w:tc>
        <w:tc>
          <w:tcPr>
            <w:tcW w:w="960" w:type="dxa"/>
            <w:tcBorders>
              <w:top w:val="nil"/>
              <w:left w:val="nil"/>
              <w:bottom w:val="nil"/>
              <w:right w:val="nil"/>
            </w:tcBorders>
            <w:shd w:val="clear" w:color="auto" w:fill="auto"/>
            <w:noWrap/>
            <w:vAlign w:val="bottom"/>
            <w:hideMark/>
          </w:tcPr>
          <w:p w14:paraId="49B5F88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73.5</w:t>
            </w:r>
          </w:p>
        </w:tc>
        <w:tc>
          <w:tcPr>
            <w:tcW w:w="689" w:type="dxa"/>
            <w:tcBorders>
              <w:top w:val="nil"/>
              <w:left w:val="nil"/>
              <w:bottom w:val="nil"/>
              <w:right w:val="nil"/>
            </w:tcBorders>
            <w:shd w:val="clear" w:color="auto" w:fill="auto"/>
            <w:noWrap/>
            <w:vAlign w:val="bottom"/>
            <w:hideMark/>
          </w:tcPr>
          <w:p w14:paraId="650BC52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789.0</w:t>
            </w:r>
          </w:p>
        </w:tc>
        <w:tc>
          <w:tcPr>
            <w:tcW w:w="1000" w:type="dxa"/>
            <w:tcBorders>
              <w:top w:val="nil"/>
              <w:left w:val="nil"/>
              <w:bottom w:val="nil"/>
              <w:right w:val="nil"/>
            </w:tcBorders>
            <w:shd w:val="clear" w:color="auto" w:fill="auto"/>
            <w:noWrap/>
            <w:vAlign w:val="bottom"/>
            <w:hideMark/>
          </w:tcPr>
          <w:p w14:paraId="0F985EC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151.1</w:t>
            </w:r>
          </w:p>
        </w:tc>
      </w:tr>
      <w:tr w:rsidR="00F26016" w:rsidRPr="00F26016" w14:paraId="74DE2DFA" w14:textId="77777777" w:rsidTr="00F26016">
        <w:trPr>
          <w:trHeight w:val="300"/>
        </w:trPr>
        <w:tc>
          <w:tcPr>
            <w:tcW w:w="1140" w:type="dxa"/>
            <w:tcBorders>
              <w:top w:val="nil"/>
              <w:left w:val="nil"/>
              <w:bottom w:val="nil"/>
              <w:right w:val="nil"/>
            </w:tcBorders>
            <w:shd w:val="clear" w:color="auto" w:fill="auto"/>
            <w:noWrap/>
            <w:hideMark/>
          </w:tcPr>
          <w:p w14:paraId="142F136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w:t>
            </w:r>
          </w:p>
        </w:tc>
        <w:tc>
          <w:tcPr>
            <w:tcW w:w="1200" w:type="dxa"/>
            <w:tcBorders>
              <w:top w:val="nil"/>
              <w:left w:val="nil"/>
              <w:bottom w:val="nil"/>
              <w:right w:val="nil"/>
            </w:tcBorders>
            <w:shd w:val="clear" w:color="auto" w:fill="auto"/>
            <w:noWrap/>
            <w:hideMark/>
          </w:tcPr>
          <w:p w14:paraId="6D078A8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5559C3B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6FB634B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3C107C1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5F762A4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53415D3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0DA18B8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09737D2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46.4</w:t>
            </w:r>
          </w:p>
        </w:tc>
        <w:tc>
          <w:tcPr>
            <w:tcW w:w="920" w:type="dxa"/>
            <w:tcBorders>
              <w:top w:val="nil"/>
              <w:left w:val="nil"/>
              <w:bottom w:val="nil"/>
              <w:right w:val="nil"/>
            </w:tcBorders>
            <w:shd w:val="clear" w:color="auto" w:fill="auto"/>
            <w:noWrap/>
            <w:vAlign w:val="bottom"/>
            <w:hideMark/>
          </w:tcPr>
          <w:p w14:paraId="2E94642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22.5</w:t>
            </w:r>
          </w:p>
        </w:tc>
        <w:tc>
          <w:tcPr>
            <w:tcW w:w="741" w:type="dxa"/>
            <w:tcBorders>
              <w:top w:val="nil"/>
              <w:left w:val="nil"/>
              <w:bottom w:val="nil"/>
              <w:right w:val="nil"/>
            </w:tcBorders>
            <w:shd w:val="clear" w:color="auto" w:fill="auto"/>
            <w:noWrap/>
            <w:vAlign w:val="bottom"/>
            <w:hideMark/>
          </w:tcPr>
          <w:p w14:paraId="0DD428F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92.0</w:t>
            </w:r>
          </w:p>
        </w:tc>
        <w:tc>
          <w:tcPr>
            <w:tcW w:w="785" w:type="dxa"/>
            <w:tcBorders>
              <w:top w:val="nil"/>
              <w:left w:val="nil"/>
              <w:bottom w:val="nil"/>
              <w:right w:val="nil"/>
            </w:tcBorders>
            <w:shd w:val="clear" w:color="auto" w:fill="auto"/>
            <w:noWrap/>
            <w:vAlign w:val="bottom"/>
            <w:hideMark/>
          </w:tcPr>
          <w:p w14:paraId="1F33F63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18.6</w:t>
            </w:r>
          </w:p>
        </w:tc>
        <w:tc>
          <w:tcPr>
            <w:tcW w:w="732" w:type="dxa"/>
            <w:tcBorders>
              <w:top w:val="nil"/>
              <w:left w:val="nil"/>
              <w:bottom w:val="nil"/>
              <w:right w:val="nil"/>
            </w:tcBorders>
            <w:shd w:val="clear" w:color="auto" w:fill="auto"/>
            <w:noWrap/>
            <w:vAlign w:val="bottom"/>
            <w:hideMark/>
          </w:tcPr>
          <w:p w14:paraId="2779E3E4" w14:textId="77777777" w:rsidR="00F26016" w:rsidRPr="00F26016" w:rsidRDefault="00F26016" w:rsidP="00F26016">
            <w:pPr>
              <w:rPr>
                <w:rFonts w:ascii="Calibri" w:eastAsia="Times New Roman" w:hAnsi="Calibri" w:cs="Times New Roman"/>
                <w:color w:val="000000"/>
                <w:sz w:val="16"/>
                <w:szCs w:val="16"/>
              </w:rPr>
            </w:pPr>
          </w:p>
        </w:tc>
        <w:tc>
          <w:tcPr>
            <w:tcW w:w="860" w:type="dxa"/>
            <w:tcBorders>
              <w:top w:val="nil"/>
              <w:left w:val="nil"/>
              <w:bottom w:val="nil"/>
              <w:right w:val="nil"/>
            </w:tcBorders>
            <w:shd w:val="clear" w:color="auto" w:fill="auto"/>
            <w:noWrap/>
            <w:vAlign w:val="bottom"/>
            <w:hideMark/>
          </w:tcPr>
          <w:p w14:paraId="0A286CF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80.6</w:t>
            </w:r>
          </w:p>
        </w:tc>
        <w:tc>
          <w:tcPr>
            <w:tcW w:w="960" w:type="dxa"/>
            <w:tcBorders>
              <w:top w:val="nil"/>
              <w:left w:val="nil"/>
              <w:bottom w:val="nil"/>
              <w:right w:val="nil"/>
            </w:tcBorders>
            <w:shd w:val="clear" w:color="auto" w:fill="auto"/>
            <w:noWrap/>
            <w:vAlign w:val="bottom"/>
            <w:hideMark/>
          </w:tcPr>
          <w:p w14:paraId="4BE9BA2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348.4</w:t>
            </w:r>
          </w:p>
        </w:tc>
        <w:tc>
          <w:tcPr>
            <w:tcW w:w="689" w:type="dxa"/>
            <w:tcBorders>
              <w:top w:val="nil"/>
              <w:left w:val="nil"/>
              <w:bottom w:val="nil"/>
              <w:right w:val="nil"/>
            </w:tcBorders>
            <w:shd w:val="clear" w:color="auto" w:fill="auto"/>
            <w:noWrap/>
            <w:vAlign w:val="bottom"/>
            <w:hideMark/>
          </w:tcPr>
          <w:p w14:paraId="6096D29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961.8</w:t>
            </w:r>
          </w:p>
        </w:tc>
        <w:tc>
          <w:tcPr>
            <w:tcW w:w="1000" w:type="dxa"/>
            <w:tcBorders>
              <w:top w:val="nil"/>
              <w:left w:val="nil"/>
              <w:bottom w:val="nil"/>
              <w:right w:val="nil"/>
            </w:tcBorders>
            <w:shd w:val="clear" w:color="auto" w:fill="auto"/>
            <w:noWrap/>
            <w:vAlign w:val="bottom"/>
            <w:hideMark/>
          </w:tcPr>
          <w:p w14:paraId="1518D63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138.5</w:t>
            </w:r>
          </w:p>
        </w:tc>
      </w:tr>
      <w:tr w:rsidR="00F26016" w:rsidRPr="00F26016" w14:paraId="51D573DC" w14:textId="77777777" w:rsidTr="00F26016">
        <w:trPr>
          <w:trHeight w:val="300"/>
        </w:trPr>
        <w:tc>
          <w:tcPr>
            <w:tcW w:w="1140" w:type="dxa"/>
            <w:tcBorders>
              <w:top w:val="nil"/>
              <w:left w:val="nil"/>
              <w:bottom w:val="nil"/>
              <w:right w:val="nil"/>
            </w:tcBorders>
            <w:shd w:val="clear" w:color="auto" w:fill="auto"/>
            <w:noWrap/>
            <w:hideMark/>
          </w:tcPr>
          <w:p w14:paraId="0A96CCA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w:t>
            </w:r>
          </w:p>
        </w:tc>
        <w:tc>
          <w:tcPr>
            <w:tcW w:w="1200" w:type="dxa"/>
            <w:tcBorders>
              <w:top w:val="nil"/>
              <w:left w:val="nil"/>
              <w:bottom w:val="nil"/>
              <w:right w:val="nil"/>
            </w:tcBorders>
            <w:shd w:val="clear" w:color="auto" w:fill="auto"/>
            <w:noWrap/>
            <w:hideMark/>
          </w:tcPr>
          <w:p w14:paraId="5635EDD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6DF1723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62B8B65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6339527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291DBE6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751D619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033582E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36EA74A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75.9</w:t>
            </w:r>
          </w:p>
        </w:tc>
        <w:tc>
          <w:tcPr>
            <w:tcW w:w="920" w:type="dxa"/>
            <w:tcBorders>
              <w:top w:val="nil"/>
              <w:left w:val="nil"/>
              <w:bottom w:val="nil"/>
              <w:right w:val="nil"/>
            </w:tcBorders>
            <w:shd w:val="clear" w:color="auto" w:fill="auto"/>
            <w:noWrap/>
            <w:vAlign w:val="bottom"/>
            <w:hideMark/>
          </w:tcPr>
          <w:p w14:paraId="5B8A5475" w14:textId="77777777" w:rsidR="00F26016" w:rsidRPr="00F26016" w:rsidRDefault="00F26016" w:rsidP="00F26016">
            <w:pPr>
              <w:rPr>
                <w:rFonts w:ascii="Calibri" w:eastAsia="Times New Roman" w:hAnsi="Calibri" w:cs="Times New Roman"/>
                <w:color w:val="000000"/>
                <w:sz w:val="16"/>
                <w:szCs w:val="16"/>
              </w:rPr>
            </w:pPr>
          </w:p>
        </w:tc>
        <w:tc>
          <w:tcPr>
            <w:tcW w:w="741" w:type="dxa"/>
            <w:tcBorders>
              <w:top w:val="nil"/>
              <w:left w:val="nil"/>
              <w:bottom w:val="nil"/>
              <w:right w:val="nil"/>
            </w:tcBorders>
            <w:shd w:val="clear" w:color="auto" w:fill="auto"/>
            <w:noWrap/>
            <w:vAlign w:val="bottom"/>
            <w:hideMark/>
          </w:tcPr>
          <w:p w14:paraId="64D6EDE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10.4</w:t>
            </w:r>
          </w:p>
        </w:tc>
        <w:tc>
          <w:tcPr>
            <w:tcW w:w="785" w:type="dxa"/>
            <w:tcBorders>
              <w:top w:val="nil"/>
              <w:left w:val="nil"/>
              <w:bottom w:val="nil"/>
              <w:right w:val="nil"/>
            </w:tcBorders>
            <w:shd w:val="clear" w:color="auto" w:fill="auto"/>
            <w:noWrap/>
            <w:vAlign w:val="bottom"/>
            <w:hideMark/>
          </w:tcPr>
          <w:p w14:paraId="2471E29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5.1</w:t>
            </w:r>
          </w:p>
        </w:tc>
        <w:tc>
          <w:tcPr>
            <w:tcW w:w="732" w:type="dxa"/>
            <w:tcBorders>
              <w:top w:val="nil"/>
              <w:left w:val="nil"/>
              <w:bottom w:val="nil"/>
              <w:right w:val="nil"/>
            </w:tcBorders>
            <w:shd w:val="clear" w:color="auto" w:fill="auto"/>
            <w:noWrap/>
            <w:vAlign w:val="bottom"/>
            <w:hideMark/>
          </w:tcPr>
          <w:p w14:paraId="400E26E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66.2</w:t>
            </w:r>
          </w:p>
        </w:tc>
        <w:tc>
          <w:tcPr>
            <w:tcW w:w="860" w:type="dxa"/>
            <w:tcBorders>
              <w:top w:val="nil"/>
              <w:left w:val="nil"/>
              <w:bottom w:val="nil"/>
              <w:right w:val="nil"/>
            </w:tcBorders>
            <w:shd w:val="clear" w:color="auto" w:fill="auto"/>
            <w:noWrap/>
            <w:vAlign w:val="bottom"/>
            <w:hideMark/>
          </w:tcPr>
          <w:p w14:paraId="79F81FC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13.4</w:t>
            </w:r>
          </w:p>
        </w:tc>
        <w:tc>
          <w:tcPr>
            <w:tcW w:w="960" w:type="dxa"/>
            <w:tcBorders>
              <w:top w:val="nil"/>
              <w:left w:val="nil"/>
              <w:bottom w:val="nil"/>
              <w:right w:val="nil"/>
            </w:tcBorders>
            <w:shd w:val="clear" w:color="auto" w:fill="auto"/>
            <w:noWrap/>
            <w:vAlign w:val="bottom"/>
            <w:hideMark/>
          </w:tcPr>
          <w:p w14:paraId="3EE8BCC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163.6</w:t>
            </w:r>
          </w:p>
        </w:tc>
        <w:tc>
          <w:tcPr>
            <w:tcW w:w="689" w:type="dxa"/>
            <w:tcBorders>
              <w:top w:val="nil"/>
              <w:left w:val="nil"/>
              <w:bottom w:val="nil"/>
              <w:right w:val="nil"/>
            </w:tcBorders>
            <w:shd w:val="clear" w:color="auto" w:fill="auto"/>
            <w:noWrap/>
            <w:vAlign w:val="bottom"/>
            <w:hideMark/>
          </w:tcPr>
          <w:p w14:paraId="01A03A0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667.1</w:t>
            </w:r>
          </w:p>
        </w:tc>
        <w:tc>
          <w:tcPr>
            <w:tcW w:w="1000" w:type="dxa"/>
            <w:tcBorders>
              <w:top w:val="nil"/>
              <w:left w:val="nil"/>
              <w:bottom w:val="nil"/>
              <w:right w:val="nil"/>
            </w:tcBorders>
            <w:shd w:val="clear" w:color="auto" w:fill="auto"/>
            <w:noWrap/>
            <w:vAlign w:val="bottom"/>
            <w:hideMark/>
          </w:tcPr>
          <w:p w14:paraId="7ADED67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189.4</w:t>
            </w:r>
          </w:p>
        </w:tc>
      </w:tr>
      <w:tr w:rsidR="00F26016" w:rsidRPr="00F26016" w14:paraId="2271CA2D" w14:textId="77777777" w:rsidTr="00F26016">
        <w:trPr>
          <w:trHeight w:val="300"/>
        </w:trPr>
        <w:tc>
          <w:tcPr>
            <w:tcW w:w="1140" w:type="dxa"/>
            <w:tcBorders>
              <w:top w:val="nil"/>
              <w:left w:val="nil"/>
              <w:bottom w:val="nil"/>
              <w:right w:val="nil"/>
            </w:tcBorders>
            <w:shd w:val="clear" w:color="auto" w:fill="auto"/>
            <w:noWrap/>
            <w:hideMark/>
          </w:tcPr>
          <w:p w14:paraId="04CA96F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w:t>
            </w:r>
          </w:p>
        </w:tc>
        <w:tc>
          <w:tcPr>
            <w:tcW w:w="1200" w:type="dxa"/>
            <w:tcBorders>
              <w:top w:val="nil"/>
              <w:left w:val="nil"/>
              <w:bottom w:val="nil"/>
              <w:right w:val="nil"/>
            </w:tcBorders>
            <w:shd w:val="clear" w:color="auto" w:fill="auto"/>
            <w:noWrap/>
            <w:hideMark/>
          </w:tcPr>
          <w:p w14:paraId="6B0E459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1D91879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730C0A9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300029E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1154B9A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7A63AFC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5D5B839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1AD516E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4.0</w:t>
            </w:r>
          </w:p>
        </w:tc>
        <w:tc>
          <w:tcPr>
            <w:tcW w:w="920" w:type="dxa"/>
            <w:tcBorders>
              <w:top w:val="nil"/>
              <w:left w:val="nil"/>
              <w:bottom w:val="nil"/>
              <w:right w:val="nil"/>
            </w:tcBorders>
            <w:shd w:val="clear" w:color="auto" w:fill="auto"/>
            <w:noWrap/>
            <w:vAlign w:val="bottom"/>
            <w:hideMark/>
          </w:tcPr>
          <w:p w14:paraId="7BDC288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7.6</w:t>
            </w:r>
          </w:p>
        </w:tc>
        <w:tc>
          <w:tcPr>
            <w:tcW w:w="741" w:type="dxa"/>
            <w:tcBorders>
              <w:top w:val="nil"/>
              <w:left w:val="nil"/>
              <w:bottom w:val="nil"/>
              <w:right w:val="nil"/>
            </w:tcBorders>
            <w:shd w:val="clear" w:color="auto" w:fill="auto"/>
            <w:noWrap/>
            <w:vAlign w:val="bottom"/>
            <w:hideMark/>
          </w:tcPr>
          <w:p w14:paraId="480ACA7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6.2</w:t>
            </w:r>
          </w:p>
        </w:tc>
        <w:tc>
          <w:tcPr>
            <w:tcW w:w="785" w:type="dxa"/>
            <w:tcBorders>
              <w:top w:val="nil"/>
              <w:left w:val="nil"/>
              <w:bottom w:val="nil"/>
              <w:right w:val="nil"/>
            </w:tcBorders>
            <w:shd w:val="clear" w:color="auto" w:fill="auto"/>
            <w:noWrap/>
            <w:vAlign w:val="bottom"/>
            <w:hideMark/>
          </w:tcPr>
          <w:p w14:paraId="6106C6F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6.7</w:t>
            </w:r>
          </w:p>
        </w:tc>
        <w:tc>
          <w:tcPr>
            <w:tcW w:w="732" w:type="dxa"/>
            <w:tcBorders>
              <w:top w:val="nil"/>
              <w:left w:val="nil"/>
              <w:bottom w:val="nil"/>
              <w:right w:val="nil"/>
            </w:tcBorders>
            <w:shd w:val="clear" w:color="auto" w:fill="auto"/>
            <w:noWrap/>
            <w:vAlign w:val="bottom"/>
            <w:hideMark/>
          </w:tcPr>
          <w:p w14:paraId="5C0CF73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44.4</w:t>
            </w:r>
          </w:p>
        </w:tc>
        <w:tc>
          <w:tcPr>
            <w:tcW w:w="860" w:type="dxa"/>
            <w:tcBorders>
              <w:top w:val="nil"/>
              <w:left w:val="nil"/>
              <w:bottom w:val="nil"/>
              <w:right w:val="nil"/>
            </w:tcBorders>
            <w:shd w:val="clear" w:color="auto" w:fill="auto"/>
            <w:noWrap/>
            <w:vAlign w:val="bottom"/>
            <w:hideMark/>
          </w:tcPr>
          <w:p w14:paraId="78748C8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16.1</w:t>
            </w:r>
          </w:p>
        </w:tc>
        <w:tc>
          <w:tcPr>
            <w:tcW w:w="960" w:type="dxa"/>
            <w:tcBorders>
              <w:top w:val="nil"/>
              <w:left w:val="nil"/>
              <w:bottom w:val="nil"/>
              <w:right w:val="nil"/>
            </w:tcBorders>
            <w:shd w:val="clear" w:color="auto" w:fill="auto"/>
            <w:noWrap/>
            <w:vAlign w:val="bottom"/>
            <w:hideMark/>
          </w:tcPr>
          <w:p w14:paraId="2A404D4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87.5</w:t>
            </w:r>
          </w:p>
        </w:tc>
        <w:tc>
          <w:tcPr>
            <w:tcW w:w="689" w:type="dxa"/>
            <w:tcBorders>
              <w:top w:val="nil"/>
              <w:left w:val="nil"/>
              <w:bottom w:val="nil"/>
              <w:right w:val="nil"/>
            </w:tcBorders>
            <w:shd w:val="clear" w:color="auto" w:fill="auto"/>
            <w:noWrap/>
            <w:vAlign w:val="bottom"/>
            <w:hideMark/>
          </w:tcPr>
          <w:p w14:paraId="7FE1205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704.4</w:t>
            </w:r>
          </w:p>
        </w:tc>
        <w:tc>
          <w:tcPr>
            <w:tcW w:w="1000" w:type="dxa"/>
            <w:tcBorders>
              <w:top w:val="nil"/>
              <w:left w:val="nil"/>
              <w:bottom w:val="nil"/>
              <w:right w:val="nil"/>
            </w:tcBorders>
            <w:shd w:val="clear" w:color="auto" w:fill="auto"/>
            <w:noWrap/>
            <w:vAlign w:val="bottom"/>
            <w:hideMark/>
          </w:tcPr>
          <w:p w14:paraId="7AA18B8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150.3</w:t>
            </w:r>
          </w:p>
        </w:tc>
      </w:tr>
      <w:tr w:rsidR="00F26016" w:rsidRPr="00F26016" w14:paraId="503834C4" w14:textId="77777777" w:rsidTr="00F26016">
        <w:trPr>
          <w:trHeight w:val="300"/>
        </w:trPr>
        <w:tc>
          <w:tcPr>
            <w:tcW w:w="1140" w:type="dxa"/>
            <w:tcBorders>
              <w:top w:val="nil"/>
              <w:left w:val="nil"/>
              <w:bottom w:val="nil"/>
              <w:right w:val="nil"/>
            </w:tcBorders>
            <w:shd w:val="clear" w:color="auto" w:fill="auto"/>
            <w:noWrap/>
            <w:hideMark/>
          </w:tcPr>
          <w:p w14:paraId="0265F2F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w:t>
            </w:r>
          </w:p>
        </w:tc>
        <w:tc>
          <w:tcPr>
            <w:tcW w:w="1200" w:type="dxa"/>
            <w:tcBorders>
              <w:top w:val="nil"/>
              <w:left w:val="nil"/>
              <w:bottom w:val="nil"/>
              <w:right w:val="nil"/>
            </w:tcBorders>
            <w:shd w:val="clear" w:color="auto" w:fill="auto"/>
            <w:noWrap/>
            <w:hideMark/>
          </w:tcPr>
          <w:p w14:paraId="1C27E18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4103B70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4692A21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026094C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4E37B8D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4ABB965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1984080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7934249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64.8</w:t>
            </w:r>
          </w:p>
        </w:tc>
        <w:tc>
          <w:tcPr>
            <w:tcW w:w="920" w:type="dxa"/>
            <w:tcBorders>
              <w:top w:val="nil"/>
              <w:left w:val="nil"/>
              <w:bottom w:val="nil"/>
              <w:right w:val="nil"/>
            </w:tcBorders>
            <w:shd w:val="clear" w:color="auto" w:fill="auto"/>
            <w:noWrap/>
            <w:vAlign w:val="bottom"/>
            <w:hideMark/>
          </w:tcPr>
          <w:p w14:paraId="606CBC5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15.9</w:t>
            </w:r>
          </w:p>
        </w:tc>
        <w:tc>
          <w:tcPr>
            <w:tcW w:w="741" w:type="dxa"/>
            <w:tcBorders>
              <w:top w:val="nil"/>
              <w:left w:val="nil"/>
              <w:bottom w:val="nil"/>
              <w:right w:val="nil"/>
            </w:tcBorders>
            <w:shd w:val="clear" w:color="auto" w:fill="auto"/>
            <w:noWrap/>
            <w:vAlign w:val="bottom"/>
            <w:hideMark/>
          </w:tcPr>
          <w:p w14:paraId="4681A59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73.5</w:t>
            </w:r>
          </w:p>
        </w:tc>
        <w:tc>
          <w:tcPr>
            <w:tcW w:w="785" w:type="dxa"/>
            <w:tcBorders>
              <w:top w:val="nil"/>
              <w:left w:val="nil"/>
              <w:bottom w:val="nil"/>
              <w:right w:val="nil"/>
            </w:tcBorders>
            <w:shd w:val="clear" w:color="auto" w:fill="auto"/>
            <w:noWrap/>
            <w:vAlign w:val="bottom"/>
            <w:hideMark/>
          </w:tcPr>
          <w:p w14:paraId="76B9E80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12.1</w:t>
            </w:r>
          </w:p>
        </w:tc>
        <w:tc>
          <w:tcPr>
            <w:tcW w:w="732" w:type="dxa"/>
            <w:tcBorders>
              <w:top w:val="nil"/>
              <w:left w:val="nil"/>
              <w:bottom w:val="nil"/>
              <w:right w:val="nil"/>
            </w:tcBorders>
            <w:shd w:val="clear" w:color="auto" w:fill="auto"/>
            <w:noWrap/>
            <w:vAlign w:val="bottom"/>
            <w:hideMark/>
          </w:tcPr>
          <w:p w14:paraId="5507E08F" w14:textId="77777777" w:rsidR="00F26016" w:rsidRPr="00F26016" w:rsidRDefault="00F26016" w:rsidP="00F26016">
            <w:pPr>
              <w:rPr>
                <w:rFonts w:ascii="Calibri" w:eastAsia="Times New Roman" w:hAnsi="Calibri" w:cs="Times New Roman"/>
                <w:color w:val="000000"/>
                <w:sz w:val="16"/>
                <w:szCs w:val="16"/>
              </w:rPr>
            </w:pPr>
          </w:p>
        </w:tc>
        <w:tc>
          <w:tcPr>
            <w:tcW w:w="860" w:type="dxa"/>
            <w:tcBorders>
              <w:top w:val="nil"/>
              <w:left w:val="nil"/>
              <w:bottom w:val="nil"/>
              <w:right w:val="nil"/>
            </w:tcBorders>
            <w:shd w:val="clear" w:color="auto" w:fill="auto"/>
            <w:noWrap/>
            <w:vAlign w:val="bottom"/>
            <w:hideMark/>
          </w:tcPr>
          <w:p w14:paraId="2A3EC3D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72.5</w:t>
            </w:r>
          </w:p>
        </w:tc>
        <w:tc>
          <w:tcPr>
            <w:tcW w:w="960" w:type="dxa"/>
            <w:tcBorders>
              <w:top w:val="nil"/>
              <w:left w:val="nil"/>
              <w:bottom w:val="nil"/>
              <w:right w:val="nil"/>
            </w:tcBorders>
            <w:shd w:val="clear" w:color="auto" w:fill="auto"/>
            <w:noWrap/>
            <w:vAlign w:val="bottom"/>
            <w:hideMark/>
          </w:tcPr>
          <w:p w14:paraId="44EAD1B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360.8</w:t>
            </w:r>
          </w:p>
        </w:tc>
        <w:tc>
          <w:tcPr>
            <w:tcW w:w="689" w:type="dxa"/>
            <w:tcBorders>
              <w:top w:val="nil"/>
              <w:left w:val="nil"/>
              <w:bottom w:val="nil"/>
              <w:right w:val="nil"/>
            </w:tcBorders>
            <w:shd w:val="clear" w:color="auto" w:fill="auto"/>
            <w:noWrap/>
            <w:vAlign w:val="bottom"/>
            <w:hideMark/>
          </w:tcPr>
          <w:p w14:paraId="7F7B1F9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901.6</w:t>
            </w:r>
          </w:p>
        </w:tc>
        <w:tc>
          <w:tcPr>
            <w:tcW w:w="1000" w:type="dxa"/>
            <w:tcBorders>
              <w:top w:val="nil"/>
              <w:left w:val="nil"/>
              <w:bottom w:val="nil"/>
              <w:right w:val="nil"/>
            </w:tcBorders>
            <w:shd w:val="clear" w:color="auto" w:fill="auto"/>
            <w:noWrap/>
            <w:vAlign w:val="bottom"/>
            <w:hideMark/>
          </w:tcPr>
          <w:p w14:paraId="31777E6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130.2</w:t>
            </w:r>
          </w:p>
        </w:tc>
      </w:tr>
      <w:tr w:rsidR="00F26016" w:rsidRPr="00F26016" w14:paraId="64C4E230" w14:textId="77777777" w:rsidTr="00F26016">
        <w:trPr>
          <w:trHeight w:val="300"/>
        </w:trPr>
        <w:tc>
          <w:tcPr>
            <w:tcW w:w="1140" w:type="dxa"/>
            <w:tcBorders>
              <w:top w:val="nil"/>
              <w:left w:val="nil"/>
              <w:bottom w:val="nil"/>
              <w:right w:val="nil"/>
            </w:tcBorders>
            <w:shd w:val="clear" w:color="auto" w:fill="auto"/>
            <w:noWrap/>
            <w:hideMark/>
          </w:tcPr>
          <w:p w14:paraId="174D21C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w:t>
            </w:r>
          </w:p>
        </w:tc>
        <w:tc>
          <w:tcPr>
            <w:tcW w:w="1200" w:type="dxa"/>
            <w:tcBorders>
              <w:top w:val="nil"/>
              <w:left w:val="nil"/>
              <w:bottom w:val="nil"/>
              <w:right w:val="nil"/>
            </w:tcBorders>
            <w:shd w:val="clear" w:color="auto" w:fill="auto"/>
            <w:noWrap/>
            <w:hideMark/>
          </w:tcPr>
          <w:p w14:paraId="0515188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155A88A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4D382197"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7D6D71E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6AB8634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3EC6182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5098625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0101478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56.5</w:t>
            </w:r>
          </w:p>
        </w:tc>
        <w:tc>
          <w:tcPr>
            <w:tcW w:w="920" w:type="dxa"/>
            <w:tcBorders>
              <w:top w:val="nil"/>
              <w:left w:val="nil"/>
              <w:bottom w:val="nil"/>
              <w:right w:val="nil"/>
            </w:tcBorders>
            <w:shd w:val="clear" w:color="auto" w:fill="auto"/>
            <w:noWrap/>
            <w:vAlign w:val="bottom"/>
            <w:hideMark/>
          </w:tcPr>
          <w:p w14:paraId="2920AD3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7.7</w:t>
            </w:r>
          </w:p>
        </w:tc>
        <w:tc>
          <w:tcPr>
            <w:tcW w:w="741" w:type="dxa"/>
            <w:tcBorders>
              <w:top w:val="nil"/>
              <w:left w:val="nil"/>
              <w:bottom w:val="nil"/>
              <w:right w:val="nil"/>
            </w:tcBorders>
            <w:shd w:val="clear" w:color="auto" w:fill="auto"/>
            <w:noWrap/>
            <w:vAlign w:val="bottom"/>
            <w:hideMark/>
          </w:tcPr>
          <w:p w14:paraId="65A1641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11.2</w:t>
            </w:r>
          </w:p>
        </w:tc>
        <w:tc>
          <w:tcPr>
            <w:tcW w:w="785" w:type="dxa"/>
            <w:tcBorders>
              <w:top w:val="nil"/>
              <w:left w:val="nil"/>
              <w:bottom w:val="nil"/>
              <w:right w:val="nil"/>
            </w:tcBorders>
            <w:shd w:val="clear" w:color="auto" w:fill="auto"/>
            <w:noWrap/>
            <w:vAlign w:val="bottom"/>
            <w:hideMark/>
          </w:tcPr>
          <w:p w14:paraId="7B8A385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6.8</w:t>
            </w:r>
          </w:p>
        </w:tc>
        <w:tc>
          <w:tcPr>
            <w:tcW w:w="732" w:type="dxa"/>
            <w:tcBorders>
              <w:top w:val="nil"/>
              <w:left w:val="nil"/>
              <w:bottom w:val="nil"/>
              <w:right w:val="nil"/>
            </w:tcBorders>
            <w:shd w:val="clear" w:color="auto" w:fill="auto"/>
            <w:noWrap/>
            <w:vAlign w:val="bottom"/>
            <w:hideMark/>
          </w:tcPr>
          <w:p w14:paraId="00A0193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94.3</w:t>
            </w:r>
          </w:p>
        </w:tc>
        <w:tc>
          <w:tcPr>
            <w:tcW w:w="860" w:type="dxa"/>
            <w:tcBorders>
              <w:top w:val="nil"/>
              <w:left w:val="nil"/>
              <w:bottom w:val="nil"/>
              <w:right w:val="nil"/>
            </w:tcBorders>
            <w:shd w:val="clear" w:color="auto" w:fill="auto"/>
            <w:noWrap/>
            <w:vAlign w:val="bottom"/>
            <w:hideMark/>
          </w:tcPr>
          <w:p w14:paraId="18F3B15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6.8</w:t>
            </w:r>
          </w:p>
        </w:tc>
        <w:tc>
          <w:tcPr>
            <w:tcW w:w="960" w:type="dxa"/>
            <w:tcBorders>
              <w:top w:val="nil"/>
              <w:left w:val="nil"/>
              <w:bottom w:val="nil"/>
              <w:right w:val="nil"/>
            </w:tcBorders>
            <w:shd w:val="clear" w:color="auto" w:fill="auto"/>
            <w:noWrap/>
            <w:vAlign w:val="bottom"/>
            <w:hideMark/>
          </w:tcPr>
          <w:p w14:paraId="57E71B1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254.2</w:t>
            </w:r>
          </w:p>
        </w:tc>
        <w:tc>
          <w:tcPr>
            <w:tcW w:w="689" w:type="dxa"/>
            <w:tcBorders>
              <w:top w:val="nil"/>
              <w:left w:val="nil"/>
              <w:bottom w:val="nil"/>
              <w:right w:val="nil"/>
            </w:tcBorders>
            <w:shd w:val="clear" w:color="auto" w:fill="auto"/>
            <w:noWrap/>
            <w:vAlign w:val="bottom"/>
            <w:hideMark/>
          </w:tcPr>
          <w:p w14:paraId="58072772"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623.4</w:t>
            </w:r>
          </w:p>
        </w:tc>
        <w:tc>
          <w:tcPr>
            <w:tcW w:w="1000" w:type="dxa"/>
            <w:tcBorders>
              <w:top w:val="nil"/>
              <w:left w:val="nil"/>
              <w:bottom w:val="nil"/>
              <w:right w:val="nil"/>
            </w:tcBorders>
            <w:shd w:val="clear" w:color="auto" w:fill="auto"/>
            <w:noWrap/>
            <w:vAlign w:val="bottom"/>
            <w:hideMark/>
          </w:tcPr>
          <w:p w14:paraId="258119B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189.4</w:t>
            </w:r>
          </w:p>
        </w:tc>
      </w:tr>
      <w:tr w:rsidR="00F26016" w:rsidRPr="00F26016" w14:paraId="15079FE2" w14:textId="77777777" w:rsidTr="00F26016">
        <w:trPr>
          <w:trHeight w:val="300"/>
        </w:trPr>
        <w:tc>
          <w:tcPr>
            <w:tcW w:w="1140" w:type="dxa"/>
            <w:tcBorders>
              <w:top w:val="nil"/>
              <w:left w:val="nil"/>
              <w:bottom w:val="nil"/>
              <w:right w:val="nil"/>
            </w:tcBorders>
            <w:shd w:val="clear" w:color="auto" w:fill="auto"/>
            <w:noWrap/>
            <w:hideMark/>
          </w:tcPr>
          <w:p w14:paraId="702641A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w:t>
            </w:r>
          </w:p>
        </w:tc>
        <w:tc>
          <w:tcPr>
            <w:tcW w:w="1200" w:type="dxa"/>
            <w:tcBorders>
              <w:top w:val="nil"/>
              <w:left w:val="nil"/>
              <w:bottom w:val="nil"/>
              <w:right w:val="nil"/>
            </w:tcBorders>
            <w:shd w:val="clear" w:color="auto" w:fill="auto"/>
            <w:noWrap/>
            <w:hideMark/>
          </w:tcPr>
          <w:p w14:paraId="06B2557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0285014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438E0AB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3B3D916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4400107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5185266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7C1E666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354C41D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w:t>
            </w:r>
          </w:p>
        </w:tc>
        <w:tc>
          <w:tcPr>
            <w:tcW w:w="920" w:type="dxa"/>
            <w:tcBorders>
              <w:top w:val="nil"/>
              <w:left w:val="nil"/>
              <w:bottom w:val="nil"/>
              <w:right w:val="nil"/>
            </w:tcBorders>
            <w:shd w:val="clear" w:color="auto" w:fill="auto"/>
            <w:noWrap/>
            <w:vAlign w:val="bottom"/>
            <w:hideMark/>
          </w:tcPr>
          <w:p w14:paraId="49875BE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18.8</w:t>
            </w:r>
          </w:p>
        </w:tc>
        <w:tc>
          <w:tcPr>
            <w:tcW w:w="741" w:type="dxa"/>
            <w:tcBorders>
              <w:top w:val="nil"/>
              <w:left w:val="nil"/>
              <w:bottom w:val="nil"/>
              <w:right w:val="nil"/>
            </w:tcBorders>
            <w:shd w:val="clear" w:color="auto" w:fill="auto"/>
            <w:noWrap/>
            <w:vAlign w:val="bottom"/>
            <w:hideMark/>
          </w:tcPr>
          <w:p w14:paraId="68DCA11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12.4</w:t>
            </w:r>
          </w:p>
        </w:tc>
        <w:tc>
          <w:tcPr>
            <w:tcW w:w="785" w:type="dxa"/>
            <w:tcBorders>
              <w:top w:val="nil"/>
              <w:left w:val="nil"/>
              <w:bottom w:val="nil"/>
              <w:right w:val="nil"/>
            </w:tcBorders>
            <w:shd w:val="clear" w:color="auto" w:fill="auto"/>
            <w:noWrap/>
            <w:vAlign w:val="bottom"/>
            <w:hideMark/>
          </w:tcPr>
          <w:p w14:paraId="731D3E8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13.2</w:t>
            </w:r>
          </w:p>
        </w:tc>
        <w:tc>
          <w:tcPr>
            <w:tcW w:w="732" w:type="dxa"/>
            <w:tcBorders>
              <w:top w:val="nil"/>
              <w:left w:val="nil"/>
              <w:bottom w:val="nil"/>
              <w:right w:val="nil"/>
            </w:tcBorders>
            <w:shd w:val="clear" w:color="auto" w:fill="auto"/>
            <w:noWrap/>
            <w:vAlign w:val="bottom"/>
            <w:hideMark/>
          </w:tcPr>
          <w:p w14:paraId="43F4CA5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51.3</w:t>
            </w:r>
          </w:p>
        </w:tc>
        <w:tc>
          <w:tcPr>
            <w:tcW w:w="860" w:type="dxa"/>
            <w:tcBorders>
              <w:top w:val="nil"/>
              <w:left w:val="nil"/>
              <w:bottom w:val="nil"/>
              <w:right w:val="nil"/>
            </w:tcBorders>
            <w:shd w:val="clear" w:color="auto" w:fill="auto"/>
            <w:noWrap/>
            <w:vAlign w:val="bottom"/>
            <w:hideMark/>
          </w:tcPr>
          <w:p w14:paraId="21022FE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37.5</w:t>
            </w:r>
          </w:p>
        </w:tc>
        <w:tc>
          <w:tcPr>
            <w:tcW w:w="960" w:type="dxa"/>
            <w:tcBorders>
              <w:top w:val="nil"/>
              <w:left w:val="nil"/>
              <w:bottom w:val="nil"/>
              <w:right w:val="nil"/>
            </w:tcBorders>
            <w:shd w:val="clear" w:color="auto" w:fill="auto"/>
            <w:noWrap/>
            <w:vAlign w:val="bottom"/>
            <w:hideMark/>
          </w:tcPr>
          <w:p w14:paraId="6BF4D71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115.3</w:t>
            </w:r>
          </w:p>
        </w:tc>
        <w:tc>
          <w:tcPr>
            <w:tcW w:w="689" w:type="dxa"/>
            <w:tcBorders>
              <w:top w:val="nil"/>
              <w:left w:val="nil"/>
              <w:bottom w:val="nil"/>
              <w:right w:val="nil"/>
            </w:tcBorders>
            <w:shd w:val="clear" w:color="auto" w:fill="auto"/>
            <w:noWrap/>
            <w:vAlign w:val="bottom"/>
            <w:hideMark/>
          </w:tcPr>
          <w:p w14:paraId="2AED225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633.1</w:t>
            </w:r>
          </w:p>
        </w:tc>
        <w:tc>
          <w:tcPr>
            <w:tcW w:w="1000" w:type="dxa"/>
            <w:tcBorders>
              <w:top w:val="nil"/>
              <w:left w:val="nil"/>
              <w:bottom w:val="nil"/>
              <w:right w:val="nil"/>
            </w:tcBorders>
            <w:shd w:val="clear" w:color="auto" w:fill="auto"/>
            <w:noWrap/>
            <w:vAlign w:val="bottom"/>
            <w:hideMark/>
          </w:tcPr>
          <w:p w14:paraId="664C37D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159.5</w:t>
            </w:r>
          </w:p>
        </w:tc>
      </w:tr>
      <w:tr w:rsidR="00F26016" w:rsidRPr="00F26016" w14:paraId="1A4414F8" w14:textId="77777777" w:rsidTr="00F26016">
        <w:trPr>
          <w:trHeight w:val="300"/>
        </w:trPr>
        <w:tc>
          <w:tcPr>
            <w:tcW w:w="1140" w:type="dxa"/>
            <w:tcBorders>
              <w:top w:val="nil"/>
              <w:left w:val="nil"/>
              <w:bottom w:val="nil"/>
              <w:right w:val="nil"/>
            </w:tcBorders>
            <w:shd w:val="clear" w:color="auto" w:fill="auto"/>
            <w:noWrap/>
            <w:hideMark/>
          </w:tcPr>
          <w:p w14:paraId="608D53F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w:t>
            </w:r>
          </w:p>
        </w:tc>
        <w:tc>
          <w:tcPr>
            <w:tcW w:w="1200" w:type="dxa"/>
            <w:tcBorders>
              <w:top w:val="nil"/>
              <w:left w:val="nil"/>
              <w:bottom w:val="nil"/>
              <w:right w:val="nil"/>
            </w:tcBorders>
            <w:shd w:val="clear" w:color="auto" w:fill="auto"/>
            <w:noWrap/>
            <w:hideMark/>
          </w:tcPr>
          <w:p w14:paraId="28DB847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0875E9F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2E9D00D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58372C9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Pre-Dawn</w:t>
            </w:r>
          </w:p>
        </w:tc>
        <w:tc>
          <w:tcPr>
            <w:tcW w:w="780" w:type="dxa"/>
            <w:tcBorders>
              <w:top w:val="nil"/>
              <w:left w:val="nil"/>
              <w:bottom w:val="nil"/>
              <w:right w:val="nil"/>
            </w:tcBorders>
            <w:shd w:val="clear" w:color="auto" w:fill="auto"/>
            <w:noWrap/>
            <w:hideMark/>
          </w:tcPr>
          <w:p w14:paraId="57B5DAC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7696897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0824622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76D6A71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81.9</w:t>
            </w:r>
          </w:p>
        </w:tc>
        <w:tc>
          <w:tcPr>
            <w:tcW w:w="920" w:type="dxa"/>
            <w:tcBorders>
              <w:top w:val="nil"/>
              <w:left w:val="nil"/>
              <w:bottom w:val="nil"/>
              <w:right w:val="nil"/>
            </w:tcBorders>
            <w:shd w:val="clear" w:color="auto" w:fill="auto"/>
            <w:noWrap/>
            <w:vAlign w:val="bottom"/>
            <w:hideMark/>
          </w:tcPr>
          <w:p w14:paraId="23D61D2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53.8</w:t>
            </w:r>
          </w:p>
        </w:tc>
        <w:tc>
          <w:tcPr>
            <w:tcW w:w="741" w:type="dxa"/>
            <w:tcBorders>
              <w:top w:val="nil"/>
              <w:left w:val="nil"/>
              <w:bottom w:val="nil"/>
              <w:right w:val="nil"/>
            </w:tcBorders>
            <w:shd w:val="clear" w:color="auto" w:fill="auto"/>
            <w:noWrap/>
            <w:vAlign w:val="bottom"/>
            <w:hideMark/>
          </w:tcPr>
          <w:p w14:paraId="6828AFA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149.0</w:t>
            </w:r>
          </w:p>
        </w:tc>
        <w:tc>
          <w:tcPr>
            <w:tcW w:w="785" w:type="dxa"/>
            <w:tcBorders>
              <w:top w:val="nil"/>
              <w:left w:val="nil"/>
              <w:bottom w:val="nil"/>
              <w:right w:val="nil"/>
            </w:tcBorders>
            <w:shd w:val="clear" w:color="auto" w:fill="auto"/>
            <w:noWrap/>
            <w:vAlign w:val="bottom"/>
            <w:hideMark/>
          </w:tcPr>
          <w:p w14:paraId="7BE6FDF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47.6</w:t>
            </w:r>
          </w:p>
        </w:tc>
        <w:tc>
          <w:tcPr>
            <w:tcW w:w="732" w:type="dxa"/>
            <w:tcBorders>
              <w:top w:val="nil"/>
              <w:left w:val="nil"/>
              <w:bottom w:val="nil"/>
              <w:right w:val="nil"/>
            </w:tcBorders>
            <w:shd w:val="clear" w:color="auto" w:fill="auto"/>
            <w:noWrap/>
            <w:vAlign w:val="bottom"/>
            <w:hideMark/>
          </w:tcPr>
          <w:p w14:paraId="67A8FEC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87.3</w:t>
            </w:r>
          </w:p>
        </w:tc>
        <w:tc>
          <w:tcPr>
            <w:tcW w:w="860" w:type="dxa"/>
            <w:tcBorders>
              <w:top w:val="nil"/>
              <w:left w:val="nil"/>
              <w:bottom w:val="nil"/>
              <w:right w:val="nil"/>
            </w:tcBorders>
            <w:shd w:val="clear" w:color="auto" w:fill="auto"/>
            <w:noWrap/>
            <w:vAlign w:val="bottom"/>
            <w:hideMark/>
          </w:tcPr>
          <w:p w14:paraId="5944399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127.3</w:t>
            </w:r>
          </w:p>
        </w:tc>
        <w:tc>
          <w:tcPr>
            <w:tcW w:w="960" w:type="dxa"/>
            <w:tcBorders>
              <w:top w:val="nil"/>
              <w:left w:val="nil"/>
              <w:bottom w:val="nil"/>
              <w:right w:val="nil"/>
            </w:tcBorders>
            <w:shd w:val="clear" w:color="auto" w:fill="auto"/>
            <w:noWrap/>
            <w:vAlign w:val="bottom"/>
            <w:hideMark/>
          </w:tcPr>
          <w:p w14:paraId="29615EDF" w14:textId="77777777" w:rsidR="00F26016" w:rsidRPr="00F26016" w:rsidRDefault="00F26016" w:rsidP="00F26016">
            <w:pPr>
              <w:rPr>
                <w:rFonts w:ascii="Calibri" w:eastAsia="Times New Roman" w:hAnsi="Calibri" w:cs="Times New Roman"/>
                <w:color w:val="000000"/>
                <w:sz w:val="16"/>
                <w:szCs w:val="16"/>
              </w:rPr>
            </w:pPr>
          </w:p>
        </w:tc>
        <w:tc>
          <w:tcPr>
            <w:tcW w:w="689" w:type="dxa"/>
            <w:tcBorders>
              <w:top w:val="nil"/>
              <w:left w:val="nil"/>
              <w:bottom w:val="nil"/>
              <w:right w:val="nil"/>
            </w:tcBorders>
            <w:shd w:val="clear" w:color="auto" w:fill="auto"/>
            <w:noWrap/>
            <w:vAlign w:val="bottom"/>
            <w:hideMark/>
          </w:tcPr>
          <w:p w14:paraId="178159C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674.5</w:t>
            </w:r>
          </w:p>
        </w:tc>
        <w:tc>
          <w:tcPr>
            <w:tcW w:w="1000" w:type="dxa"/>
            <w:tcBorders>
              <w:top w:val="nil"/>
              <w:left w:val="nil"/>
              <w:bottom w:val="nil"/>
              <w:right w:val="nil"/>
            </w:tcBorders>
            <w:shd w:val="clear" w:color="auto" w:fill="auto"/>
            <w:noWrap/>
            <w:vAlign w:val="bottom"/>
            <w:hideMark/>
          </w:tcPr>
          <w:p w14:paraId="585D9C5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128.4</w:t>
            </w:r>
          </w:p>
        </w:tc>
      </w:tr>
      <w:tr w:rsidR="00F26016" w:rsidRPr="00F26016" w14:paraId="546EA49D" w14:textId="77777777" w:rsidTr="00F26016">
        <w:trPr>
          <w:trHeight w:val="300"/>
        </w:trPr>
        <w:tc>
          <w:tcPr>
            <w:tcW w:w="1140" w:type="dxa"/>
            <w:tcBorders>
              <w:top w:val="nil"/>
              <w:left w:val="nil"/>
              <w:bottom w:val="nil"/>
              <w:right w:val="nil"/>
            </w:tcBorders>
            <w:shd w:val="clear" w:color="auto" w:fill="auto"/>
            <w:noWrap/>
            <w:hideMark/>
          </w:tcPr>
          <w:p w14:paraId="40E533A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w:t>
            </w:r>
          </w:p>
        </w:tc>
        <w:tc>
          <w:tcPr>
            <w:tcW w:w="1200" w:type="dxa"/>
            <w:tcBorders>
              <w:top w:val="nil"/>
              <w:left w:val="nil"/>
              <w:bottom w:val="nil"/>
              <w:right w:val="nil"/>
            </w:tcBorders>
            <w:shd w:val="clear" w:color="auto" w:fill="auto"/>
            <w:noWrap/>
            <w:hideMark/>
          </w:tcPr>
          <w:p w14:paraId="33FA708B"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29BC622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3B0E745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349134D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41A43D9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54DCD4B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36D9C6D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5BAE668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252.4</w:t>
            </w:r>
          </w:p>
        </w:tc>
        <w:tc>
          <w:tcPr>
            <w:tcW w:w="920" w:type="dxa"/>
            <w:tcBorders>
              <w:top w:val="nil"/>
              <w:left w:val="nil"/>
              <w:bottom w:val="nil"/>
              <w:right w:val="nil"/>
            </w:tcBorders>
            <w:shd w:val="clear" w:color="auto" w:fill="auto"/>
            <w:noWrap/>
            <w:vAlign w:val="bottom"/>
            <w:hideMark/>
          </w:tcPr>
          <w:p w14:paraId="4C9FE78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28.7</w:t>
            </w:r>
          </w:p>
        </w:tc>
        <w:tc>
          <w:tcPr>
            <w:tcW w:w="741" w:type="dxa"/>
            <w:tcBorders>
              <w:top w:val="nil"/>
              <w:left w:val="nil"/>
              <w:bottom w:val="nil"/>
              <w:right w:val="nil"/>
            </w:tcBorders>
            <w:shd w:val="clear" w:color="auto" w:fill="auto"/>
            <w:noWrap/>
            <w:vAlign w:val="bottom"/>
            <w:hideMark/>
          </w:tcPr>
          <w:p w14:paraId="2D82703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22.1</w:t>
            </w:r>
          </w:p>
        </w:tc>
        <w:tc>
          <w:tcPr>
            <w:tcW w:w="785" w:type="dxa"/>
            <w:tcBorders>
              <w:top w:val="nil"/>
              <w:left w:val="nil"/>
              <w:bottom w:val="nil"/>
              <w:right w:val="nil"/>
            </w:tcBorders>
            <w:shd w:val="clear" w:color="auto" w:fill="auto"/>
            <w:noWrap/>
            <w:vAlign w:val="bottom"/>
            <w:hideMark/>
          </w:tcPr>
          <w:p w14:paraId="001730E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15.2</w:t>
            </w:r>
          </w:p>
        </w:tc>
        <w:tc>
          <w:tcPr>
            <w:tcW w:w="732" w:type="dxa"/>
            <w:tcBorders>
              <w:top w:val="nil"/>
              <w:left w:val="nil"/>
              <w:bottom w:val="nil"/>
              <w:right w:val="nil"/>
            </w:tcBorders>
            <w:shd w:val="clear" w:color="auto" w:fill="auto"/>
            <w:noWrap/>
            <w:vAlign w:val="bottom"/>
            <w:hideMark/>
          </w:tcPr>
          <w:p w14:paraId="14BC596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968.9</w:t>
            </w:r>
          </w:p>
        </w:tc>
        <w:tc>
          <w:tcPr>
            <w:tcW w:w="860" w:type="dxa"/>
            <w:tcBorders>
              <w:top w:val="nil"/>
              <w:left w:val="nil"/>
              <w:bottom w:val="nil"/>
              <w:right w:val="nil"/>
            </w:tcBorders>
            <w:shd w:val="clear" w:color="auto" w:fill="auto"/>
            <w:noWrap/>
            <w:vAlign w:val="bottom"/>
            <w:hideMark/>
          </w:tcPr>
          <w:p w14:paraId="18BF6AF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24.3</w:t>
            </w:r>
          </w:p>
        </w:tc>
        <w:tc>
          <w:tcPr>
            <w:tcW w:w="960" w:type="dxa"/>
            <w:tcBorders>
              <w:top w:val="nil"/>
              <w:left w:val="nil"/>
              <w:bottom w:val="nil"/>
              <w:right w:val="nil"/>
            </w:tcBorders>
            <w:shd w:val="clear" w:color="auto" w:fill="auto"/>
            <w:noWrap/>
            <w:vAlign w:val="bottom"/>
            <w:hideMark/>
          </w:tcPr>
          <w:p w14:paraId="027747F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240.5</w:t>
            </w:r>
          </w:p>
        </w:tc>
        <w:tc>
          <w:tcPr>
            <w:tcW w:w="689" w:type="dxa"/>
            <w:tcBorders>
              <w:top w:val="nil"/>
              <w:left w:val="nil"/>
              <w:bottom w:val="nil"/>
              <w:right w:val="nil"/>
            </w:tcBorders>
            <w:shd w:val="clear" w:color="auto" w:fill="auto"/>
            <w:noWrap/>
            <w:vAlign w:val="bottom"/>
            <w:hideMark/>
          </w:tcPr>
          <w:p w14:paraId="3511766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638.7</w:t>
            </w:r>
          </w:p>
        </w:tc>
        <w:tc>
          <w:tcPr>
            <w:tcW w:w="1000" w:type="dxa"/>
            <w:tcBorders>
              <w:top w:val="nil"/>
              <w:left w:val="nil"/>
              <w:bottom w:val="nil"/>
              <w:right w:val="nil"/>
            </w:tcBorders>
            <w:shd w:val="clear" w:color="auto" w:fill="auto"/>
            <w:noWrap/>
            <w:vAlign w:val="bottom"/>
            <w:hideMark/>
          </w:tcPr>
          <w:p w14:paraId="79F8AF6B"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176.5</w:t>
            </w:r>
          </w:p>
        </w:tc>
      </w:tr>
      <w:tr w:rsidR="00F26016" w:rsidRPr="00F26016" w14:paraId="317813FD" w14:textId="77777777" w:rsidTr="00F26016">
        <w:trPr>
          <w:trHeight w:val="300"/>
        </w:trPr>
        <w:tc>
          <w:tcPr>
            <w:tcW w:w="1140" w:type="dxa"/>
            <w:tcBorders>
              <w:top w:val="nil"/>
              <w:left w:val="nil"/>
              <w:bottom w:val="nil"/>
              <w:right w:val="nil"/>
            </w:tcBorders>
            <w:shd w:val="clear" w:color="auto" w:fill="auto"/>
            <w:noWrap/>
            <w:hideMark/>
          </w:tcPr>
          <w:p w14:paraId="33AE07E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w:t>
            </w:r>
          </w:p>
        </w:tc>
        <w:tc>
          <w:tcPr>
            <w:tcW w:w="1200" w:type="dxa"/>
            <w:tcBorders>
              <w:top w:val="nil"/>
              <w:left w:val="nil"/>
              <w:bottom w:val="nil"/>
              <w:right w:val="nil"/>
            </w:tcBorders>
            <w:shd w:val="clear" w:color="auto" w:fill="auto"/>
            <w:noWrap/>
            <w:hideMark/>
          </w:tcPr>
          <w:p w14:paraId="3672263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543040F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5A39977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6E75094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1AF28A9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65BC995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0F53F64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231AC5F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6.1</w:t>
            </w:r>
          </w:p>
        </w:tc>
        <w:tc>
          <w:tcPr>
            <w:tcW w:w="920" w:type="dxa"/>
            <w:tcBorders>
              <w:top w:val="nil"/>
              <w:left w:val="nil"/>
              <w:bottom w:val="nil"/>
              <w:right w:val="nil"/>
            </w:tcBorders>
            <w:shd w:val="clear" w:color="auto" w:fill="auto"/>
            <w:noWrap/>
            <w:vAlign w:val="bottom"/>
            <w:hideMark/>
          </w:tcPr>
          <w:p w14:paraId="5528C6C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28.3</w:t>
            </w:r>
          </w:p>
        </w:tc>
        <w:tc>
          <w:tcPr>
            <w:tcW w:w="741" w:type="dxa"/>
            <w:tcBorders>
              <w:top w:val="nil"/>
              <w:left w:val="nil"/>
              <w:bottom w:val="nil"/>
              <w:right w:val="nil"/>
            </w:tcBorders>
            <w:shd w:val="clear" w:color="auto" w:fill="auto"/>
            <w:noWrap/>
            <w:vAlign w:val="bottom"/>
            <w:hideMark/>
          </w:tcPr>
          <w:p w14:paraId="185FAA4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7.6</w:t>
            </w:r>
          </w:p>
        </w:tc>
        <w:tc>
          <w:tcPr>
            <w:tcW w:w="785" w:type="dxa"/>
            <w:tcBorders>
              <w:top w:val="nil"/>
              <w:left w:val="nil"/>
              <w:bottom w:val="nil"/>
              <w:right w:val="nil"/>
            </w:tcBorders>
            <w:shd w:val="clear" w:color="auto" w:fill="auto"/>
            <w:noWrap/>
            <w:vAlign w:val="bottom"/>
            <w:hideMark/>
          </w:tcPr>
          <w:p w14:paraId="29140650"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9.1</w:t>
            </w:r>
          </w:p>
        </w:tc>
        <w:tc>
          <w:tcPr>
            <w:tcW w:w="732" w:type="dxa"/>
            <w:tcBorders>
              <w:top w:val="nil"/>
              <w:left w:val="nil"/>
              <w:bottom w:val="nil"/>
              <w:right w:val="nil"/>
            </w:tcBorders>
            <w:shd w:val="clear" w:color="auto" w:fill="auto"/>
            <w:noWrap/>
            <w:vAlign w:val="bottom"/>
            <w:hideMark/>
          </w:tcPr>
          <w:p w14:paraId="0042FE7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84.2</w:t>
            </w:r>
          </w:p>
        </w:tc>
        <w:tc>
          <w:tcPr>
            <w:tcW w:w="860" w:type="dxa"/>
            <w:tcBorders>
              <w:top w:val="nil"/>
              <w:left w:val="nil"/>
              <w:bottom w:val="nil"/>
              <w:right w:val="nil"/>
            </w:tcBorders>
            <w:shd w:val="clear" w:color="auto" w:fill="auto"/>
            <w:noWrap/>
            <w:vAlign w:val="bottom"/>
            <w:hideMark/>
          </w:tcPr>
          <w:p w14:paraId="2528AEB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49.4</w:t>
            </w:r>
          </w:p>
        </w:tc>
        <w:tc>
          <w:tcPr>
            <w:tcW w:w="960" w:type="dxa"/>
            <w:tcBorders>
              <w:top w:val="nil"/>
              <w:left w:val="nil"/>
              <w:bottom w:val="nil"/>
              <w:right w:val="nil"/>
            </w:tcBorders>
            <w:shd w:val="clear" w:color="auto" w:fill="auto"/>
            <w:noWrap/>
            <w:vAlign w:val="bottom"/>
            <w:hideMark/>
          </w:tcPr>
          <w:p w14:paraId="24C35EA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107.4</w:t>
            </w:r>
          </w:p>
        </w:tc>
        <w:tc>
          <w:tcPr>
            <w:tcW w:w="689" w:type="dxa"/>
            <w:tcBorders>
              <w:top w:val="nil"/>
              <w:left w:val="nil"/>
              <w:bottom w:val="nil"/>
              <w:right w:val="nil"/>
            </w:tcBorders>
            <w:shd w:val="clear" w:color="auto" w:fill="auto"/>
            <w:noWrap/>
            <w:vAlign w:val="bottom"/>
            <w:hideMark/>
          </w:tcPr>
          <w:p w14:paraId="7612E90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545.0</w:t>
            </w:r>
          </w:p>
        </w:tc>
        <w:tc>
          <w:tcPr>
            <w:tcW w:w="1000" w:type="dxa"/>
            <w:tcBorders>
              <w:top w:val="nil"/>
              <w:left w:val="nil"/>
              <w:bottom w:val="nil"/>
              <w:right w:val="nil"/>
            </w:tcBorders>
            <w:shd w:val="clear" w:color="auto" w:fill="auto"/>
            <w:noWrap/>
            <w:vAlign w:val="bottom"/>
            <w:hideMark/>
          </w:tcPr>
          <w:p w14:paraId="4E83CDB9"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153.6</w:t>
            </w:r>
          </w:p>
        </w:tc>
      </w:tr>
      <w:tr w:rsidR="00F26016" w:rsidRPr="00F26016" w14:paraId="4FC32A85" w14:textId="77777777" w:rsidTr="00F26016">
        <w:trPr>
          <w:trHeight w:val="300"/>
        </w:trPr>
        <w:tc>
          <w:tcPr>
            <w:tcW w:w="1140" w:type="dxa"/>
            <w:tcBorders>
              <w:top w:val="nil"/>
              <w:left w:val="nil"/>
              <w:bottom w:val="nil"/>
              <w:right w:val="nil"/>
            </w:tcBorders>
            <w:shd w:val="clear" w:color="auto" w:fill="auto"/>
            <w:noWrap/>
            <w:hideMark/>
          </w:tcPr>
          <w:p w14:paraId="66A3AC52"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28</w:t>
            </w:r>
          </w:p>
        </w:tc>
        <w:tc>
          <w:tcPr>
            <w:tcW w:w="1200" w:type="dxa"/>
            <w:tcBorders>
              <w:top w:val="nil"/>
              <w:left w:val="nil"/>
              <w:bottom w:val="nil"/>
              <w:right w:val="nil"/>
            </w:tcBorders>
            <w:shd w:val="clear" w:color="auto" w:fill="auto"/>
            <w:noWrap/>
            <w:hideMark/>
          </w:tcPr>
          <w:p w14:paraId="3016B6B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726C0D5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3648259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08D7A04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532C65A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6944E221"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12A3EEB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360AD84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90.3</w:t>
            </w:r>
          </w:p>
        </w:tc>
        <w:tc>
          <w:tcPr>
            <w:tcW w:w="920" w:type="dxa"/>
            <w:tcBorders>
              <w:top w:val="nil"/>
              <w:left w:val="nil"/>
              <w:bottom w:val="nil"/>
              <w:right w:val="nil"/>
            </w:tcBorders>
            <w:shd w:val="clear" w:color="auto" w:fill="auto"/>
            <w:noWrap/>
            <w:vAlign w:val="bottom"/>
            <w:hideMark/>
          </w:tcPr>
          <w:p w14:paraId="5918BD5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53.3</w:t>
            </w:r>
          </w:p>
        </w:tc>
        <w:tc>
          <w:tcPr>
            <w:tcW w:w="741" w:type="dxa"/>
            <w:tcBorders>
              <w:top w:val="nil"/>
              <w:left w:val="nil"/>
              <w:bottom w:val="nil"/>
              <w:right w:val="nil"/>
            </w:tcBorders>
            <w:shd w:val="clear" w:color="auto" w:fill="auto"/>
            <w:noWrap/>
            <w:vAlign w:val="bottom"/>
            <w:hideMark/>
          </w:tcPr>
          <w:p w14:paraId="2523A0D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149.4</w:t>
            </w:r>
          </w:p>
        </w:tc>
        <w:tc>
          <w:tcPr>
            <w:tcW w:w="785" w:type="dxa"/>
            <w:tcBorders>
              <w:top w:val="nil"/>
              <w:left w:val="nil"/>
              <w:bottom w:val="nil"/>
              <w:right w:val="nil"/>
            </w:tcBorders>
            <w:shd w:val="clear" w:color="auto" w:fill="auto"/>
            <w:noWrap/>
            <w:vAlign w:val="bottom"/>
            <w:hideMark/>
          </w:tcPr>
          <w:p w14:paraId="62DF59A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39.6</w:t>
            </w:r>
          </w:p>
        </w:tc>
        <w:tc>
          <w:tcPr>
            <w:tcW w:w="732" w:type="dxa"/>
            <w:tcBorders>
              <w:top w:val="nil"/>
              <w:left w:val="nil"/>
              <w:bottom w:val="nil"/>
              <w:right w:val="nil"/>
            </w:tcBorders>
            <w:shd w:val="clear" w:color="auto" w:fill="auto"/>
            <w:noWrap/>
            <w:vAlign w:val="bottom"/>
            <w:hideMark/>
          </w:tcPr>
          <w:p w14:paraId="2D80842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207.7</w:t>
            </w:r>
          </w:p>
        </w:tc>
        <w:tc>
          <w:tcPr>
            <w:tcW w:w="860" w:type="dxa"/>
            <w:tcBorders>
              <w:top w:val="nil"/>
              <w:left w:val="nil"/>
              <w:bottom w:val="nil"/>
              <w:right w:val="nil"/>
            </w:tcBorders>
            <w:shd w:val="clear" w:color="auto" w:fill="auto"/>
            <w:noWrap/>
            <w:vAlign w:val="bottom"/>
            <w:hideMark/>
          </w:tcPr>
          <w:p w14:paraId="365A0C5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166.3</w:t>
            </w:r>
          </w:p>
        </w:tc>
        <w:tc>
          <w:tcPr>
            <w:tcW w:w="960" w:type="dxa"/>
            <w:tcBorders>
              <w:top w:val="nil"/>
              <w:left w:val="nil"/>
              <w:bottom w:val="nil"/>
              <w:right w:val="nil"/>
            </w:tcBorders>
            <w:shd w:val="clear" w:color="auto" w:fill="auto"/>
            <w:noWrap/>
            <w:vAlign w:val="bottom"/>
            <w:hideMark/>
          </w:tcPr>
          <w:p w14:paraId="3797D5A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338.3</w:t>
            </w:r>
          </w:p>
        </w:tc>
        <w:tc>
          <w:tcPr>
            <w:tcW w:w="689" w:type="dxa"/>
            <w:tcBorders>
              <w:top w:val="nil"/>
              <w:left w:val="nil"/>
              <w:bottom w:val="nil"/>
              <w:right w:val="nil"/>
            </w:tcBorders>
            <w:shd w:val="clear" w:color="auto" w:fill="auto"/>
            <w:noWrap/>
            <w:vAlign w:val="bottom"/>
            <w:hideMark/>
          </w:tcPr>
          <w:p w14:paraId="56EC00B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712.0</w:t>
            </w:r>
          </w:p>
        </w:tc>
        <w:tc>
          <w:tcPr>
            <w:tcW w:w="1000" w:type="dxa"/>
            <w:tcBorders>
              <w:top w:val="nil"/>
              <w:left w:val="nil"/>
              <w:bottom w:val="nil"/>
              <w:right w:val="nil"/>
            </w:tcBorders>
            <w:shd w:val="clear" w:color="auto" w:fill="auto"/>
            <w:noWrap/>
            <w:vAlign w:val="bottom"/>
            <w:hideMark/>
          </w:tcPr>
          <w:p w14:paraId="36E379C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122.8</w:t>
            </w:r>
          </w:p>
        </w:tc>
      </w:tr>
      <w:tr w:rsidR="00F26016" w:rsidRPr="00F26016" w14:paraId="0C858D7C" w14:textId="77777777" w:rsidTr="00F26016">
        <w:trPr>
          <w:trHeight w:val="300"/>
        </w:trPr>
        <w:tc>
          <w:tcPr>
            <w:tcW w:w="1140" w:type="dxa"/>
            <w:tcBorders>
              <w:top w:val="nil"/>
              <w:left w:val="nil"/>
              <w:bottom w:val="nil"/>
              <w:right w:val="nil"/>
            </w:tcBorders>
            <w:shd w:val="clear" w:color="auto" w:fill="auto"/>
            <w:noWrap/>
            <w:hideMark/>
          </w:tcPr>
          <w:p w14:paraId="0D4313C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w:t>
            </w:r>
          </w:p>
        </w:tc>
        <w:tc>
          <w:tcPr>
            <w:tcW w:w="1200" w:type="dxa"/>
            <w:tcBorders>
              <w:top w:val="nil"/>
              <w:left w:val="nil"/>
              <w:bottom w:val="nil"/>
              <w:right w:val="nil"/>
            </w:tcBorders>
            <w:shd w:val="clear" w:color="auto" w:fill="auto"/>
            <w:noWrap/>
            <w:hideMark/>
          </w:tcPr>
          <w:p w14:paraId="615961A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3D04004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5D8BC85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5691609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22333010"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20C799E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w:t>
            </w:r>
          </w:p>
        </w:tc>
        <w:tc>
          <w:tcPr>
            <w:tcW w:w="980" w:type="dxa"/>
            <w:tcBorders>
              <w:top w:val="nil"/>
              <w:left w:val="nil"/>
              <w:bottom w:val="nil"/>
              <w:right w:val="nil"/>
            </w:tcBorders>
            <w:shd w:val="clear" w:color="auto" w:fill="auto"/>
            <w:noWrap/>
            <w:hideMark/>
          </w:tcPr>
          <w:p w14:paraId="2468D0D9"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6420CDB3"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262.4</w:t>
            </w:r>
          </w:p>
        </w:tc>
        <w:tc>
          <w:tcPr>
            <w:tcW w:w="920" w:type="dxa"/>
            <w:tcBorders>
              <w:top w:val="nil"/>
              <w:left w:val="nil"/>
              <w:bottom w:val="nil"/>
              <w:right w:val="nil"/>
            </w:tcBorders>
            <w:shd w:val="clear" w:color="auto" w:fill="auto"/>
            <w:noWrap/>
            <w:vAlign w:val="bottom"/>
            <w:hideMark/>
          </w:tcPr>
          <w:p w14:paraId="5980470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9.8</w:t>
            </w:r>
          </w:p>
        </w:tc>
        <w:tc>
          <w:tcPr>
            <w:tcW w:w="741" w:type="dxa"/>
            <w:tcBorders>
              <w:top w:val="nil"/>
              <w:left w:val="nil"/>
              <w:bottom w:val="nil"/>
              <w:right w:val="nil"/>
            </w:tcBorders>
            <w:shd w:val="clear" w:color="auto" w:fill="auto"/>
            <w:noWrap/>
            <w:vAlign w:val="bottom"/>
            <w:hideMark/>
          </w:tcPr>
          <w:p w14:paraId="2932EE0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20.9</w:t>
            </w:r>
          </w:p>
        </w:tc>
        <w:tc>
          <w:tcPr>
            <w:tcW w:w="785" w:type="dxa"/>
            <w:tcBorders>
              <w:top w:val="nil"/>
              <w:left w:val="nil"/>
              <w:bottom w:val="nil"/>
              <w:right w:val="nil"/>
            </w:tcBorders>
            <w:shd w:val="clear" w:color="auto" w:fill="auto"/>
            <w:noWrap/>
            <w:vAlign w:val="bottom"/>
            <w:hideMark/>
          </w:tcPr>
          <w:p w14:paraId="21E26BBF"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12.8</w:t>
            </w:r>
          </w:p>
        </w:tc>
        <w:tc>
          <w:tcPr>
            <w:tcW w:w="732" w:type="dxa"/>
            <w:tcBorders>
              <w:top w:val="nil"/>
              <w:left w:val="nil"/>
              <w:bottom w:val="nil"/>
              <w:right w:val="nil"/>
            </w:tcBorders>
            <w:shd w:val="clear" w:color="auto" w:fill="auto"/>
            <w:noWrap/>
            <w:vAlign w:val="bottom"/>
            <w:hideMark/>
          </w:tcPr>
          <w:p w14:paraId="064C32C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992.7</w:t>
            </w:r>
          </w:p>
        </w:tc>
        <w:tc>
          <w:tcPr>
            <w:tcW w:w="860" w:type="dxa"/>
            <w:tcBorders>
              <w:top w:val="nil"/>
              <w:left w:val="nil"/>
              <w:bottom w:val="nil"/>
              <w:right w:val="nil"/>
            </w:tcBorders>
            <w:shd w:val="clear" w:color="auto" w:fill="auto"/>
            <w:noWrap/>
            <w:vAlign w:val="bottom"/>
            <w:hideMark/>
          </w:tcPr>
          <w:p w14:paraId="34443B68" w14:textId="77777777" w:rsidR="00F26016" w:rsidRPr="00F26016" w:rsidRDefault="00F26016" w:rsidP="00F26016">
            <w:pPr>
              <w:rPr>
                <w:rFonts w:ascii="Calibri" w:eastAsia="Times New Roman" w:hAnsi="Calibri" w:cs="Times New Roman"/>
                <w:color w:val="000000"/>
                <w:sz w:val="16"/>
                <w:szCs w:val="16"/>
              </w:rPr>
            </w:pPr>
          </w:p>
        </w:tc>
        <w:tc>
          <w:tcPr>
            <w:tcW w:w="960" w:type="dxa"/>
            <w:tcBorders>
              <w:top w:val="nil"/>
              <w:left w:val="nil"/>
              <w:bottom w:val="nil"/>
              <w:right w:val="nil"/>
            </w:tcBorders>
            <w:shd w:val="clear" w:color="auto" w:fill="auto"/>
            <w:noWrap/>
            <w:vAlign w:val="bottom"/>
            <w:hideMark/>
          </w:tcPr>
          <w:p w14:paraId="38A7D315"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276.8</w:t>
            </w:r>
          </w:p>
        </w:tc>
        <w:tc>
          <w:tcPr>
            <w:tcW w:w="689" w:type="dxa"/>
            <w:tcBorders>
              <w:top w:val="nil"/>
              <w:left w:val="nil"/>
              <w:bottom w:val="nil"/>
              <w:right w:val="nil"/>
            </w:tcBorders>
            <w:shd w:val="clear" w:color="auto" w:fill="auto"/>
            <w:noWrap/>
            <w:vAlign w:val="bottom"/>
            <w:hideMark/>
          </w:tcPr>
          <w:p w14:paraId="19599F5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301.6</w:t>
            </w:r>
          </w:p>
        </w:tc>
        <w:tc>
          <w:tcPr>
            <w:tcW w:w="1000" w:type="dxa"/>
            <w:tcBorders>
              <w:top w:val="nil"/>
              <w:left w:val="nil"/>
              <w:bottom w:val="nil"/>
              <w:right w:val="nil"/>
            </w:tcBorders>
            <w:shd w:val="clear" w:color="auto" w:fill="auto"/>
            <w:noWrap/>
            <w:vAlign w:val="bottom"/>
            <w:hideMark/>
          </w:tcPr>
          <w:p w14:paraId="1E43078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201.4</w:t>
            </w:r>
          </w:p>
        </w:tc>
      </w:tr>
      <w:tr w:rsidR="00F26016" w:rsidRPr="00F26016" w14:paraId="153C93DA" w14:textId="77777777" w:rsidTr="00F26016">
        <w:trPr>
          <w:trHeight w:val="300"/>
        </w:trPr>
        <w:tc>
          <w:tcPr>
            <w:tcW w:w="1140" w:type="dxa"/>
            <w:tcBorders>
              <w:top w:val="nil"/>
              <w:left w:val="nil"/>
              <w:bottom w:val="nil"/>
              <w:right w:val="nil"/>
            </w:tcBorders>
            <w:shd w:val="clear" w:color="auto" w:fill="auto"/>
            <w:noWrap/>
            <w:hideMark/>
          </w:tcPr>
          <w:p w14:paraId="7A9178AE"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w:t>
            </w:r>
          </w:p>
        </w:tc>
        <w:tc>
          <w:tcPr>
            <w:tcW w:w="1200" w:type="dxa"/>
            <w:tcBorders>
              <w:top w:val="nil"/>
              <w:left w:val="nil"/>
              <w:bottom w:val="nil"/>
              <w:right w:val="nil"/>
            </w:tcBorders>
            <w:shd w:val="clear" w:color="auto" w:fill="auto"/>
            <w:noWrap/>
            <w:hideMark/>
          </w:tcPr>
          <w:p w14:paraId="39CF929D"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6B385DFC"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6C7A7B4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31D8B1B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61262EE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10E2AFC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root</w:t>
            </w:r>
          </w:p>
        </w:tc>
        <w:tc>
          <w:tcPr>
            <w:tcW w:w="980" w:type="dxa"/>
            <w:tcBorders>
              <w:top w:val="nil"/>
              <w:left w:val="nil"/>
              <w:bottom w:val="nil"/>
              <w:right w:val="nil"/>
            </w:tcBorders>
            <w:shd w:val="clear" w:color="auto" w:fill="auto"/>
            <w:noWrap/>
            <w:hideMark/>
          </w:tcPr>
          <w:p w14:paraId="637D7CC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60285C7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6.0</w:t>
            </w:r>
          </w:p>
        </w:tc>
        <w:tc>
          <w:tcPr>
            <w:tcW w:w="920" w:type="dxa"/>
            <w:tcBorders>
              <w:top w:val="nil"/>
              <w:left w:val="nil"/>
              <w:bottom w:val="nil"/>
              <w:right w:val="nil"/>
            </w:tcBorders>
            <w:shd w:val="clear" w:color="auto" w:fill="auto"/>
            <w:noWrap/>
            <w:vAlign w:val="bottom"/>
            <w:hideMark/>
          </w:tcPr>
          <w:p w14:paraId="0771403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12.6</w:t>
            </w:r>
          </w:p>
        </w:tc>
        <w:tc>
          <w:tcPr>
            <w:tcW w:w="741" w:type="dxa"/>
            <w:tcBorders>
              <w:top w:val="nil"/>
              <w:left w:val="nil"/>
              <w:bottom w:val="nil"/>
              <w:right w:val="nil"/>
            </w:tcBorders>
            <w:shd w:val="clear" w:color="auto" w:fill="auto"/>
            <w:noWrap/>
            <w:vAlign w:val="bottom"/>
            <w:hideMark/>
          </w:tcPr>
          <w:p w14:paraId="1EB8594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13.3</w:t>
            </w:r>
          </w:p>
        </w:tc>
        <w:tc>
          <w:tcPr>
            <w:tcW w:w="785" w:type="dxa"/>
            <w:tcBorders>
              <w:top w:val="nil"/>
              <w:left w:val="nil"/>
              <w:bottom w:val="nil"/>
              <w:right w:val="nil"/>
            </w:tcBorders>
            <w:shd w:val="clear" w:color="auto" w:fill="auto"/>
            <w:noWrap/>
            <w:vAlign w:val="bottom"/>
            <w:hideMark/>
          </w:tcPr>
          <w:p w14:paraId="21463C4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15.0</w:t>
            </w:r>
          </w:p>
        </w:tc>
        <w:tc>
          <w:tcPr>
            <w:tcW w:w="732" w:type="dxa"/>
            <w:tcBorders>
              <w:top w:val="nil"/>
              <w:left w:val="nil"/>
              <w:bottom w:val="nil"/>
              <w:right w:val="nil"/>
            </w:tcBorders>
            <w:shd w:val="clear" w:color="auto" w:fill="auto"/>
            <w:noWrap/>
            <w:vAlign w:val="bottom"/>
            <w:hideMark/>
          </w:tcPr>
          <w:p w14:paraId="1E836C2D"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57.0</w:t>
            </w:r>
          </w:p>
        </w:tc>
        <w:tc>
          <w:tcPr>
            <w:tcW w:w="860" w:type="dxa"/>
            <w:tcBorders>
              <w:top w:val="nil"/>
              <w:left w:val="nil"/>
              <w:bottom w:val="nil"/>
              <w:right w:val="nil"/>
            </w:tcBorders>
            <w:shd w:val="clear" w:color="auto" w:fill="auto"/>
            <w:noWrap/>
            <w:vAlign w:val="bottom"/>
            <w:hideMark/>
          </w:tcPr>
          <w:p w14:paraId="32D9C1E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26.4</w:t>
            </w:r>
          </w:p>
        </w:tc>
        <w:tc>
          <w:tcPr>
            <w:tcW w:w="960" w:type="dxa"/>
            <w:tcBorders>
              <w:top w:val="nil"/>
              <w:left w:val="nil"/>
              <w:bottom w:val="nil"/>
              <w:right w:val="nil"/>
            </w:tcBorders>
            <w:shd w:val="clear" w:color="auto" w:fill="auto"/>
            <w:noWrap/>
            <w:vAlign w:val="bottom"/>
            <w:hideMark/>
          </w:tcPr>
          <w:p w14:paraId="66F0A6A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73.7</w:t>
            </w:r>
          </w:p>
        </w:tc>
        <w:tc>
          <w:tcPr>
            <w:tcW w:w="689" w:type="dxa"/>
            <w:tcBorders>
              <w:top w:val="nil"/>
              <w:left w:val="nil"/>
              <w:bottom w:val="nil"/>
              <w:right w:val="nil"/>
            </w:tcBorders>
            <w:shd w:val="clear" w:color="auto" w:fill="auto"/>
            <w:noWrap/>
            <w:vAlign w:val="bottom"/>
            <w:hideMark/>
          </w:tcPr>
          <w:p w14:paraId="3936A93E"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866.0</w:t>
            </w:r>
          </w:p>
        </w:tc>
        <w:tc>
          <w:tcPr>
            <w:tcW w:w="1000" w:type="dxa"/>
            <w:tcBorders>
              <w:top w:val="nil"/>
              <w:left w:val="nil"/>
              <w:bottom w:val="nil"/>
              <w:right w:val="nil"/>
            </w:tcBorders>
            <w:shd w:val="clear" w:color="auto" w:fill="auto"/>
            <w:noWrap/>
            <w:vAlign w:val="bottom"/>
            <w:hideMark/>
          </w:tcPr>
          <w:p w14:paraId="01076F1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166.9</w:t>
            </w:r>
          </w:p>
        </w:tc>
      </w:tr>
      <w:tr w:rsidR="00F26016" w:rsidRPr="00F26016" w14:paraId="7739E6EB" w14:textId="77777777" w:rsidTr="00F26016">
        <w:trPr>
          <w:trHeight w:val="300"/>
        </w:trPr>
        <w:tc>
          <w:tcPr>
            <w:tcW w:w="1140" w:type="dxa"/>
            <w:tcBorders>
              <w:top w:val="nil"/>
              <w:left w:val="nil"/>
              <w:bottom w:val="nil"/>
              <w:right w:val="nil"/>
            </w:tcBorders>
            <w:shd w:val="clear" w:color="auto" w:fill="auto"/>
            <w:noWrap/>
            <w:hideMark/>
          </w:tcPr>
          <w:p w14:paraId="5000E045"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30</w:t>
            </w:r>
          </w:p>
        </w:tc>
        <w:tc>
          <w:tcPr>
            <w:tcW w:w="1200" w:type="dxa"/>
            <w:tcBorders>
              <w:top w:val="nil"/>
              <w:left w:val="nil"/>
              <w:bottom w:val="nil"/>
              <w:right w:val="nil"/>
            </w:tcBorders>
            <w:shd w:val="clear" w:color="auto" w:fill="auto"/>
            <w:noWrap/>
            <w:hideMark/>
          </w:tcPr>
          <w:p w14:paraId="4CA8A6BF"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pm</w:t>
            </w:r>
          </w:p>
        </w:tc>
        <w:tc>
          <w:tcPr>
            <w:tcW w:w="834" w:type="dxa"/>
            <w:tcBorders>
              <w:top w:val="nil"/>
              <w:left w:val="nil"/>
              <w:bottom w:val="nil"/>
              <w:right w:val="nil"/>
            </w:tcBorders>
            <w:shd w:val="clear" w:color="auto" w:fill="auto"/>
            <w:noWrap/>
            <w:hideMark/>
          </w:tcPr>
          <w:p w14:paraId="7D11D04A"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perennial</w:t>
            </w:r>
          </w:p>
        </w:tc>
        <w:tc>
          <w:tcPr>
            <w:tcW w:w="980" w:type="dxa"/>
            <w:tcBorders>
              <w:top w:val="nil"/>
              <w:left w:val="nil"/>
              <w:bottom w:val="nil"/>
              <w:right w:val="nil"/>
            </w:tcBorders>
            <w:shd w:val="clear" w:color="auto" w:fill="auto"/>
            <w:noWrap/>
            <w:hideMark/>
          </w:tcPr>
          <w:p w14:paraId="2F709E18"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w:t>
            </w:r>
          </w:p>
        </w:tc>
        <w:tc>
          <w:tcPr>
            <w:tcW w:w="1140" w:type="dxa"/>
            <w:tcBorders>
              <w:top w:val="nil"/>
              <w:left w:val="nil"/>
              <w:bottom w:val="nil"/>
              <w:right w:val="nil"/>
            </w:tcBorders>
            <w:shd w:val="clear" w:color="auto" w:fill="auto"/>
            <w:noWrap/>
            <w:hideMark/>
          </w:tcPr>
          <w:p w14:paraId="0E6DD843"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Pre-Dusk</w:t>
            </w:r>
          </w:p>
        </w:tc>
        <w:tc>
          <w:tcPr>
            <w:tcW w:w="780" w:type="dxa"/>
            <w:tcBorders>
              <w:top w:val="nil"/>
              <w:left w:val="nil"/>
              <w:bottom w:val="nil"/>
              <w:right w:val="nil"/>
            </w:tcBorders>
            <w:shd w:val="clear" w:color="auto" w:fill="auto"/>
            <w:noWrap/>
            <w:hideMark/>
          </w:tcPr>
          <w:p w14:paraId="270E3824"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180</w:t>
            </w:r>
          </w:p>
        </w:tc>
        <w:tc>
          <w:tcPr>
            <w:tcW w:w="780" w:type="dxa"/>
            <w:tcBorders>
              <w:top w:val="nil"/>
              <w:left w:val="nil"/>
              <w:bottom w:val="nil"/>
              <w:right w:val="nil"/>
            </w:tcBorders>
            <w:shd w:val="clear" w:color="auto" w:fill="auto"/>
            <w:noWrap/>
            <w:hideMark/>
          </w:tcPr>
          <w:p w14:paraId="678C809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leaf sheath</w:t>
            </w:r>
          </w:p>
        </w:tc>
        <w:tc>
          <w:tcPr>
            <w:tcW w:w="980" w:type="dxa"/>
            <w:tcBorders>
              <w:top w:val="nil"/>
              <w:left w:val="nil"/>
              <w:bottom w:val="nil"/>
              <w:right w:val="nil"/>
            </w:tcBorders>
            <w:shd w:val="clear" w:color="auto" w:fill="auto"/>
            <w:noWrap/>
            <w:hideMark/>
          </w:tcPr>
          <w:p w14:paraId="142DED96" w14:textId="77777777" w:rsidR="00F26016" w:rsidRPr="00F26016" w:rsidRDefault="00F26016" w:rsidP="00F26016">
            <w:pPr>
              <w:jc w:val="center"/>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47</w:t>
            </w:r>
          </w:p>
        </w:tc>
        <w:tc>
          <w:tcPr>
            <w:tcW w:w="660" w:type="dxa"/>
            <w:tcBorders>
              <w:top w:val="nil"/>
              <w:left w:val="nil"/>
              <w:bottom w:val="nil"/>
              <w:right w:val="nil"/>
            </w:tcBorders>
            <w:shd w:val="clear" w:color="auto" w:fill="auto"/>
            <w:noWrap/>
            <w:vAlign w:val="bottom"/>
            <w:hideMark/>
          </w:tcPr>
          <w:p w14:paraId="410046F8"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77.9</w:t>
            </w:r>
          </w:p>
        </w:tc>
        <w:tc>
          <w:tcPr>
            <w:tcW w:w="920" w:type="dxa"/>
            <w:tcBorders>
              <w:top w:val="nil"/>
              <w:left w:val="nil"/>
              <w:bottom w:val="nil"/>
              <w:right w:val="nil"/>
            </w:tcBorders>
            <w:shd w:val="clear" w:color="auto" w:fill="auto"/>
            <w:noWrap/>
            <w:vAlign w:val="bottom"/>
            <w:hideMark/>
          </w:tcPr>
          <w:p w14:paraId="42AF69C4"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22.5</w:t>
            </w:r>
          </w:p>
        </w:tc>
        <w:tc>
          <w:tcPr>
            <w:tcW w:w="741" w:type="dxa"/>
            <w:tcBorders>
              <w:top w:val="nil"/>
              <w:left w:val="nil"/>
              <w:bottom w:val="nil"/>
              <w:right w:val="nil"/>
            </w:tcBorders>
            <w:shd w:val="clear" w:color="auto" w:fill="auto"/>
            <w:noWrap/>
            <w:vAlign w:val="bottom"/>
            <w:hideMark/>
          </w:tcPr>
          <w:p w14:paraId="5E795D97"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233.0</w:t>
            </w:r>
          </w:p>
        </w:tc>
        <w:tc>
          <w:tcPr>
            <w:tcW w:w="785" w:type="dxa"/>
            <w:tcBorders>
              <w:top w:val="nil"/>
              <w:left w:val="nil"/>
              <w:bottom w:val="nil"/>
              <w:right w:val="nil"/>
            </w:tcBorders>
            <w:shd w:val="clear" w:color="auto" w:fill="auto"/>
            <w:noWrap/>
            <w:vAlign w:val="bottom"/>
            <w:hideMark/>
          </w:tcPr>
          <w:p w14:paraId="71085E71"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62.7</w:t>
            </w:r>
          </w:p>
        </w:tc>
        <w:tc>
          <w:tcPr>
            <w:tcW w:w="732" w:type="dxa"/>
            <w:tcBorders>
              <w:top w:val="nil"/>
              <w:left w:val="nil"/>
              <w:bottom w:val="nil"/>
              <w:right w:val="nil"/>
            </w:tcBorders>
            <w:shd w:val="clear" w:color="auto" w:fill="auto"/>
            <w:noWrap/>
            <w:vAlign w:val="bottom"/>
            <w:hideMark/>
          </w:tcPr>
          <w:p w14:paraId="691C072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121.1</w:t>
            </w:r>
          </w:p>
        </w:tc>
        <w:tc>
          <w:tcPr>
            <w:tcW w:w="860" w:type="dxa"/>
            <w:tcBorders>
              <w:top w:val="nil"/>
              <w:left w:val="nil"/>
              <w:bottom w:val="nil"/>
              <w:right w:val="nil"/>
            </w:tcBorders>
            <w:shd w:val="clear" w:color="auto" w:fill="auto"/>
            <w:noWrap/>
            <w:vAlign w:val="bottom"/>
            <w:hideMark/>
          </w:tcPr>
          <w:p w14:paraId="734BC8AC"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41.4</w:t>
            </w:r>
          </w:p>
        </w:tc>
        <w:tc>
          <w:tcPr>
            <w:tcW w:w="960" w:type="dxa"/>
            <w:tcBorders>
              <w:top w:val="nil"/>
              <w:left w:val="nil"/>
              <w:bottom w:val="nil"/>
              <w:right w:val="nil"/>
            </w:tcBorders>
            <w:shd w:val="clear" w:color="auto" w:fill="auto"/>
            <w:noWrap/>
            <w:vAlign w:val="bottom"/>
            <w:hideMark/>
          </w:tcPr>
          <w:p w14:paraId="3D5E565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413.2</w:t>
            </w:r>
          </w:p>
        </w:tc>
        <w:tc>
          <w:tcPr>
            <w:tcW w:w="689" w:type="dxa"/>
            <w:tcBorders>
              <w:top w:val="nil"/>
              <w:left w:val="nil"/>
              <w:bottom w:val="nil"/>
              <w:right w:val="nil"/>
            </w:tcBorders>
            <w:shd w:val="clear" w:color="auto" w:fill="auto"/>
            <w:noWrap/>
            <w:vAlign w:val="bottom"/>
            <w:hideMark/>
          </w:tcPr>
          <w:p w14:paraId="6722F1CA"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978.3</w:t>
            </w:r>
          </w:p>
        </w:tc>
        <w:tc>
          <w:tcPr>
            <w:tcW w:w="1000" w:type="dxa"/>
            <w:tcBorders>
              <w:top w:val="nil"/>
              <w:left w:val="nil"/>
              <w:bottom w:val="nil"/>
              <w:right w:val="nil"/>
            </w:tcBorders>
            <w:shd w:val="clear" w:color="auto" w:fill="auto"/>
            <w:noWrap/>
            <w:vAlign w:val="bottom"/>
            <w:hideMark/>
          </w:tcPr>
          <w:p w14:paraId="42A2B656" w14:textId="77777777" w:rsidR="00F26016" w:rsidRPr="00F26016" w:rsidRDefault="00F26016" w:rsidP="00F26016">
            <w:pPr>
              <w:jc w:val="right"/>
              <w:rPr>
                <w:rFonts w:ascii="Calibri" w:eastAsia="Times New Roman" w:hAnsi="Calibri" w:cs="Times New Roman"/>
                <w:color w:val="000000"/>
                <w:sz w:val="16"/>
                <w:szCs w:val="16"/>
              </w:rPr>
            </w:pPr>
            <w:r w:rsidRPr="00F26016">
              <w:rPr>
                <w:rFonts w:ascii="Calibri" w:eastAsia="Times New Roman" w:hAnsi="Calibri" w:cs="Times New Roman"/>
                <w:color w:val="000000"/>
                <w:sz w:val="16"/>
                <w:szCs w:val="16"/>
              </w:rPr>
              <w:t>117.0</w:t>
            </w:r>
          </w:p>
        </w:tc>
      </w:tr>
    </w:tbl>
    <w:p w14:paraId="20EC93F5" w14:textId="77777777" w:rsidR="00F26016" w:rsidRDefault="00F26016" w:rsidP="000A6E7F">
      <w:pPr>
        <w:pStyle w:val="Heading2"/>
        <w:rPr>
          <w:rFonts w:ascii="Cambria" w:hAnsi="Cambria"/>
          <w:color w:val="auto"/>
        </w:rPr>
        <w:sectPr w:rsidR="00F26016" w:rsidSect="00485E23">
          <w:pgSz w:w="16840" w:h="11900" w:orient="landscape"/>
          <w:pgMar w:top="2268" w:right="1418" w:bottom="1418" w:left="1418" w:header="708" w:footer="1134" w:gutter="0"/>
          <w:cols w:space="708"/>
          <w:docGrid w:linePitch="360"/>
        </w:sectPr>
      </w:pPr>
    </w:p>
    <w:p w14:paraId="3544B47C" w14:textId="77777777" w:rsidR="00DF4522" w:rsidRPr="00531789" w:rsidRDefault="00DF4522" w:rsidP="00DF4522">
      <w:pPr>
        <w:pStyle w:val="Heading1"/>
        <w:jc w:val="center"/>
        <w:rPr>
          <w:rFonts w:ascii="Cambria" w:hAnsi="Cambria"/>
          <w:color w:val="auto"/>
        </w:rPr>
      </w:pPr>
      <w:bookmarkStart w:id="114" w:name="_Toc331253027"/>
      <w:bookmarkEnd w:id="0"/>
      <w:bookmarkEnd w:id="1"/>
      <w:bookmarkEnd w:id="2"/>
      <w:r w:rsidRPr="00531789">
        <w:rPr>
          <w:rFonts w:ascii="Cambria" w:hAnsi="Cambria"/>
          <w:color w:val="auto"/>
        </w:rPr>
        <w:t xml:space="preserve">Chapter 5: Nitrogen sink limitation of growth differs between </w:t>
      </w:r>
      <w:r>
        <w:rPr>
          <w:rFonts w:ascii="Cambria" w:hAnsi="Cambria"/>
          <w:color w:val="auto"/>
        </w:rPr>
        <w:t xml:space="preserve">two </w:t>
      </w:r>
      <w:r w:rsidRPr="00531789">
        <w:rPr>
          <w:rFonts w:ascii="Cambria" w:hAnsi="Cambria"/>
          <w:color w:val="auto"/>
        </w:rPr>
        <w:t>species with contrasting growth strategies</w:t>
      </w:r>
      <w:bookmarkEnd w:id="114"/>
    </w:p>
    <w:p w14:paraId="27CCD4E9" w14:textId="77777777" w:rsidR="00DF4522" w:rsidRDefault="00DF4522" w:rsidP="00DF4522">
      <w:pPr>
        <w:spacing w:line="360" w:lineRule="auto"/>
        <w:jc w:val="both"/>
        <w:rPr>
          <w:rFonts w:ascii="Cambria" w:hAnsi="Cambria"/>
          <w:b/>
        </w:rPr>
      </w:pPr>
    </w:p>
    <w:p w14:paraId="7810BCA4" w14:textId="77777777" w:rsidR="00DF4522" w:rsidRPr="00531789" w:rsidRDefault="00DF4522" w:rsidP="00DF4522">
      <w:pPr>
        <w:spacing w:line="360" w:lineRule="auto"/>
        <w:jc w:val="both"/>
        <w:rPr>
          <w:rFonts w:ascii="Cambria" w:hAnsi="Cambria"/>
          <w:b/>
        </w:rPr>
      </w:pPr>
    </w:p>
    <w:p w14:paraId="3521E327" w14:textId="77777777" w:rsidR="00DF4522" w:rsidRPr="00531789" w:rsidRDefault="00DF4522" w:rsidP="00DF4522">
      <w:pPr>
        <w:pStyle w:val="Heading2"/>
        <w:rPr>
          <w:rFonts w:ascii="Cambria" w:hAnsi="Cambria"/>
          <w:color w:val="auto"/>
        </w:rPr>
      </w:pPr>
      <w:bookmarkStart w:id="115" w:name="_Toc322267602"/>
      <w:bookmarkStart w:id="116" w:name="_Toc322267724"/>
      <w:bookmarkStart w:id="117" w:name="_Toc322267888"/>
      <w:bookmarkStart w:id="118" w:name="_Toc331253028"/>
      <w:r w:rsidRPr="00531789">
        <w:rPr>
          <w:rFonts w:ascii="Cambria" w:hAnsi="Cambria"/>
          <w:color w:val="auto"/>
        </w:rPr>
        <w:t>ABSTRACT</w:t>
      </w:r>
      <w:bookmarkEnd w:id="115"/>
      <w:bookmarkEnd w:id="116"/>
      <w:bookmarkEnd w:id="117"/>
      <w:bookmarkEnd w:id="118"/>
    </w:p>
    <w:p w14:paraId="70142781" w14:textId="77777777" w:rsidR="00DF4522" w:rsidRPr="00531789" w:rsidRDefault="00DF4522" w:rsidP="00DF4522">
      <w:pPr>
        <w:spacing w:line="360" w:lineRule="auto"/>
        <w:jc w:val="both"/>
        <w:rPr>
          <w:rFonts w:ascii="Cambria" w:hAnsi="Cambria"/>
          <w:b/>
        </w:rPr>
      </w:pPr>
    </w:p>
    <w:p w14:paraId="503C85FC" w14:textId="01371322" w:rsidR="00DF4522" w:rsidRPr="00531789" w:rsidRDefault="00DF4522" w:rsidP="00DF4522">
      <w:pPr>
        <w:spacing w:line="360" w:lineRule="auto"/>
        <w:jc w:val="both"/>
        <w:rPr>
          <w:rFonts w:ascii="Cambria" w:hAnsi="Cambria"/>
        </w:rPr>
      </w:pPr>
      <w:r w:rsidRPr="00531789">
        <w:rPr>
          <w:rFonts w:ascii="Cambria" w:hAnsi="Cambria"/>
        </w:rPr>
        <w:t xml:space="preserve">Nitrogen is vital for plant growth and is therefore an important agricultural and ecological resource.  </w:t>
      </w:r>
      <w:r>
        <w:rPr>
          <w:rFonts w:ascii="Cambria" w:hAnsi="Cambria"/>
        </w:rPr>
        <w:t>The effects of nitrogen on plant growth are</w:t>
      </w:r>
      <w:r w:rsidRPr="00531789">
        <w:rPr>
          <w:rFonts w:ascii="Cambria" w:hAnsi="Cambria"/>
        </w:rPr>
        <w:t xml:space="preserve"> underpinned by interactions between nitrogen sources and sinks, which take up and utilise this resource, but the extent to which </w:t>
      </w:r>
      <w:r>
        <w:rPr>
          <w:rFonts w:ascii="Cambria" w:hAnsi="Cambria"/>
        </w:rPr>
        <w:t>each limits</w:t>
      </w:r>
      <w:r w:rsidRPr="00531789">
        <w:rPr>
          <w:rFonts w:ascii="Cambria" w:hAnsi="Cambria"/>
        </w:rPr>
        <w:t xml:space="preserve"> growth in different species remains unclear.  We tested the hypothesis that slow</w:t>
      </w:r>
      <w:r>
        <w:rPr>
          <w:rFonts w:ascii="Cambria" w:hAnsi="Cambria"/>
        </w:rPr>
        <w:t>er</w:t>
      </w:r>
      <w:r w:rsidRPr="00531789">
        <w:rPr>
          <w:rFonts w:ascii="Cambria" w:hAnsi="Cambria"/>
        </w:rPr>
        <w:t xml:space="preserve"> growing wild perennial barley (</w:t>
      </w:r>
      <w:proofErr w:type="spellStart"/>
      <w:r w:rsidRPr="00531789">
        <w:rPr>
          <w:rFonts w:ascii="Cambria" w:hAnsi="Cambria"/>
          <w:i/>
        </w:rPr>
        <w:t>Hordeum</w:t>
      </w:r>
      <w:proofErr w:type="spellEnd"/>
      <w:r w:rsidRPr="00531789">
        <w:rPr>
          <w:rFonts w:ascii="Cambria" w:hAnsi="Cambria"/>
          <w:i/>
        </w:rPr>
        <w:t xml:space="preserve"> </w:t>
      </w:r>
      <w:proofErr w:type="spellStart"/>
      <w:r w:rsidRPr="00531789">
        <w:rPr>
          <w:rFonts w:ascii="Cambria" w:hAnsi="Cambria"/>
          <w:i/>
        </w:rPr>
        <w:t>bulbosum</w:t>
      </w:r>
      <w:proofErr w:type="spellEnd"/>
      <w:r w:rsidRPr="00531789">
        <w:rPr>
          <w:rFonts w:ascii="Cambria" w:hAnsi="Cambria"/>
        </w:rPr>
        <w:t xml:space="preserve">) would be more nitrogen sink limited and </w:t>
      </w:r>
      <w:r>
        <w:rPr>
          <w:rFonts w:ascii="Cambria" w:hAnsi="Cambria"/>
        </w:rPr>
        <w:t xml:space="preserve">that </w:t>
      </w:r>
      <w:r w:rsidRPr="00531789">
        <w:rPr>
          <w:rFonts w:ascii="Cambria" w:hAnsi="Cambria"/>
        </w:rPr>
        <w:t>fast</w:t>
      </w:r>
      <w:r>
        <w:rPr>
          <w:rFonts w:ascii="Cambria" w:hAnsi="Cambria"/>
        </w:rPr>
        <w:t>er</w:t>
      </w:r>
      <w:r w:rsidRPr="00531789">
        <w:rPr>
          <w:rFonts w:ascii="Cambria" w:hAnsi="Cambria"/>
        </w:rPr>
        <w:t xml:space="preserve"> growing domesticated annual barley (</w:t>
      </w:r>
      <w:proofErr w:type="spellStart"/>
      <w:r w:rsidRPr="00531789">
        <w:rPr>
          <w:rFonts w:ascii="Cambria" w:hAnsi="Cambria"/>
          <w:i/>
        </w:rPr>
        <w:t>Hordeum</w:t>
      </w:r>
      <w:proofErr w:type="spellEnd"/>
      <w:r w:rsidRPr="00531789">
        <w:rPr>
          <w:rFonts w:ascii="Cambria" w:hAnsi="Cambria"/>
          <w:i/>
        </w:rPr>
        <w:t xml:space="preserve"> </w:t>
      </w:r>
      <w:proofErr w:type="spellStart"/>
      <w:r w:rsidRPr="00531789">
        <w:rPr>
          <w:rFonts w:ascii="Cambria" w:hAnsi="Cambria"/>
          <w:i/>
        </w:rPr>
        <w:t>vulgare</w:t>
      </w:r>
      <w:proofErr w:type="spellEnd"/>
      <w:r w:rsidRPr="00531789">
        <w:rPr>
          <w:rFonts w:ascii="Cambria" w:hAnsi="Cambria"/>
        </w:rPr>
        <w:t>) would be more nitrogen source limite</w:t>
      </w:r>
      <w:r>
        <w:rPr>
          <w:rFonts w:ascii="Cambria" w:hAnsi="Cambria"/>
        </w:rPr>
        <w:t>d during vegetative growth.  We a</w:t>
      </w:r>
      <w:r w:rsidRPr="00531789">
        <w:rPr>
          <w:rFonts w:ascii="Cambria" w:hAnsi="Cambria"/>
        </w:rPr>
        <w:t>ppl</w:t>
      </w:r>
      <w:r>
        <w:rPr>
          <w:rFonts w:ascii="Cambria" w:hAnsi="Cambria"/>
        </w:rPr>
        <w:t>ied</w:t>
      </w:r>
      <w:r w:rsidRPr="00531789">
        <w:rPr>
          <w:rFonts w:ascii="Cambria" w:hAnsi="Cambria"/>
        </w:rPr>
        <w:t xml:space="preserve"> a nitrogen treatment and measur</w:t>
      </w:r>
      <w:r>
        <w:rPr>
          <w:rFonts w:ascii="Cambria" w:hAnsi="Cambria"/>
        </w:rPr>
        <w:t>ed</w:t>
      </w:r>
      <w:r w:rsidRPr="00531789">
        <w:rPr>
          <w:rFonts w:ascii="Cambria" w:hAnsi="Cambria"/>
        </w:rPr>
        <w:t xml:space="preserve"> nitrogen uptake, growth and allocation, and the partitioning of nitrogen and carbon metabolites.  Consistent with hypotheses, the perennial stored more nitrogen suggesting </w:t>
      </w:r>
      <w:r>
        <w:rPr>
          <w:rFonts w:ascii="Cambria" w:hAnsi="Cambria"/>
        </w:rPr>
        <w:t xml:space="preserve">stronger </w:t>
      </w:r>
      <w:r w:rsidRPr="00531789">
        <w:rPr>
          <w:rFonts w:ascii="Cambria" w:hAnsi="Cambria"/>
        </w:rPr>
        <w:t xml:space="preserve">nitrogen sink limitation, and the annual invested more nitrogen in growth suggesting </w:t>
      </w:r>
      <w:r>
        <w:rPr>
          <w:rFonts w:ascii="Cambria" w:hAnsi="Cambria"/>
        </w:rPr>
        <w:t xml:space="preserve">more pronounced nitrogen source limitation.  </w:t>
      </w:r>
      <w:r w:rsidR="008052F9">
        <w:rPr>
          <w:rFonts w:ascii="Cambria" w:hAnsi="Cambria"/>
        </w:rPr>
        <w:t xml:space="preserve">However, the perennial showed a much greater growth response </w:t>
      </w:r>
      <w:r w:rsidR="0053120E">
        <w:rPr>
          <w:rFonts w:ascii="Cambria" w:hAnsi="Cambria"/>
        </w:rPr>
        <w:t xml:space="preserve">than the annual </w:t>
      </w:r>
      <w:r w:rsidR="008052F9">
        <w:rPr>
          <w:rFonts w:ascii="Cambria" w:hAnsi="Cambria"/>
        </w:rPr>
        <w:t>to increasing nitrogen treatment.  I</w:t>
      </w:r>
      <w:r w:rsidRPr="00531789">
        <w:rPr>
          <w:rFonts w:ascii="Cambria" w:hAnsi="Cambria"/>
        </w:rPr>
        <w:t>n</w:t>
      </w:r>
      <w:r>
        <w:rPr>
          <w:rFonts w:ascii="Cambria" w:hAnsi="Cambria"/>
        </w:rPr>
        <w:t xml:space="preserve"> </w:t>
      </w:r>
      <w:r w:rsidRPr="00531789">
        <w:rPr>
          <w:rFonts w:ascii="Cambria" w:hAnsi="Cambria"/>
        </w:rPr>
        <w:t xml:space="preserve">both species, nitrogen uptake, growth, tillering, allocation to shoot tissues and nitrogen storage increased with increasing nitrogen treatment, whilst carbon storage showed the opposite trend.  A higher amino </w:t>
      </w:r>
      <w:proofErr w:type="spellStart"/>
      <w:r w:rsidRPr="00531789">
        <w:rPr>
          <w:rFonts w:ascii="Cambria" w:hAnsi="Cambria"/>
        </w:rPr>
        <w:t>acid:sucrose</w:t>
      </w:r>
      <w:proofErr w:type="spellEnd"/>
      <w:r w:rsidRPr="00531789">
        <w:rPr>
          <w:rFonts w:ascii="Cambria" w:hAnsi="Cambria"/>
        </w:rPr>
        <w:t xml:space="preserve"> ratio revealed carbon source limitation in the perennial, consistent with previous work on this species.  Overall, growth in both species was predominantly limited</w:t>
      </w:r>
      <w:r>
        <w:rPr>
          <w:rFonts w:ascii="Cambria" w:hAnsi="Cambria"/>
        </w:rPr>
        <w:t xml:space="preserve"> by the development of nitrogen sinks</w:t>
      </w:r>
      <w:r w:rsidR="008052F9">
        <w:rPr>
          <w:rFonts w:ascii="Cambria" w:hAnsi="Cambria"/>
        </w:rPr>
        <w:t xml:space="preserve">, which has important implications for breeding </w:t>
      </w:r>
      <w:r w:rsidR="0007288D">
        <w:rPr>
          <w:rFonts w:ascii="Cambria" w:hAnsi="Cambria"/>
        </w:rPr>
        <w:t xml:space="preserve">future </w:t>
      </w:r>
      <w:r w:rsidR="008052F9">
        <w:rPr>
          <w:rFonts w:ascii="Cambria" w:hAnsi="Cambria"/>
        </w:rPr>
        <w:t>high-yielding crops.</w:t>
      </w:r>
      <w:r w:rsidRPr="00531789">
        <w:rPr>
          <w:rFonts w:ascii="Cambria" w:hAnsi="Cambria"/>
          <w:b/>
        </w:rPr>
        <w:br w:type="page"/>
      </w:r>
    </w:p>
    <w:p w14:paraId="3CECF3C8" w14:textId="77777777" w:rsidR="00DF4522" w:rsidRPr="00531789" w:rsidRDefault="00DF4522" w:rsidP="00DF4522">
      <w:pPr>
        <w:pStyle w:val="Heading2"/>
        <w:rPr>
          <w:rFonts w:ascii="Cambria" w:hAnsi="Cambria"/>
          <w:color w:val="auto"/>
        </w:rPr>
      </w:pPr>
      <w:bookmarkStart w:id="119" w:name="_Toc322267603"/>
      <w:bookmarkStart w:id="120" w:name="_Toc322267725"/>
      <w:bookmarkStart w:id="121" w:name="_Toc322267889"/>
      <w:bookmarkStart w:id="122" w:name="_Toc331253029"/>
      <w:r w:rsidRPr="00531789">
        <w:rPr>
          <w:rFonts w:ascii="Cambria" w:hAnsi="Cambria"/>
          <w:color w:val="auto"/>
        </w:rPr>
        <w:t>INTRODUCTION</w:t>
      </w:r>
      <w:bookmarkEnd w:id="119"/>
      <w:bookmarkEnd w:id="120"/>
      <w:bookmarkEnd w:id="121"/>
      <w:bookmarkEnd w:id="122"/>
    </w:p>
    <w:p w14:paraId="69511453" w14:textId="77777777" w:rsidR="00DF4522" w:rsidRPr="00531789" w:rsidRDefault="00DF4522" w:rsidP="00DF4522">
      <w:pPr>
        <w:spacing w:line="360" w:lineRule="auto"/>
        <w:jc w:val="both"/>
        <w:rPr>
          <w:rFonts w:ascii="Cambria" w:hAnsi="Cambria"/>
        </w:rPr>
      </w:pPr>
    </w:p>
    <w:p w14:paraId="668597BB" w14:textId="77777777" w:rsidR="00DF4522" w:rsidRPr="00531789" w:rsidRDefault="00DF4522" w:rsidP="00DF4522">
      <w:pPr>
        <w:spacing w:line="360" w:lineRule="auto"/>
        <w:jc w:val="both"/>
        <w:rPr>
          <w:rFonts w:ascii="Cambria" w:hAnsi="Cambria"/>
        </w:rPr>
      </w:pPr>
      <w:r w:rsidRPr="00531789">
        <w:rPr>
          <w:rFonts w:ascii="Cambria" w:hAnsi="Cambria"/>
        </w:rPr>
        <w:t xml:space="preserve">The use of nitrogen fertiliser in agriculture is an increasing cause of concern from both economic and environmental perspectives </w:t>
      </w:r>
      <w:r w:rsidRPr="00531789">
        <w:rPr>
          <w:rFonts w:ascii="Cambria" w:hAnsi="Cambria"/>
        </w:rPr>
        <w:fldChar w:fldCharType="begin" w:fldLock="1"/>
      </w:r>
      <w:r>
        <w:rPr>
          <w:rFonts w:ascii="Cambria" w:hAnsi="Cambria"/>
        </w:rPr>
        <w:instrText>ADDIN CSL_CITATION { "citationItems" : [ { "id" : "ITEM-1", "itemData" : { "DOI" : "10.1093/aob/mcq028", "ISBN" : "0305-7364", "ISSN" : "03057364", "PMID" : "20299346", "abstract" : "Productive agriculture needs a large amount of expensive nitrogenous fertilizers. Improving nitrogen use efficiency (NUE) of crop plants is thus of key importance. NUE definitions differ depending on whether plants are cultivated to produce biomass or grain yields. However, for most plant species, NUE mainly depends on how plants extract inorganic nitrogen from the soil, assimilate nitrate and ammonium, and recycle organic nitrogen. Efforts have been made to study the genetic basis as well as the biochemical and enzymatic mechanisms involved in nitrogen uptake, assimilation, and remobilization in crops and model plants. The detection of the limiting factors that could be manipulated to increase NUE is the major goal of such research.", "author" : [ { "dropping-particle" : "", "family" : "Masclaux-Daubresse", "given" : "C\u00e9line", "non-dropping-particle" : "", "parse-names" : false, "suffix" : "" }, { "dropping-particle" : "", "family" : "Daniel-Vedele", "given" : "Franoise", "non-dropping-particle" : "", "parse-names" : false, "suffix" : "" }, { "dropping-particle" : "", "family" : "Dechorgnat", "given" : "Julie", "non-dropping-particle" : "", "parse-names" : false, "suffix" : "" }, { "dropping-particle" : "", "family" : "Chardon", "given" : "Fabien", "non-dropping-particle" : "", "parse-names" : false, "suffix" : "" }, { "dropping-particle" : "", "family" : "Gaufichon", "given" : "Laure", "non-dropping-particle" : "", "parse-names" : false, "suffix" : "" }, { "dropping-particle" : "", "family" : "Suzuki", "given" : "Akira", "non-dropping-particle" : "", "parse-names" : false, "suffix" : "" } ], "container-title" : "Annals of Botany", "id" : "ITEM-1", "issue" : "7", "issued" : { "date-parts" : [ [ "2010" ] ] }, "page" : "1141-1157", "title" : "Nitrogen uptake, assimilation and remobilization in plants: Challenges for sustainable and productive agriculture", "type" : "article-journal", "volume" : "105" }, "uris" : [ "http://www.mendeley.com/documents/?uuid=b92ca514-eac6-4c5b-98a3-db622e6a4797" ] } ], "mendeley" : { "formattedCitation" : "(Masclaux-Daubresse &lt;i&gt;et al.&lt;/i&gt;, 2010)", "plainTextFormattedCitation" : "(Masclaux-Daubresse et al., 2010)", "previouslyFormattedCitation" : "(Masclaux-Daubresse &lt;i&gt;et al.&lt;/i&gt;, 2010)"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(Masclaux-Daubresse </w:t>
      </w:r>
      <w:r w:rsidRPr="002C5907">
        <w:rPr>
          <w:rFonts w:ascii="Cambria" w:hAnsi="Cambria"/>
          <w:i/>
          <w:noProof/>
        </w:rPr>
        <w:t>et al.</w:t>
      </w:r>
      <w:r w:rsidRPr="002C5907">
        <w:rPr>
          <w:rFonts w:ascii="Cambria" w:hAnsi="Cambria"/>
          <w:noProof/>
        </w:rPr>
        <w:t>, 2010)</w:t>
      </w:r>
      <w:r w:rsidRPr="00531789">
        <w:rPr>
          <w:rFonts w:ascii="Cambria" w:hAnsi="Cambria"/>
        </w:rPr>
        <w:fldChar w:fldCharType="end"/>
      </w:r>
      <w:r w:rsidRPr="00531789">
        <w:rPr>
          <w:rFonts w:ascii="Cambria" w:hAnsi="Cambria"/>
        </w:rPr>
        <w:t xml:space="preserve">.  Nitrogen is the mineral nutrient required in second-largest quantities for plants </w:t>
      </w:r>
      <w:r w:rsidRPr="00531789">
        <w:rPr>
          <w:rFonts w:ascii="Cambria" w:hAnsi="Cambria"/>
        </w:rPr>
        <w:fldChar w:fldCharType="begin" w:fldLock="1"/>
      </w:r>
      <w:r>
        <w:rPr>
          <w:rFonts w:ascii="Cambria" w:hAnsi="Cambria"/>
        </w:rPr>
        <w:instrText>ADDIN CSL_CITATION { "citationItems" : [ { "id" : "ITEM-1", "itemData" : { "DOI" : "10.1016/j.tplants.2006.07.004", "ISBN" : "1360-1385 (Print)\\n1360-1385 (Linking)", "ISSN" : "13601385", "PMID" : "16899391", "abstract" : "Inorganic nitrogen is a substrate for nitrogen assimilation and also functions as a signal triggering widespread changes in gene expression that modulate metabolism and development. To integrate the actions of the nitrogen signal at the whole plant level, plants use multiple signaling routes that communicate internal and external nitrogen status. One route depends on nitrate itself and one uses cytokinin as a messenger. Recent genome-wide research has shown that the nitrate-specific signal regulates a wide variety of metabolic processes including nitrogen and carbon metabolism, and cytokinin biosynthesis. Cytokinin-mediated signaling is related to the control of development, protein synthesis and acquisition of macronutrients. The coordination and interaction of both regulatory pathways is important for normal plant growth under variable nitrogen supply conditions. ?? 2006 Elsevier Ltd. All rights reserved.", "author" : [ { "dropping-particle" : "", "family" : "Sakakibara", "given" : "Hitoshi", "non-dropping-particle" : "", "parse-names" : false, "suffix" : "" }, { "dropping-particle" : "", "family" : "Takei", "given" : "Kentaro", "non-dropping-particle" : "", "parse-names" : false, "suffix" : "" }, { "dropping-particle" : "", "family" : "Hirose", "given" : "Naoya", "non-dropping-particle" : "", "parse-names" : false, "suffix" : "" } ], "container-title" : "Trends in Plant Science", "id" : "ITEM-1", "issue" : "9", "issued" : { "date-parts" : [ [ "2006" ] ] }, "page" : "440-448", "title" : "Interactions between nitrogen and cytokinin in the regulation of metabolism and development", "type" : "article-journal", "volume" : "11" }, "uris" : [ "http://www.mendeley.com/documents/?uuid=fb0fbb3f-7134-4fb3-bf61-b11f1eb73a85" ] } ], "mendeley" : { "formattedCitation" : "(Sakakibara &lt;i&gt;et al.&lt;/i&gt;, 2006)", "plainTextFormattedCitation" : "(Sakakibara et al., 2006)", "previouslyFormattedCitation" : "(Sakakibara &lt;i&gt;et al.&lt;/i&gt;, 2006)"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(Sakakibara </w:t>
      </w:r>
      <w:r w:rsidRPr="002C5907">
        <w:rPr>
          <w:rFonts w:ascii="Cambria" w:hAnsi="Cambria"/>
          <w:i/>
          <w:noProof/>
        </w:rPr>
        <w:t>et al.</w:t>
      </w:r>
      <w:r w:rsidRPr="002C5907">
        <w:rPr>
          <w:rFonts w:ascii="Cambria" w:hAnsi="Cambria"/>
          <w:noProof/>
        </w:rPr>
        <w:t>, 2006)</w:t>
      </w:r>
      <w:r w:rsidRPr="00531789">
        <w:rPr>
          <w:rFonts w:ascii="Cambria" w:hAnsi="Cambria"/>
        </w:rPr>
        <w:fldChar w:fldCharType="end"/>
      </w:r>
      <w:r w:rsidRPr="00531789">
        <w:rPr>
          <w:rFonts w:ascii="Cambria" w:hAnsi="Cambria"/>
        </w:rPr>
        <w:t xml:space="preserve">, and is a vital resource, affecting growth, allocation and phenology </w:t>
      </w:r>
      <w:r w:rsidRPr="00531789">
        <w:rPr>
          <w:rFonts w:ascii="Cambria" w:hAnsi="Cambria"/>
        </w:rPr>
        <w:fldChar w:fldCharType="begin" w:fldLock="1"/>
      </w:r>
      <w:r w:rsidRPr="00531789">
        <w:rPr>
          <w:rFonts w:ascii="Cambria" w:hAnsi="Cambria"/>
        </w:rPr>
        <w:instrText>ADDIN CSL_CITATION { "citationItems" : [ { "id" : "ITEM-1", "itemData" : { "DOI" : "10.1046/j.1365-3040.1999.00386.x", "ISSN" : "0140-7791", "author" : [ { "dropping-particle" : "", "family" : "Stitt", "given" : "M.", "non-dropping-particle" : "", "parse-names" : false, "suffix" : "" }, { "dropping-particle" : "", "family" : "Krapp", "given" : "A.", "non-dropping-particle" : "", "parse-names" : false, "suffix" : "" } ], "container-title" : "Plant, Cell &amp; Environment", "id" : "ITEM-1", "issue" : "6", "issued" : { "date-parts" : [ [ "1999", "6" ] ] }, "page" : "583-621", "title" : "The interaction between elevated carbon dioxide and nitrogen nutrition: the physiological and molecular background", "type" : "article-journal", "volume" : "22" }, "uris" : [ "http://www.mendeley.com/documents/?uuid=12d0f917-f3d6-43c6-92fa-0d13f38659a0" ] } ], "mendeley" : { "formattedCitation" : "(Stitt and Krapp, 1999)", "plainTextFormattedCitation" : "(Stitt and Krapp, 1999)", "previouslyFormattedCitation" : "(Stitt and Krapp, 1999)"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(Stitt and Krapp, 1999)</w:t>
      </w:r>
      <w:r w:rsidRPr="00531789">
        <w:rPr>
          <w:rFonts w:ascii="Cambria" w:hAnsi="Cambria"/>
        </w:rPr>
        <w:fldChar w:fldCharType="end"/>
      </w:r>
      <w:r w:rsidRPr="00531789">
        <w:rPr>
          <w:rFonts w:ascii="Cambria" w:hAnsi="Cambria"/>
        </w:rPr>
        <w:t xml:space="preserve">; nitrate is the most common source of nitrogen for crop plants </w:t>
      </w:r>
      <w:r w:rsidRPr="00531789">
        <w:rPr>
          <w:rFonts w:ascii="Cambria" w:hAnsi="Cambria"/>
        </w:rPr>
        <w:fldChar w:fldCharType="begin" w:fldLock="1"/>
      </w:r>
      <w:r w:rsidRPr="00531789">
        <w:rPr>
          <w:rFonts w:ascii="Cambria" w:hAnsi="Cambria"/>
        </w:rPr>
        <w:instrText>ADDIN CSL_CITATION { "citationItems" : [ { "id" : "ITEM-1", "itemData" : { "DOI" : "10.1042/BJ20081115", "ISSN" : "1470-8728", "PMID" : "18778247", "abstract" : "In higher plants, light is crucial for regulation of nitrate uptake, translocation and assimilation into organic compounds. Part of this metabolism is tightly coupled to photosynthesis because the enzymes involved, nitrite reductase and glutamate synthase, are localized to the chloroplasts and receive reducing power from photosynthetic electron transport. However, important enzymes in nitrate acquisition and reduction are localized to cellular compartments other than chloroplasts and are also up-regulated by light, i.e. transporters in cell and organellar membranes and nitrate reductase in the cytosol. This review describes the different light-dependent signalling cascades regulating nitrate metabolism at the transcriptional as well as post-transcriptional level, and how reactions in different compartments of the cell are co-ordinated. Essential players in this network are phytochrome and HY5 (long hypocotyls 5)/HYH (HY5 homologue)-dependent signalling pathways, the energy-related AMPK (AMP-activated protein kinase) protein kinase homologue SNRK1 (sucrose non-fermenting kinase 1-related kinase), chloroplastic thioredoxins and the prokaryotically originated PII protein. A complex light-dependent network of regulation emerges, which appears to be necessary for optimal nitrogen assimilation and for avoiding the accumulation of toxic intermediates and side products, such as nitrite and reactive oxygen compounds.", "author" : [ { "dropping-particle" : "", "family" : "Lillo", "given" : "Cathrine", "non-dropping-particle" : "", "parse-names" : false, "suffix" : "" } ], "container-title" : "The Biochemical journal", "id" : "ITEM-1", "issue" : "1", "issued" : { "date-parts" : [ [ "2008", "10", "1" ] ] }, "page" : "11-9", "title" : "Signalling cascades integrating light-enhanced nitrate metabolism.", "type" : "article-journal", "volume" : "415" }, "uris" : [ "http://www.mendeley.com/documents/?uuid=3d90cc7d-9f03-48d2-aa23-9a310cfd45b2" ] } ], "mendeley" : { "formattedCitation" : "(Lillo, 2008)", "plainTextFormattedCitation" : "(Lillo, 2008)", "previouslyFormattedCitation" : "(Lillo, 2008)"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(Lillo, 2008)</w:t>
      </w:r>
      <w:r w:rsidRPr="00531789">
        <w:rPr>
          <w:rFonts w:ascii="Cambria" w:hAnsi="Cambria"/>
        </w:rPr>
        <w:fldChar w:fldCharType="end"/>
      </w:r>
      <w:r w:rsidRPr="00531789">
        <w:rPr>
          <w:rFonts w:ascii="Cambria" w:hAnsi="Cambria"/>
        </w:rPr>
        <w:t xml:space="preserve">.  Fertiliser use has led to great increases in crop production, but excess application of nitrogen fertiliser has simultaneously decreased agricultural nitrogen use efficiency and increased environmental damage </w:t>
      </w:r>
      <w:r w:rsidRPr="00531789">
        <w:rPr>
          <w:rFonts w:ascii="Cambria" w:hAnsi="Cambria"/>
        </w:rPr>
        <w:fldChar w:fldCharType="begin" w:fldLock="1"/>
      </w:r>
      <w:r>
        <w:rPr>
          <w:rFonts w:ascii="Cambria" w:hAnsi="Cambria"/>
        </w:rPr>
        <w:instrText>ADDIN CSL_CITATION { "citationItems" : [ { "id" : "ITEM-1", "itemData" : { "DOI" : "10.1038/ngeo325", "ISBN" : "1752-0894", "ISSN" : "1752-0894", "abstract" : "On 13 October 1908, Fritz Haber filed his patent on the \"synthesis of ammonia from its elements\" for which he was later awarded the 1918 Nobel Prize in Chemistry. A hundred years on we live in a world transformed by and highly dependent upon Haber\u2013Bosch nitrogen.", "author" : [ { "dropping-particle" : "", "family" : "Erisman", "given" : "Jan Willem", "non-dropping-particle" : "", "parse-names" : false, "suffix" : "" }, { "dropping-particle" : "", "family" : "Sutton", "given" : "Mark A", "non-dropping-particle" : "", "parse-names" : false, "suffix" : "" }, { "dropping-particle" : "", "family" : "Galloway", "given" : "James", "non-dropping-particle" : "", "parse-names" : false, "suffix" : "" }, { "dropping-particle" : "", "family" : "Klimont", "given" : "Zbigniew", "non-dropping-particle" : "", "parse-names" : false, "suffix" : "" }, { "dropping-particle" : "", "family" : "Winiwarter", "given" : "Wilfried", "non-dropping-particle" : "", "parse-names" : false, "suffix" : "" } ], "container-title" : "Nature Geoscience", "id" : "ITEM-1", "issue" : "October 2008", "issued" : { "date-parts" : [ [ "2008" ] ] }, "page" : "636-639", "title" : "How a century of ammonia synthesis changed the world", "type" : "article-journal", "volume" : "1" }, "uris" : [ "http://www.mendeley.com/documents/?uuid=04322b55-eda9-4606-bac2-6eac88adc3a7" ] } ], "mendeley" : { "formattedCitation" : "(Erisman &lt;i&gt;et al.&lt;/i&gt;, 2008)", "plainTextFormattedCitation" : "(Erisman et al., 2008)", "previouslyFormattedCitation" : "(Erisman &lt;i&gt;et al.&lt;/i&gt;, 2008)"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(Erisman </w:t>
      </w:r>
      <w:r w:rsidRPr="002C5907">
        <w:rPr>
          <w:rFonts w:ascii="Cambria" w:hAnsi="Cambria"/>
          <w:i/>
          <w:noProof/>
        </w:rPr>
        <w:t>et al.</w:t>
      </w:r>
      <w:r w:rsidRPr="002C5907">
        <w:rPr>
          <w:rFonts w:ascii="Cambria" w:hAnsi="Cambria"/>
          <w:noProof/>
        </w:rPr>
        <w:t>, 2008)</w:t>
      </w:r>
      <w:r w:rsidRPr="00531789">
        <w:rPr>
          <w:rFonts w:ascii="Cambria" w:hAnsi="Cambria"/>
        </w:rPr>
        <w:fldChar w:fldCharType="end"/>
      </w:r>
      <w:r w:rsidRPr="00531789">
        <w:rPr>
          <w:rFonts w:ascii="Cambria" w:hAnsi="Cambria"/>
        </w:rPr>
        <w:t>.  For instance, the ma</w:t>
      </w:r>
      <w:r>
        <w:rPr>
          <w:rFonts w:ascii="Cambria" w:hAnsi="Cambria"/>
        </w:rPr>
        <w:t>nufacture</w:t>
      </w:r>
      <w:r w:rsidRPr="00531789">
        <w:rPr>
          <w:rFonts w:ascii="Cambria" w:hAnsi="Cambria"/>
        </w:rPr>
        <w:t xml:space="preserve"> and distribution of nitrogen fertiliser </w:t>
      </w:r>
      <w:r w:rsidRPr="0079342F">
        <w:rPr>
          <w:rFonts w:ascii="Cambria" w:hAnsi="Cambria"/>
          <w:i/>
        </w:rPr>
        <w:t>via</w:t>
      </w:r>
      <w:r w:rsidRPr="00531789">
        <w:rPr>
          <w:rFonts w:ascii="Cambria" w:hAnsi="Cambria"/>
        </w:rPr>
        <w:t xml:space="preserve"> the Haber-Bosch process is a considerable source of anthropogenic carbon dioxide, and agricultural run-off has led to devastating eutrophication in areas such as the Gulf of Mexico </w:t>
      </w:r>
      <w:r w:rsidRPr="00531789">
        <w:rPr>
          <w:rFonts w:ascii="Cambria" w:hAnsi="Cambria"/>
        </w:rPr>
        <w:fldChar w:fldCharType="begin" w:fldLock="1"/>
      </w:r>
      <w:r>
        <w:rPr>
          <w:rFonts w:ascii="Cambria" w:hAnsi="Cambria"/>
        </w:rPr>
        <w:instrText>ADDIN CSL_CITATION { "citationItems" : [ { "id" : "ITEM-1", "itemData" : { "DOI" : "10.1146/annurev.ecolsys.33.010802.150513", "ISBN" : "00664162", "ISSN" : "0066-4162", "PMID" : "241", "author" : [ { "dropping-particle" : "", "family" : "Rabalais", "given" : "Nancy N.", "non-dropping-particle" : "", "parse-names" : false, "suffix" : "" }, { "dropping-particle" : "", "family" : "Turner", "given" : "R. Eugene", "non-dropping-particle" : "", "parse-names" : false, "suffix" : "" }, { "dropping-particle" : "", "family" : "Wiseman", "given" : "William J.", "non-dropping-particle" : "", "parse-names" : false, "suffix" : "" } ], "container-title" : "Annual Review of Ecology and Systematics", "id" : "ITEM-1", "issue" : "1", "issued" : { "date-parts" : [ [ "2002" ] ] }, "page" : "235-263", "title" : "Gulf of Mexico Hypoxia, A.K.A. \u201cThe Dead Zone\u201d", "type" : "article-journal", "volume" : "33" }, "uris" : [ "http://www.mendeley.com/documents/?uuid=3cd4211b-8927-4141-b7a0-3535366e3c61" ] } ], "mendeley" : { "formattedCitation" : "(Rabalais &lt;i&gt;et al.&lt;/i&gt;, 2002)", "plainTextFormattedCitation" : "(Rabalais et al., 2002)", "previouslyFormattedCitation" : "(Rabalais &lt;i&gt;et al.&lt;/i&gt;, 2002)"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(Rabalais </w:t>
      </w:r>
      <w:r w:rsidRPr="002C5907">
        <w:rPr>
          <w:rFonts w:ascii="Cambria" w:hAnsi="Cambria"/>
          <w:i/>
          <w:noProof/>
        </w:rPr>
        <w:t>et al.</w:t>
      </w:r>
      <w:r w:rsidRPr="002C5907">
        <w:rPr>
          <w:rFonts w:ascii="Cambria" w:hAnsi="Cambria"/>
          <w:noProof/>
        </w:rPr>
        <w:t>, 2002)</w:t>
      </w:r>
      <w:r w:rsidRPr="00531789">
        <w:rPr>
          <w:rFonts w:ascii="Cambria" w:hAnsi="Cambria"/>
        </w:rPr>
        <w:fldChar w:fldCharType="end"/>
      </w:r>
      <w:r w:rsidRPr="00531789">
        <w:rPr>
          <w:rFonts w:ascii="Cambria" w:hAnsi="Cambria"/>
        </w:rPr>
        <w:t>.  Appropriate fertiliser application will enable the financial and ecological costs of intensive farming to be reduced, yet the crop requirement for nitrogen must be met in order to maintain and increase yields</w:t>
      </w:r>
      <w:r>
        <w:rPr>
          <w:rFonts w:ascii="Cambria" w:hAnsi="Cambria"/>
        </w:rPr>
        <w:t>.  Together, these requirements make</w:t>
      </w:r>
      <w:r w:rsidRPr="00531789">
        <w:rPr>
          <w:rFonts w:ascii="Cambria" w:hAnsi="Cambria"/>
        </w:rPr>
        <w:t xml:space="preserve"> nitrogen use efficiency a major target for crop improvement. Extensive research into the best timings for fertiliser application has been carried out, and much is known about nitrate transport and signalling mechanisms </w:t>
      </w:r>
      <w:r w:rsidRPr="00531789">
        <w:rPr>
          <w:rFonts w:ascii="Cambria" w:hAnsi="Cambria"/>
        </w:rPr>
        <w:fldChar w:fldCharType="begin" w:fldLock="1"/>
      </w:r>
      <w:r>
        <w:rPr>
          <w:rFonts w:ascii="Cambria" w:hAnsi="Cambria"/>
        </w:rPr>
        <w:instrText>ADDIN CSL_CITATION { "citationItems" : [ { "id" : "ITEM-1", "itemData" : { "DOI" : "10.1093/jxb/erm066", "ISBN" : "0022-0957", "ISSN" : "00220957", "PMID" : "17519352", "abstract" : "Physiological measurements of nitrate (NO(3)(-)) uptake by roots have defined two systems of high and low affinity uptake. In Arabidopsis, genes encoding both of these two uptake systems have been identified. Most is known about the high affinity transport system (HATS) and its regulation and yet measurements of soil NO(3)(-) show that it is more often available in the low affinity range above 1 mM concentration. Several different regulatory mechanisms have been identified for AtNRT2.1, one of the membrane transporters encoding HATS; these include feedback regulation of expression, a second component protein requirement for membrane targeting and phosphorylation, possibly leading to degradation of the protein. These various changes in the protein may be important for a second function in sensing NO(3)(-) availability at the surface of the root. Another transporter protein, AtNRT1.1 also has a role in NO(3)(-) sensing that, like AtNRT2.1, is independent of their transport function. From the range of concentrations present in the soil it is proposed that the NO(3)(-)-inducible part of HATS functions chiefly as a sensor for root NO(3)(-) availability. Two other key NO(3)(-) transport steps for efficient nitrogen use by crops, efflux across membranes and vacuolar storage and remobilization, are discussed. Genes encoding vacuolar transporters have been isolated and these are important for manipulating storage pools in crops, but the efflux system is yet to be identified. Consideration is given to how well our molecular and physiological knowledge can be integrated as well to some key questions and opportunities for the future.", "author" : [ { "dropping-particle" : "", "family" : "Miller", "given" : "Anthony J.", "non-dropping-particle" : "", "parse-names" : false, "suffix" : "" }, { "dropping-particle" : "", "family" : "Fan", "given" : "Xiaorong", "non-dropping-particle" : "", "parse-names" : false, "suffix" : "" }, { "dropping-particle" : "", "family" : "Orsel", "given" : "Mathilde", "non-dropping-particle" : "", "parse-names" : false, "suffix" : "" }, { "dropping-particle" : "", "family" : "Smith", "given" : "Susan J.", "non-dropping-particle" : "", "parse-names" : false, "suffix" : "" }, { "dropping-particle" : "", "family" : "Wells", "given" : "Darren M.", "non-dropping-particle" : "", "parse-names" : false, "suffix" : "" } ], "container-title" : "Journal of Experimental Botany", "id" : "ITEM-1", "issue" : "9", "issued" : { "date-parts" : [ [ "2007" ] ] }, "page" : "2297-2306", "title" : "Nitrate transport and signalling", "type" : "article-journal", "volume" : "58" }, "uris" : [ "http://www.mendeley.com/documents/?uuid=f2289327-caf5-452c-8e61-0ed543ea5c3c" ] }, { "id" : "ITEM-2", "itemData" : { "DOI" : "10.1016/j.tplants.2006.07.004", "ISBN" : "1360-1385 (Print)\\n1360-1385 (Linking)", "ISSN" : "13601385", "PMID" : "16899391", "abstract" : "Inorganic nitrogen is a substrate for nitrogen assimilation and also functions as a signal triggering widespread changes in gene expression that modulate metabolism and development. To integrate the actions of the nitrogen signal at the whole plant level, plants use multiple signaling routes that communicate internal and external nitrogen status. One route depends on nitrate itself and one uses cytokinin as a messenger. Recent genome-wide research has shown that the nitrate-specific signal regulates a wide variety of metabolic processes including nitrogen and carbon metabolism, and cytokinin biosynthesis. Cytokinin-mediated signaling is related to the control of development, protein synthesis and acquisition of macronutrients. The coordination and interaction of both regulatory pathways is important for normal plant growth under variable nitrogen supply conditions. ?? 2006 Elsevier Ltd. All rights reserved.", "author" : [ { "dropping-particle" : "", "family" : "Sakakibara", "given" : "Hitoshi", "non-dropping-particle" : "", "parse-names" : false, "suffix" : "" }, { "dropping-particle" : "", "family" : "Takei", "given" : "Kentaro", "non-dropping-particle" : "", "parse-names" : false, "suffix" : "" }, { "dropping-particle" : "", "family" : "Hirose", "given" : "Naoya", "non-dropping-particle" : "", "parse-names" : false, "suffix" : "" } ], "container-title" : "Trends in Plant Science", "id" : "ITEM-2", "issue" : "9", "issued" : { "date-parts" : [ [ "2006" ] ] }, "page" : "440-448", "title" : "Interactions between nitrogen and cytokinin in the regulation of metabolism and development", "type" : "article-journal", "volume" : "11" }, "uris" : [ "http://www.mendeley.com/documents/?uuid=fb0fbb3f-7134-4fb3-bf61-b11f1eb73a85" ] }, { "id" : "ITEM-3", "itemData" : { "DOI" : "10.1093/jxb/erq410", "ISBN" : "1460-2431 (Electronic)\\r0022-0957 (Linking)", "ISSN" : "00220957", "PMID" : "21196475", "abstract" : "Nitrogen is the mineral nutrient that often limits plant growth and development. In response to changes in nitrogen supply, plants display elaborate responses at both physiological and morphological levels to adjust their growth and development. Because higher plants consist of multiple organs with different functions and nutritional requirements, they rely on local and long-distance signalling pathways to coordinate the responses at the whole-plant level. Phytohormones have been considered as signalling substances of such pathways. Amongst phytohormones, abscisic acid, auxin, and cytokinins have been closely linked to nitrogen signalling. Recent evidence has provided some insights into how nitrogen and the phytohormone signals are integrated to bring about changes in physiology and morphology. In this review, the evidence is summarized, mostly focusing on examples related to nitrogen acquisition.", "author" : [ { "dropping-particle" : "", "family" : "Kiba", "given" : "Takatoshi", "non-dropping-particle" : "", "parse-names" : false, "suffix" : "" }, { "dropping-particle" : "", "family" : "Kudo", "given" : "Toru", "non-dropping-particle" : "", "parse-names" : false, "suffix" : "" }, { "dropping-particle" : "", "family" : "Kojima", "given" : "Mikiko", "non-dropping-particle" : "", "parse-names" : false, "suffix" : "" }, { "dropping-particle" : "", "family" : "Sakakibara", "given" : "Hitoshi", "non-dropping-particle" : "", "parse-names" : false, "suffix" : "" } ], "container-title" : "Journal of Experimental Botany", "id" : "ITEM-3", "issue" : "4", "issued" : { "date-parts" : [ [ "2011" ] ] }, "page" : "1399-1409", "title" : "Hormonal control of nitrogen acquisition: Roles of auxin, abscisic acid, and cytokinin", "type" : "article-journal", "volume" : "62" }, "uris" : [ "http://www.mendeley.com/documents/?uuid=795da7cd-0b84-43e2-9ab8-9c43c7cb3c92" ] } ], "mendeley" : { "formattedCitation" : "(Sakakibara &lt;i&gt;et al.&lt;/i&gt;, 2006; Miller &lt;i&gt;et al.&lt;/i&gt;, 2007; Kiba &lt;i&gt;et al.&lt;/i&gt;, 2011)", "plainTextFormattedCitation" : "(Sakakibara et al., 2006; Miller et al., 2007; Kiba et al., 2011)", "previouslyFormattedCitation" : "(Sakakibara &lt;i&gt;et al.&lt;/i&gt;, 2006; Miller &lt;i&gt;et al.&lt;/i&gt;, 2007; Kiba &lt;i&gt;et al.&lt;/i&gt;, 2011)"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(Sakakibara </w:t>
      </w:r>
      <w:r w:rsidRPr="002C5907">
        <w:rPr>
          <w:rFonts w:ascii="Cambria" w:hAnsi="Cambria"/>
          <w:i/>
          <w:noProof/>
        </w:rPr>
        <w:t>et al.</w:t>
      </w:r>
      <w:r w:rsidRPr="002C5907">
        <w:rPr>
          <w:rFonts w:ascii="Cambria" w:hAnsi="Cambria"/>
          <w:noProof/>
        </w:rPr>
        <w:t xml:space="preserve">, 2006; Miller </w:t>
      </w:r>
      <w:r w:rsidRPr="002C5907">
        <w:rPr>
          <w:rFonts w:ascii="Cambria" w:hAnsi="Cambria"/>
          <w:i/>
          <w:noProof/>
        </w:rPr>
        <w:t>et al.</w:t>
      </w:r>
      <w:r w:rsidRPr="002C5907">
        <w:rPr>
          <w:rFonts w:ascii="Cambria" w:hAnsi="Cambria"/>
          <w:noProof/>
        </w:rPr>
        <w:t xml:space="preserve">, 2007; Kiba </w:t>
      </w:r>
      <w:r w:rsidRPr="002C5907">
        <w:rPr>
          <w:rFonts w:ascii="Cambria" w:hAnsi="Cambria"/>
          <w:i/>
          <w:noProof/>
        </w:rPr>
        <w:t>et al.</w:t>
      </w:r>
      <w:r w:rsidRPr="002C5907">
        <w:rPr>
          <w:rFonts w:ascii="Cambria" w:hAnsi="Cambria"/>
          <w:noProof/>
        </w:rPr>
        <w:t>, 2011)</w:t>
      </w:r>
      <w:r w:rsidRPr="00531789">
        <w:rPr>
          <w:rFonts w:ascii="Cambria" w:hAnsi="Cambria"/>
        </w:rPr>
        <w:fldChar w:fldCharType="end"/>
      </w:r>
      <w:r w:rsidRPr="00531789">
        <w:rPr>
          <w:rFonts w:ascii="Cambria" w:hAnsi="Cambria"/>
        </w:rPr>
        <w:t>.  However, the whole-plant physiological behaviour linking molecular physiology on one hand</w:t>
      </w:r>
      <w:r>
        <w:rPr>
          <w:rFonts w:ascii="Cambria" w:hAnsi="Cambria"/>
        </w:rPr>
        <w:t>,</w:t>
      </w:r>
      <w:r w:rsidRPr="00531789">
        <w:rPr>
          <w:rFonts w:ascii="Cambria" w:hAnsi="Cambria"/>
        </w:rPr>
        <w:t xml:space="preserve"> and crop ecology on the other</w:t>
      </w:r>
      <w:r>
        <w:rPr>
          <w:rFonts w:ascii="Cambria" w:hAnsi="Cambria"/>
        </w:rPr>
        <w:t>,</w:t>
      </w:r>
      <w:r w:rsidRPr="00531789">
        <w:rPr>
          <w:rFonts w:ascii="Cambria" w:hAnsi="Cambria"/>
        </w:rPr>
        <w:t xml:space="preserve"> remains poorly characterised.</w:t>
      </w:r>
    </w:p>
    <w:p w14:paraId="2E1ACA22" w14:textId="77777777" w:rsidR="00DF4522" w:rsidRPr="00531789" w:rsidRDefault="00DF4522" w:rsidP="00DF4522">
      <w:pPr>
        <w:spacing w:line="360" w:lineRule="auto"/>
        <w:jc w:val="both"/>
        <w:rPr>
          <w:rFonts w:ascii="Cambria" w:hAnsi="Cambria"/>
        </w:rPr>
      </w:pPr>
    </w:p>
    <w:p w14:paraId="54C95517" w14:textId="593AD827" w:rsidR="00DF4522" w:rsidRPr="00531789" w:rsidRDefault="00DF4522" w:rsidP="00DF4522">
      <w:pPr>
        <w:spacing w:line="360" w:lineRule="auto"/>
        <w:jc w:val="both"/>
        <w:rPr>
          <w:rFonts w:ascii="Cambria" w:hAnsi="Cambria"/>
        </w:rPr>
      </w:pPr>
      <w:r w:rsidRPr="00531789">
        <w:rPr>
          <w:rFonts w:ascii="Cambria" w:hAnsi="Cambria"/>
        </w:rPr>
        <w:t xml:space="preserve">The relationships between nitrogen sources and sinks constitute a vital determinant of whole-plant growth behaviour.  The source describes the capacity of the plant to take up a resource – in this case, nitrogen – whilst the sink is the capacity of the plant to utilise that resource.  The nitrogen </w:t>
      </w:r>
      <w:proofErr w:type="spellStart"/>
      <w:r w:rsidRPr="00531789">
        <w:rPr>
          <w:rFonts w:ascii="Cambria" w:hAnsi="Cambria"/>
        </w:rPr>
        <w:t>source:sink</w:t>
      </w:r>
      <w:proofErr w:type="spellEnd"/>
      <w:r w:rsidRPr="00531789">
        <w:rPr>
          <w:rFonts w:ascii="Cambria" w:hAnsi="Cambria"/>
        </w:rPr>
        <w:t xml:space="preserve"> ratio is finely tuned by interacting molecular mechanisms, yet our understanding of the extent to which nitrogen source and sink limit growth at different times during plant ontogeny remains limited </w:t>
      </w:r>
      <w:r w:rsidRPr="00531789">
        <w:rPr>
          <w:rFonts w:ascii="Cambria" w:hAnsi="Cambria"/>
        </w:rPr>
        <w:fldChar w:fldCharType="begin" w:fldLock="1"/>
      </w:r>
      <w:r w:rsidR="009133B6">
        <w:rPr>
          <w:rFonts w:ascii="Cambria" w:hAnsi="Cambria"/>
        </w:rPr>
        <w:instrText>ADDIN CSL_CITATION { "citationItems" : [ { "id" : "ITEM-1", "itemData" : { "DOI" : "10.1093/jxb/erv447", "ISSN" : "0022-0957", "author" : [ { "dropping-particle" : "", "family" : "White",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"Journal of Experimental Botany", "id" : "ITEM-1", "issue" : "1", "issued" : { "date-parts" : [ [ "2016" ] ] }, "page" : "31-45", "title" : "How can we make plants grow faster? A source\u2013sink perspective on growth rate", "type" : "article-journal", "volume" : "67" }, "uris" : [ "http://www.mendeley.com/documents/?uuid=071fcd57-e076-410e-903a-444abfb30785" ] } ], "mendeley" : { "formattedCitation" : "(White &lt;i&gt;et al.&lt;/i&gt;, 2016)", "manualFormatting" : "(White et al., 2016)", "plainTextFormattedCitation" : "(White et al., 2016)", "previouslyFormattedCitation" : "(White &lt;i&gt;et al.&lt;/i&gt;, 2016)"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(White </w:t>
      </w:r>
      <w:r w:rsidRPr="002C5907">
        <w:rPr>
          <w:rFonts w:ascii="Cambria" w:hAnsi="Cambria"/>
          <w:i/>
          <w:noProof/>
        </w:rPr>
        <w:t>et al.</w:t>
      </w:r>
      <w:r w:rsidRPr="002C5907">
        <w:rPr>
          <w:rFonts w:ascii="Cambria" w:hAnsi="Cambria"/>
          <w:noProof/>
        </w:rPr>
        <w:t xml:space="preserve">, </w:t>
      </w:r>
      <w:r w:rsidR="000055CC">
        <w:rPr>
          <w:rFonts w:ascii="Cambria" w:hAnsi="Cambria"/>
          <w:noProof/>
        </w:rPr>
        <w:t>2016</w:t>
      </w:r>
      <w:r w:rsidRPr="002C5907">
        <w:rPr>
          <w:rFonts w:ascii="Cambria" w:hAnsi="Cambria"/>
          <w:noProof/>
        </w:rPr>
        <w:t>)</w:t>
      </w:r>
      <w:r w:rsidRPr="00531789">
        <w:rPr>
          <w:rFonts w:ascii="Cambria" w:hAnsi="Cambria"/>
        </w:rPr>
        <w:fldChar w:fldCharType="end"/>
      </w:r>
      <w:r w:rsidRPr="00531789">
        <w:rPr>
          <w:rFonts w:ascii="Cambria" w:hAnsi="Cambria"/>
        </w:rPr>
        <w:t xml:space="preserve">.  Broadly speaking, plants are thought to transition from carbon sink to source limitation during growth </w:t>
      </w:r>
      <w:r w:rsidRPr="00531789">
        <w:rPr>
          <w:rFonts w:ascii="Cambria" w:hAnsi="Cambria"/>
        </w:rPr>
        <w:fldChar w:fldCharType="begin" w:fldLock="1"/>
      </w:r>
      <w:r w:rsidRPr="00531789">
        <w:rPr>
          <w:rFonts w:ascii="Cambria" w:hAnsi="Cambria"/>
        </w:rPr>
        <w:instrText>ADDIN CSL_CITATION { "citationItems" : [ { "id" : "ITEM-1", "itemData" : { "author" : [ { "dropping-particle" : "", "family" : "Arp", "given" : "W J", "non-dropping-particle" : "", "parse-names" : false, "suffix" : "" } ], "container-title" : "Plant, Cell &amp; Environment", "id" : "ITEM-1", "issued" : { "date-parts" : [ [ "1991" ] ] }, "page" : "869-875", "title" : "Effects of source-sink relations on photosynthetic acclimation to elevated CO2", "type" : "article-journal", "volume" : "14" }, "uris" : [ "http://www.mendeley.com/documents/?uuid=bb80a4ae-185e-48b5-858d-08efd177107a" ] }, { "id" : "ITEM-2", "itemData" : { "ISBN" : "0-12-473543-6", "author" : [ { "dropping-particle" : "", "family" : "Marschner", "given" : "Horst", "non-dropping-particle" : "", "parse-names" : false, "suffix" : "" } ], "edition" : "2nd", "editor" : [ { "dropping-particle" : "", "family" : "Marschner", "given" : "P", "non-dropping-particle" : "", "parse-names" : false, "suffix" : "" } ], "id" : "ITEM-2", "issued" : { "date-parts" : [ [ "1995" ] ] }, "publisher" : "Academic Press", "publisher-place" : "London", "title" : "Mineral Nutrition of Higher Plants", "type" : "book" }, "uris" : [ "http://www.mendeley.com/documents/?uuid=4da83903-c379-4e79-8410-79eaf9305b73" ] } ], "mendeley" : { "formattedCitation" : "(Arp, 1991; Marschner, 1995)", "plainTextFormattedCitation" : "(Arp, 1991; Marschner, 1995)", "previouslyFormattedCitation" : "(Arp, 1991; Marschner, 1995)"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(Arp, 1991; Marschner, 1995)</w:t>
      </w:r>
      <w:r w:rsidRPr="00531789">
        <w:rPr>
          <w:rFonts w:ascii="Cambria" w:hAnsi="Cambria"/>
        </w:rPr>
        <w:fldChar w:fldCharType="end"/>
      </w:r>
      <w:r w:rsidRPr="00531789">
        <w:rPr>
          <w:rFonts w:ascii="Cambria" w:hAnsi="Cambria"/>
        </w:rPr>
        <w:t xml:space="preserve">, but the picture is far from complete, with differences in source and sink limitation observed for a variety of crops, particularly at grain filling </w:t>
      </w:r>
      <w:r w:rsidRPr="00531789">
        <w:rPr>
          <w:rFonts w:ascii="Cambria" w:hAnsi="Cambria"/>
        </w:rPr>
        <w:fldChar w:fldCharType="begin" w:fldLock="1"/>
      </w:r>
      <w:r>
        <w:rPr>
          <w:rFonts w:ascii="Cambria" w:hAnsi="Cambria"/>
        </w:rPr>
        <w:instrText>ADDIN CSL_CITATION { "citationItems" : [ { "id" : "ITEM-1", "itemData" : { "DOI" : "10.2135/cropsci2007.10.0545", "ISSN" : "1435-0653", "author" : [ { "dropping-particle" : "", "family" : "\u00c1lvaro", "given" : "F.", "non-dropping-particle" : "", "parse-names" : false, "suffix" : "" }, { "dropping-particle" : "", "family" : "Royo", "given" : "C.", "non-dropping-particle" : "", "parse-names" : false, "suffix" : "" }, { "dropping-particle" : "", "family" : "Garc\u00eda del Moral", "given" : "L. F.", "non-dropping-particle" : "", "parse-names" : false, "suffix" : "" }, { "dropping-particle" : "", "family" : "Villegas", "given" : "D.", "non-dropping-particle" : "", "parse-names" : false, "suffix" : "" } ], "container-title" : "Crop Science", "id" : "ITEM-1", "issue" : "4", "issued" : { "date-parts" : [ [ "2008" ] ] }, "page" : "1523", "title" : "Grain filling and dry matter translocation responses to source\u2013sink modifications in a historical series of durum wheat", "type" : "article-journal", "volume" : "48" }, "uris" : [ "http://www.mendeley.com/documents/?uuid=bc1c79db-bafd-44a8-a567-4cc46e4e66a9" ] }, { "id" : "ITEM-2", "itemData" : { "DOI" : "10.1016/j.fcr.2008.07.006", "ISSN" : "03784290", "author" : [ { "dropping-particle" : "", "family" : "Acreche", "given" : "Mart\u00edn M.", "non-dropping-particle" : "", "parse-names" : false, "suffix" : "" }, { "dropping-particle" : "", "family" : "Slafer", "given" : "Gustavo A.", "non-dropping-particle" : "", "parse-names" : false, "suffix" : "" } ], "container-title" : "Field Crops Research", "id" : "ITEM-2", "issue" : "2", "issued" : { "date-parts" : [ [ "2009", "2" ] ] }, "page" : "98-105", "title" : "Grain weight, radiation interception and use efficiency as affected by sink-strength in Mediterranean wheats released from 1940 to 2005", "type" : "article-journal", "volume" : "110" }, "uris" : [ "http://www.mendeley.com/documents/?uuid=c4038cd1-032b-4704-8eaf-d32835ccb089" ] }, { "id" : "ITEM-3", "itemData" : { "DOI" : "10.1016/j.copbio.2011.12.013", "ISSN" : "1879-0429", "PMID" : "22261558", "abstract" : "Source and sink strength control plant carbon gain and yield. Source strength was recently engineered by modifying the large subunit of Rubisco, replacing the small subunit, and creating improved thermostable Rubisco activases. This technological breakthrough makes Rubisco engineering feasible at last. Enhancement of leaf transitory starch synthesis or induction of artificial sinks in leaves increased biomass and yield. Importantly, such approaches also had a positive feedback on source strength. In addition, novel targets for the improvement of carbon gain in crops have been identified that are especially relevant in the light of climate change.", "author" : [ { "dropping-particle" : "", "family" : "Peterhansel", "given" : "Christoph", "non-dropping-particle" : "", "parse-names" : false, "suffix" : "" }, { "dropping-particle" : "", "family" : "Offermann", "given" : "Sascha", "non-dropping-particle" : "", "parse-names" : false, "suffix" : "" } ], "container-title" : "Current Opinion in Biotechnology", "id" : "ITEM-3", "issue" : "2", "issued" : { "date-parts" : [ [ "2012", "4" ] ] }, "page" : "204-8", "publisher" : "Elsevier Ltd", "title" : "Re-engineering of carbon fixation in plants - challenges for plant biotechnology to improve yields in a high-CO2 world.", "type" : "article-journal", "volume" : "23" }, "uris" : [ "http://www.mendeley.com/documents/?uuid=d88261af-c545-47f4-bac3-bc6b86d5add4" ] }, { "id" : "ITEM-4", "itemData" : { "DOI" : "10.1093/jxb/ers124", "ISSN" : "1460-2431", "PMID" : "22732107", "abstract" : "A dramatic change in agricultural crops is needed in order to keep pace with the demands of an increasing human population, exponential need for renewable fuels, and uncertain climatic changes. Grasses make up the vast majority of agricultural commodities. How these grasses capture, transport, and store carbohydrates underpins all aspects of crop productivity. Sink-source dynamics within the plant direct how much, where, and when carbohydrates are allocated, as well as determine the harvestable tissue. Carbohydrate partitioning can limit the yield capacity of these plants, thus offering a potential target for crop improvement. Grasses have the ability to buffer this sink-source interaction by transiently storing carbohydrates in stem tissue when production from the source is greater than whole-plant demand. These reserves improve yield stability in grain crops by providing an alternative source when photosynthetic capacity is reduced during the later phases of grain filling, or during periods of environmental and biotic stresses. Domesticated grasses such as sugarcane and sweet sorghum have undergone selection for high accumulation of stem carbohydrates, which serve as the primary sources of sugars for human and animal consumption, as well as ethanol production for fuel. With the enormous expectations placed on agricultural production in the near future, research into carbohydrate partitioning in grasses is essential for maintaining and increasing yields in grass crops. This review highlights the current knowledge of non-structural carbohydrate dynamics in grass stems and discusses the impacts of stem reserves in essential agronomic grasses.", "author" : [ { "dropping-particle" : "", "family" : "Slewinski", "given" : "Thomas L", "non-dropping-particle" : "", "parse-names" : false, "suffix" : "" } ], "container-title" : "Journal of Experimental Botany", "id" : "ITEM-4", "issue" : "13", "issued" : { "date-parts" : [ [ "2012", "8" ] ] }, "note" : "Quoted from text:\n\nThere are periods in the plant life cycle where carbohydrate production in source tissues exceeds the demands of sink tissues, and vice versa. This is in agreement with a more integrative view of sink\u2013source interactions which emphasizes a co-limitation, rather than strictly sink or source limitation (Slafer, 2003; Alvaro et al.,2008; Acreche and Slafer, 2011). For example in wheat, stem carbohydrates progressively accumulate in the stem until the stage of rapid grain filling when stem carbohydrates reserves become mobile and partition to the developing grain (Ruuska et al., 2006).\n\nThe nature of the plant life cycle also has a dramatic impact on whole-plant carbohydrate partitioning (Thompson and Stewart, 1981). Most of the grain-producing grasses are monocarpic annuals with only one chance at producing offspring before the life cycle ends. Thus, carbohydrate reserves buffer against extended periods of low light or drought, allowing plants to produce some viable seed. Perennials go one step further by storing carbohydrates in stems and roots, which may include rhizomes, to fuel re-growth of new tissues in the spring. \n\nStorage and remobilization strategies depend to a large degree on the form in which carbohydrates are stored. Depending on the species, stem carbohydrates can be stored as soluble sugars, such as sucrose, fructans (soluble polymers of fructose), or starch (insoluble polymers of glucose) (Halford et al., 2011). The amount of stored carbohydrate in the stem also varies with the species and cultivar of grass and is dependent on the stage of development and growing conditions. Some grasses that have a central lacuna can also store carbohydrate in the chloranchyma cells along the periphery of the stem.\n\nSome grasses store NSCs in the form of polymers in the storage parenchyma cells, either as starch or as fructans (Fig. 1C) (Morvan-Bertrand et al., 2001; Xue et al., 2008). Grass species that are indigenous to temperate climates and that regularly experience periods of drought and frost typically utilize fructans as a carbohydrate storage pool (Halford et al., 2011). Fructans are synthesized in the vacuolar lumen from imported sucrose (Pollock et al., 2003). Only a few grasses use starch as a primary reserve in thestems (discussed below). Unlike fructans, starch is formed in the plastids/amyloplasts by metabolic events both in the plastid and in the cytosol. Remobilization requires the breakdown of starch in the plastids, then sucrose re- synthesis in the cytosol before export from the cell. For further discussions on starch metabolism, see Zeeman et al. (2010) and Weise et al. (2011).\n\nCarbohydrate partitioning in rice plants is also interesting because plants store carbohydrate reserves as sucrose in the leaves and both starch and sucrose in the stems\u2014a pattern that diverges from many of the grasses (Scofield et al., 2009).\n\nQuantifying NSCs in stems at harvest is one way todetect sink\u2013source imbalances in grain-producing grasses. A recent survey of major domestic cultivars of rice grown under normal agricultural conditions in Japan found that all varieties have significant NSC left in the straw (Park et al., 2011). Other reports indicate that if too much nitrogen is applied to fields, or plants express the staygreen condition longer than is needed for grain fill, stems become saturated with starch (Pan et al., 2011). This starch is then disposed of in the chaff during harvest, which decreases the harvest index. Interestingly, hybrid rice varieties also have reduced harvest index, presumably due to the same phenomenon. These data suggest that rice exhibits more sink than source limitation imposed by constraints in the transport or grain-filling processes. This raises some important questions. Will increasing carbohydrate source strength be enough to increase yield? Does increased and sustained photosynthesis correlate with increased grain fill and harvest index? Carbohydrate partitioning involves not only the production, storage, and utilization of carbohydrates, but is also critically depen- dent on transport. Transport is determined by both the physiology and vascular architecture of the transport system (Dinant and Lemoine, 2010). Rice panicles that produce more spikelets per panicle, so-called \u2018Super Rice\u2019, have problems filling grains produced on the inferior spikelets (Yang and Zhang, 2010b). These plants become more \u2018source limited\u2019 as spikelet density increases, but the grain-filling problem may result from inadequate vascular connections to the inferior spikelet. This results in normal grain filling in the superior spikelet, but reduced in the inferior spikelets, throughout the panicle (Yang et al., 2002). Such morphogenetic constraints in the vascular system can confound investigations into sink\u2013source dynamics (Watson and Casper, 1984) ..... Increasing productivity will most probably require an extensive redesign of the plant, including the physical architecture of the vascular system and buffering capabilities in the stem, not simply the introduction of the C4 photosynthetic syndrome.\n\nIs it possible to optimize the sugar transport streamfurther in order to convert more of the NSCs in the stem into grain mass? As the data highlighted above suggest, there is still much that remains unknown about carbohy- drate partitioning in rice, and how entire life cycle dynamics impact yield. Even though many aspects of carbohydrate partitioning remain elusive, there is potential for improve- ment in the way currently grown cultivars convert carbohy- drate stores into harvested grains.\n\nThe roles and mechanisms of storing and remobilizing stem carbohydrates in wheat have been more intensely studied than in other grain-bearing grasses (Schnyder, 1993; Blum et al., 1994; Wardlaw and Willenbrink, 2000). This is because early researchers discovered a direct correlation between carbohydrate storage in the stems and the ability of the plants to maintain high yield stability under drought or other environmentally deleterious conditions (Bindinger et al., 1977; Asseng and Herwaarden, 2003). Mobilized reserves from the stem tissues can contribute ;20\u201340% of the final grain weight under normal non-stressed growing conditions (Dreccer et al., 2009). \n\nAs breeders and basic scientists raise both source and sink potentials, the physical architecture of the vascular system itself may become the new limiting factor in the carbon economy of the plant (Asli and Houshmandfar, 2011). Buffering the supply with stem carbohydrate reserves may be one way to maximize transport through a constrained vascular route. However, eventually the vascular system itself will have to be altered to accommodate the high rates of transport to the developing florets and grains. More research is needed in this area to identify substantial bottlenecks in transport and grain-filling processes.\n\nPresumably, influx into storage parenchyma cells of thesegrasses is symplasmic, as it is in many tissues that accumulate sugar polymers (Aoki et al., 2004). Stem NSC in wheat, barley, and oat is mostly in the form of fructans stored in the vacuoles of the stem storage parenchyma cells. Other major carbohydrates do not significantly contribute to the NSC reserves, or show little variance between high and low stem NSC lines (Bancal and Tribo\u0131\u00a8, 1993; Ruuska et al., 2006). Starch is present in the stem and leaves of wheat, but has been suggested to function as a source for vegetative growth rather than for mobilization to the grain (Scofield et al., 2009). Fructan synthesis may depend more on sucrose availability, as seen when fructans become rapidly labelled when [14C]sucrose is injected into wheat stems (Hogan and Hendrix, 1986). However, fructan concentrations in wheat are not directly correlated with fructosyltranserase activity (Goggin and Setter, 2004).\n\n\nIn barley, the most promising potential to increaseradiation use efficiency may come from alterations in sink\u2013 source dynamics (Bingham et al., 2007; Newton et al., 2011). Barley appears to be much more sink than source limited. Presumably, the low sink capacity of barley leads to a reduction in photosynthetic productivity due to feedback inhibition.\n\nImproving stress tolerance in wheat by manipulating NSCs in stems has already been put into practice in areas where environmental conditions are suboptimal (Ehdaie et al., 2006). Such is the case in Australia where severe and terminal droughts are common (Bell et al., 2010). Wheat cultivars that have high NSCs in stems show improved floret fertility, grain filling, and yield stability when grown under rain-fed or drought conditions. When these lines are grown under irrigated and non-stress conditions, yields from high stem NSC lines are comparable with those of low NSC lines, suggesting there are no yield penalties associated with high NSCs if the plant does not experience stress (Foulkes et al., 2007).\n\nClosing the yield gap will require drastic exploitation of the sink\u2013source relationship in the grass crops. However, most sink or source components that directly affect yield appear to be negatively correlated with each other (Slafer et al., 1996). The nature of these negative relationships remains unknown. Therefore, new descriptive models are needed that diverge from simple sink- or source-limited systems, to whole-plant entire life cycle systems to understand these relationships fully.\n\nCan larger stem NSC reserves increase radiation use efficiency in the grasses (Reynolds et al., 2011)? It has been suggested that in barley, one of the most promising ways to increase radiation use efficiency is to increase sink strength and storage capacity (Newton et al., 2011), which includes NSC reserves in the stems.", "page" : "4647-70", "title" : "Non-structural carbohydrate partitioning in grass stems: a target to increase yield stability, stress tolerance, and biofuel production.", "type" : "article-journal", "volume" : "63" }, "uris" : [ "http://www.mendeley.com/documents/?uuid=21ab6445-1653-4121-b68f-0126cb60d2ee" ] }, { "id" : "ITEM-5", "itemData" : { "ISBN" : "0011-183X", "author" : [ { "dropping-particle" : "", "family" : "Jaikumar", "given" : "Nikhil S", "non-dropping-particle" : "", "parse-names" : false, "suffix" : "" }, { "dropping-particle" : "", "family" : "Snapp", "given" : "Sieglinde S", "non-dropping-particle" : "", "parse-names" : false, "suffix" : "" }, { "dropping-particle" : "", "family" : "Flore", "given" : "James A", "non-dropping-particle" : "", "parse-names" : false, "suffix" : "" }, { "dropping-particle" : "", "family" : "Loescher", "given" : "Wayne", "non-dropping-particle" : "", "parse-names" : false, "suffix" : "" } ], "container-title" : "Crop Science", "id" : "ITEM-5", "issued" : { "date-parts" : [ [ "2014" ] ] }, "page" : "274-283", "title" : "Photosynthetic Responses in Annual Rye, Perennial Wheat, and Perennial Rye Subjected to Modest Source: Sink Ratio Changes", "type" : "article-journal", "volume" : "54" }, "uris" : [ "http://www.mendeley.com/documents/?uuid=4586da10-7cdb-47f8-84b1-4ad27a5284ad" ] } ], "mendeley" : { "formattedCitation" : "(\u00c1lvaro &lt;i&gt;et al.&lt;/i&gt;, 2008; Acreche and Slafer, 2009; Peterhansel and Offermann, 2012; Slewinski, 2012; Jaikumar &lt;i&gt;et al.&lt;/i&gt;, 2014)", "plainTextFormattedCitation" : "(\u00c1lvaro et al., 2008; Acreche and Slafer, 2009; Peterhansel and Offermann, 2012; Slewinski, 2012; Jaikumar et al., 2014)", "previouslyFormattedCitation" : "(\u00c1lvaro &lt;i&gt;et al.&lt;/i&gt;, 2008; Acreche and Slafer, 2009; Peterhansel and Offermann, 2012; Slewinski, 2012; Jaikumar &lt;i&gt;et al.&lt;/i&gt;, 2014)"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(Álvaro </w:t>
      </w:r>
      <w:r w:rsidRPr="002C5907">
        <w:rPr>
          <w:rFonts w:ascii="Cambria" w:hAnsi="Cambria"/>
          <w:i/>
          <w:noProof/>
        </w:rPr>
        <w:t>et al.</w:t>
      </w:r>
      <w:r w:rsidRPr="002C5907">
        <w:rPr>
          <w:rFonts w:ascii="Cambria" w:hAnsi="Cambria"/>
          <w:noProof/>
        </w:rPr>
        <w:t xml:space="preserve">, 2008; Acreche and Slafer, 2009; Peterhansel and Offermann, 2012; Slewinski, 2012; Jaikumar </w:t>
      </w:r>
      <w:r w:rsidRPr="002C5907">
        <w:rPr>
          <w:rFonts w:ascii="Cambria" w:hAnsi="Cambria"/>
          <w:i/>
          <w:noProof/>
        </w:rPr>
        <w:t>et al.</w:t>
      </w:r>
      <w:r w:rsidRPr="002C5907">
        <w:rPr>
          <w:rFonts w:ascii="Cambria" w:hAnsi="Cambria"/>
          <w:noProof/>
        </w:rPr>
        <w:t>, 2014)</w:t>
      </w:r>
      <w:r w:rsidRPr="00531789">
        <w:rPr>
          <w:rFonts w:ascii="Cambria" w:hAnsi="Cambria"/>
        </w:rPr>
        <w:fldChar w:fldCharType="end"/>
      </w:r>
      <w:r w:rsidRPr="00531789">
        <w:rPr>
          <w:rFonts w:ascii="Cambria" w:hAnsi="Cambria"/>
        </w:rPr>
        <w:t xml:space="preserve">.  To our knowledge, patterns of nitrogen source and sink limitation have not been extensively researched, yet nitrogen is a vital resource for plant growth, and understanding the limitations to growth imposed by nitrogen sources and sinks as well as carbon sources and sinks will be important for improving crops in a holistic manner </w:t>
      </w:r>
      <w:r w:rsidRPr="00531789">
        <w:rPr>
          <w:rFonts w:ascii="Cambria" w:hAnsi="Cambria"/>
        </w:rPr>
        <w:fldChar w:fldCharType="begin" w:fldLock="1"/>
      </w:r>
      <w:r w:rsidR="002B4FD9">
        <w:rPr>
          <w:rFonts w:ascii="Cambria" w:hAnsi="Cambria"/>
        </w:rPr>
        <w:instrText>ADDIN CSL_CITATION { "citationItems" : [ { "id" : "ITEM-1", "itemData" : { "DOI" : "10.1093/jxb/erv447", "ISSN" : "0022-0957", "author" : [ { "dropping-particle" : "", "family" : "White",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"Journal of Experimental Botany", "id" : "ITEM-1", "issue" : "1", "issued" : { "date-parts" : [ [ "2016" ] ] }, "page" : "31-45", "title" : "How can we make plants grow faster? A source\u2013sink perspective on growth rate", "type" : "article-journal", "volume" : "67" }, "uris" : [ "http://www.mendeley.com/documents/?uuid=071fcd57-e076-410e-903a-444abfb30785" ] }, { "id" : "ITEM-2", "itemData" : { "author" : [ { "dropping-particle" : "", "family" : "Burnett",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"Plant Cell and Environment", "id" : "ITEM-2", "issued" : { "date-parts" : [ [ "2016" ] ] }, "title" : "Source-sink limitations differ between two species with contrasting growth strategies. In press.", "type" : "article-journal" }, "uris" : [ "http://www.mendeley.com/documents/?uuid=f5338dba-5628-426b-8811-253c230d7ad4" ] } ], "mendeley" : { "formattedCitation" : "(Burnett &lt;i&gt;et al.&lt;/i&gt;, 2016; White &lt;i&gt;et al.&lt;/i&gt;, 2016)", "manualFormatting" : "(Burnett et al., 2016; White et al., 2016)", "plainTextFormattedCitation" : "(Burnett et al., 2016; White et al., 2016)", "previouslyFormattedCitation" : "(Burnett &lt;i&gt;et al.&lt;/i&gt;, 2016; White &lt;i&gt;et al.&lt;/i&gt;, 2016)"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w:t>
      </w:r>
      <w:r w:rsidR="000055CC">
        <w:rPr>
          <w:rFonts w:ascii="Cambria" w:hAnsi="Cambria"/>
          <w:noProof/>
        </w:rPr>
        <w:t xml:space="preserve">Burnett </w:t>
      </w:r>
      <w:r w:rsidR="000055CC">
        <w:rPr>
          <w:rFonts w:ascii="Cambria" w:hAnsi="Cambria"/>
          <w:i/>
          <w:noProof/>
        </w:rPr>
        <w:t xml:space="preserve">et </w:t>
      </w:r>
      <w:r w:rsidR="000055CC" w:rsidRPr="000055CC">
        <w:rPr>
          <w:rFonts w:ascii="Cambria" w:hAnsi="Cambria"/>
          <w:noProof/>
        </w:rPr>
        <w:t>al</w:t>
      </w:r>
      <w:r w:rsidR="000055CC">
        <w:rPr>
          <w:rFonts w:ascii="Cambria" w:hAnsi="Cambria"/>
          <w:noProof/>
        </w:rPr>
        <w:t xml:space="preserve">., 2016; </w:t>
      </w:r>
      <w:r w:rsidRPr="000055CC">
        <w:rPr>
          <w:rFonts w:ascii="Cambria" w:hAnsi="Cambria"/>
          <w:noProof/>
        </w:rPr>
        <w:t>White</w:t>
      </w:r>
      <w:r w:rsidRPr="002C5907">
        <w:rPr>
          <w:rFonts w:ascii="Cambria" w:hAnsi="Cambria"/>
          <w:noProof/>
        </w:rPr>
        <w:t xml:space="preserve"> </w:t>
      </w:r>
      <w:r w:rsidRPr="002C5907">
        <w:rPr>
          <w:rFonts w:ascii="Cambria" w:hAnsi="Cambria"/>
          <w:i/>
          <w:noProof/>
        </w:rPr>
        <w:t>et al.</w:t>
      </w:r>
      <w:r w:rsidRPr="002C5907">
        <w:rPr>
          <w:rFonts w:ascii="Cambria" w:hAnsi="Cambria"/>
          <w:noProof/>
        </w:rPr>
        <w:t>, 2016)</w:t>
      </w:r>
      <w:r w:rsidRPr="00531789">
        <w:rPr>
          <w:rFonts w:ascii="Cambria" w:hAnsi="Cambria"/>
        </w:rPr>
        <w:fldChar w:fldCharType="end"/>
      </w:r>
      <w:r w:rsidRPr="00531789">
        <w:rPr>
          <w:rFonts w:ascii="Cambria" w:hAnsi="Cambria"/>
        </w:rPr>
        <w:t xml:space="preserve">. </w:t>
      </w:r>
    </w:p>
    <w:p w14:paraId="4AD22BEC" w14:textId="77777777" w:rsidR="00DF4522" w:rsidRPr="00531789" w:rsidRDefault="00DF4522" w:rsidP="00DF4522">
      <w:pPr>
        <w:spacing w:line="360" w:lineRule="auto"/>
        <w:jc w:val="both"/>
        <w:rPr>
          <w:rFonts w:ascii="Cambria" w:hAnsi="Cambria"/>
        </w:rPr>
      </w:pPr>
    </w:p>
    <w:p w14:paraId="7BEBCB08" w14:textId="77777777" w:rsidR="00DF4522" w:rsidRPr="00531789" w:rsidRDefault="00DF4522" w:rsidP="00DF4522">
      <w:pPr>
        <w:spacing w:line="360" w:lineRule="auto"/>
        <w:jc w:val="both"/>
        <w:rPr>
          <w:rFonts w:ascii="Cambria" w:hAnsi="Cambria"/>
        </w:rPr>
      </w:pPr>
      <w:r w:rsidRPr="00531789">
        <w:rPr>
          <w:rFonts w:ascii="Cambria" w:hAnsi="Cambria"/>
        </w:rPr>
        <w:t xml:space="preserve">The natural diversity of plant growth rates can be used to investigate the factors that limit growth, and ecological research has advanced our understanding of how growth and nitrogen use by plants is adapted to different soil conditions. Growth rate is considered an important adaptation to variation in soil fertility, which in turn is hypothesised as an important explanation of global trait variation </w:t>
      </w:r>
      <w:r w:rsidRPr="00531789">
        <w:rPr>
          <w:rFonts w:ascii="Cambria" w:hAnsi="Cambria"/>
        </w:rPr>
        <w:fldChar w:fldCharType="begin" w:fldLock="1"/>
      </w:r>
      <w:r>
        <w:rPr>
          <w:rFonts w:ascii="Cambria" w:hAnsi="Cambria"/>
        </w:rPr>
        <w:instrText>ADDIN CSL_CITATION { "citationItems" : [ { "id" : "ITEM-1", "itemData" : { "DOI" : "10.1038/nature16489", "ISBN" : "1476-4687", "ISSN" : "0028-0836", "PMID" : "26700811", "abstract" : "Earth is home to a remarkable diversity of plant forms and life histories, yet comparatively few essential trait combinations have proved evolutionarily viable in today\u2019s terrestrial biosphere. By analysing worldwide variation in six major traits critical to growth, survival and reproduction within the largest sample of vascular plant species ever compiled, we found that occupancy of six-dimensional trait space is strongly concentrated, indicating coordination and trade-offs. Three- quarters of trait variation is captured in a two-dimensional global spectrum of plant form and function. One major dimension within this plane reflects the size of whole plants and their parts; the other represents the leaf economics spectrum, which balances leaf construction costs against growth potential. The global plant trait spectrum provides a backdrop for elucidating constraints on evolution, for functionally qualifying species and ecosystems, and for improving models that predict future vegetation based on continuous variation in plant form and function.", "author" : [ { "dropping-particle" : "", "family" : "D\u00edaz", "given" : "Sandra", "non-dropping-particle" : "", "parse-names" : false, "suffix" : "" }, { "dropping-particle" : "", "family" : "Kattge", "given" : "Jens", "non-dropping-particle" : "", "parse-names" : false, "suffix" : "" }, { "dropping-particle" : "", "family" : "Cornelissen", "given" : "Johannes H C", "non-dropping-particle" : "", "parse-names" : false, "suffix" : "" }, { "dropping-particle" : "", "family" : "Wright", "given" : "Ian J", "non-dropping-particle" : "", "parse-names" : false, "suffix" : "" }, { "dropping-particle" : "", "family" : "Lavorel", "given" : "Sandra", "non-dropping-particle" : "", "parse-names" : false, "suffix" : "" }, { "dropping-particle" : "", "family" : "Dray", "given" : "St\u00e9phane", "non-dropping-particle" : "", "parse-names" : false, "suffix" : "" }, { "dropping-particle" : "", "family" : "Reu", "given" : "Bj\u00f6rn", "non-dropping-particle" : "", "parse-names" : false, "suffix" : "" }, { "dropping-particle" : "", "family" : "Kleyer", "given" : "Michael", "non-dropping-particle" : "", "parse-names" : false, "suffix" : "" }, { "dropping-particle" : "", "family" : "Wirth", "given" : "Christian", "non-dropping-particle" : "", "parse-names" : false, "suffix" : "" }, { "dropping-particle" : "", "family" : "Prentice", "given" : "I Colin", "non-dropping-particle" : "", "parse-names" : false, "suffix" : "" }, { "dropping-particle" : "", "family" : "Garnier", "given" : "Eric", "non-dropping-particle" : "", "parse-names" : false, "suffix" : "" }, { "dropping-particle" : "", "family" : "B\u00f6nisch", "given" : "Gerhard", "non-dropping-particle" : "", "parse-names" : false, "suffix" : "" }, { "dropping-particle" : "", "family" : "Westoby", "given" : "Mark", "non-dropping-particle" : "", "parse-names" : false, "suffix" : "" }, { "dropping-particle" : "", "family" : "Poorter", "given" : "Hendrik", "non-dropping-particle" : "", "parse-names" : false, "suffix" : "" }, { "dropping-particle" : "", "family" : "Reich", "given" : "Peter B", "non-dropping-particle" : "", "parse-names" : false, "suffix" : "" }, { "dropping-particle" : "", "family" : "Moles", "given" : "Angela T", "non-dropping-particle" : "", "parse-names" : false, "suffix" : "" }, { "dropping-particle" : "", "family" : "Dickie", "given" : "John", "non-dropping-particle" : "", "parse-names" : false, "suffix" : "" }, { "dropping-particle" : "", "family" : "Gillison", "given" : "Andrew N", "non-dropping-particle" : "", "parse-names" : false, "suffix" : "" }, { "dropping-particle" : "", "family" : "Zanne", "given" : "Amy E", "non-dropping-particle" : "", "parse-names" : false, "suffix" : "" }, { "dropping-particle" : "", "family" : "Chave", "given" : "Jerome", "non-dropping-particle" : "", "parse-names" : false, "suffix" : "" }, { "dropping-particle" : "", "family" : "Wright", "given" : "S. J.", "non-dropping-particle" : "", "parse-names" : false, "suffix" : "" }, { "dropping-particle" : "", "family" : "Sheremet'ev", "given" : "Serge N", "non-dropping-particle" : "", "parse-names" : false, "suffix" : "" }, { "dropping-particle" : "", "family" : "Jactel", "given" : "Herv\u00e9", "non-dropping-particle" : "", "parse-names" : false, "suffix" : "" }, { "dropping-particle" : "", "family" : "Christopher", "given" : "Baraloto", "non-dropping-particle" : "", "parse-names" : false, "suffix" : "" }, { "dropping-particle" : "", "family" : "Cerabolini", "given" : "Bruno", "non-dropping-particle" : "", "parse-names" : false, "suffix" : "" }, { "dropping-particle" : "", "family" : "Pierce", "given" : "Simon", "non-dropping-particle" : "", "parse-names" : false, "suffix" : "" }, { "dropping-particle" : "", "family" : "Shipley", "given" : "Bill", "non-dropping-particle" : "", "parse-names" : false, "suffix" : "" }, { "dropping-particle" : "", "family" : "Kirkup", "given" : "Donald", "non-dropping-particle" : "", "parse-names" : false, "suffix" : "" }, { "dropping-particle" : "", "family" : "Casanoves", "given" : "Fernando", "non-dropping-particle" : "", "parse-names" : false, "suffix" : "" }, { "dropping-particle" : "", "family" : "Joswig", "given" : "Julia S", "non-dropping-particle" : "", "parse-names" : false, "suffix" : "" }, { "dropping-particle" : "", "family" : "G\u00fcnther", "given" : "Angela", "non-dropping-particle" : "", "parse-names" : false, "suffix" : "" }, { "dropping-particle" : "", "family" : "Falczuk", "given" : "Valeria", "non-dropping-particle" : "", "parse-names" : false, "suffix" : "" }, { "dropping-particle" : "", "family" : "R\u00fcger", "given" : "Nadja", "non-dropping-particle" : "", "parse-names" : false, "suffix" : "" }, { "dropping-particle" : "", "family" : "Mahecha", "given" : "Miguel D.", "non-dropping-particle" : "", "parse-names" : false, "suffix" : "" }, { "dropping-particle" : "", "family" : "Gorn\u00e9", "given" : "Lucas D.", "non-dropping-particle" : "", "parse-names" : false, "suffix" : "" } ], "container-title" : "Nature", "id" : "ITEM-1", "issue" : "7585", "issued" : { "date-parts" : [ [ "2016" ] ] }, "page" : "167-183", "publisher" : "Nature Publishing Group", "title" : "The global spectrum of plant form and function", "type" : "article-journal", "volume" : "529" }, "uris" : [ "http://www.mendeley.com/documents/?uuid=d84a497b-53e2-43b0-be53-f5f1f48bde89" ] }, { "id" : "ITEM-2", "itemData" : { "author" : [ { "dropping-particle" : "", "family" : "Wright", "given" : "Ian J", "non-dropping-particle" : "", "parse-names" : false, "suffix" : "" }, { "dropping-particle" : "", "family" : "Reich", "given" : "Peter B", "non-dropping-particle" : "", "parse-names" : false, "suffix" : "" }, { "dropping-particle" : "", "family" : "Westoby", "given" : "Mark", "non-dropping-particle" : "", "parse-names" : false, "suffix" : "" }, { "dropping-particle" : "", "family" : "Ackerly", "given" : "David D", "non-dropping-particle" : "", "parse-names" : false, "suffix" : "" }, { "dropping-particle" : "", "family" : "Baruch", "given" : "Zdravko", "non-dropping-particle" : "", "parse-names" : false, "suffix" : "" }, { "dropping-particle" : "", "family" : "Bongers", "given" : "Frans", "non-dropping-particle" : "", "parse-names" : false, "suffix" : "" }, { "dropping-particle" : "", "family" : "Cavender-bares", "given" : "Jeannine", "non-dropping-particle" : "", "parse-names" : false, "suffix" : "" }, { "dropping-particle" : "", "family" : "Chapin", "given" : "Terry", "non-dropping-particle" : "", "parse-names" : false, "suffix" : "" }, { "dropping-particle" : "", "family" : "Cornelissen", "given" : "Johannes H C", "non-dropping-particle" : "", "parse-names" : false, "suffix" : "" }, { "dropping-particle" : "", "family" : "Diemer", "given" : "Matthias", "non-dropping-particle" : "", "parse-names" : false, "suffix" : "" }, { "dropping-particle" : "", "family" : "Flexas", "given" : "Jaume", "non-dropping-particle" : "", "parse-names" : false, "suffix" : "" }, { "dropping-particle" : "", "family" : "Garnier", "given" : "Eric", "non-dropping-particle" : "", "parse-names" : false, "suffix" : "" }, { "dropping-particle" : "", "family" : "Groom", "given" : "Philip K", "non-dropping-particle" : "", "parse-names" : false, "suffix" : "" }, { "dropping-particle" : "", "family" : "Gulias", "given" : "Javier", "non-dropping-particle" : "", "parse-names" : false, "suffix" : "" }, { "dropping-particle" : "", "family" : "Hikosaka", "given" : "Kouki", "non-dropping-particle" : "", "parse-names" : false, "suffix" : "" }, { "dropping-particle" : "", "family" : "Lamont", "given" : "Byron B", "non-dropping-particle" : "", "parse-names" : false, "suffix" : "" }, { "dropping-particle" : "", "family" : "Lee", "given" : "Tali", "non-dropping-particle" : "", "parse-names" : false, "suffix" : "" }, { "dropping-particle" : "", "family" : "Lee", "given" : "William", "non-dropping-particle" : "", "parse-names" : false, "suffix" : "" }, { "dropping-particle" : "", "family" : "Lusk", "given" : "Christopher", "non-dropping-particle" : "", "parse-names" : false, "suffix" : "" }, { "dropping-particle" : "", "family" : "Midgley", "given" : "Jeremy J", "non-dropping-particle" : "", "parse-names" : false, "suffix" : "" }, { "dropping-particle" : "", "family" : "Navas", "given" : "Marie-Laure", "non-dropping-particle" : "", "parse-names" : false, "suffix" : "" }, { "dropping-particle" : "", "family" : "Niinemets", "given" : "Ulo", "non-dropping-particle" : "", "parse-names" : false, "suffix" : "" }, { "dropping-particle" : "", "family" : "Oleksyn", "given" : "Jacek", "non-dropping-particle" : "", "parse-names" : false, "suffix" : "" }, { "dropping-particle" : "", "family" : "Osada", "given" : "Noriyuki", "non-dropping-particle" : "", "parse-names" : false, "suffix" : "" }, { "dropping-particle" : "", "family" : "Poorter", "given" : "Hendrik", "non-dropping-particle" : "", "parse-names" : false, "suffix" : "" }, { "dropping-particle" : "", "family" : "Poot", "given" : "Pieter", "non-dropping-particle" : "", "parse-names" : false, "suffix" : "" }, { "dropping-particle" : "", "family" : "Prior", "given" : "Lynda", "non-dropping-particle" : "", "parse-names" : false, "suffix" : "" }, { "dropping-particle" : "", "family" : "Pyankov", "given" : "Vladimir I", "non-dropping-particle" : "", "parse-names" : false, "suffix" : "" }, { "dropping-particle" : "", "family" : "Roumet", "given" : "Catherine", "non-dropping-particle" : "", "parse-names" : false, "suffix" : "" }, { "dropping-particle" : "", "family" : "Thomas", "given" : "Sean C", "non-dropping-particle" : "", "parse-names" : false, "suffix" : "" }, { "dropping-particle" : "", "family" : "Tjoelker", "given" : "Mark G", "non-dropping-particle" : "", "parse-names" : false, "suffix" : "" }, { "dropping-particle" : "", "family" : "Veneklaas", "given" : "Erik J", "non-dropping-particle" : "", "parse-names" : false, "suffix" : "" }, { "dropping-particle" : "", "family" : "Villar", "given" : "Rafael", "non-dropping-particle" : "", "parse-names" : false, "suffix" : "" } ], "container-title" : "Nature", "id" : "ITEM-2", "issued" : { "date-parts" : [ [ "2004" ] ] }, "page" : "821-827", "title" : "The worldwide leaf economics spectrum", "type" : "article-journal", "volume" : "428" }, "uris" : [ "http://www.mendeley.com/documents/?uuid=e66b67a4-aad1-43f1-b16d-40dc7dc417ff" ] } ], "mendeley" : { "formattedCitation" : "(Wright &lt;i&gt;et al.&lt;/i&gt;, 2004; D\u00edaz &lt;i&gt;et al.&lt;/i&gt;, 2016)", "plainTextFormattedCitation" : "(Wright et al., 2004; D\u00edaz et al., 2016)", "previouslyFormattedCitation" : "(Wright &lt;i&gt;et al.&lt;/i&gt;, 2004; D\u00edaz &lt;i&gt;et al.&lt;/i&gt;, 2016)"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(Wright </w:t>
      </w:r>
      <w:r w:rsidRPr="002C5907">
        <w:rPr>
          <w:rFonts w:ascii="Cambria" w:hAnsi="Cambria"/>
          <w:i/>
          <w:noProof/>
        </w:rPr>
        <w:t>et al.</w:t>
      </w:r>
      <w:r w:rsidRPr="002C5907">
        <w:rPr>
          <w:rFonts w:ascii="Cambria" w:hAnsi="Cambria"/>
          <w:noProof/>
        </w:rPr>
        <w:t xml:space="preserve">, 2004; Díaz </w:t>
      </w:r>
      <w:r w:rsidRPr="002C5907">
        <w:rPr>
          <w:rFonts w:ascii="Cambria" w:hAnsi="Cambria"/>
          <w:i/>
          <w:noProof/>
        </w:rPr>
        <w:t>et al.</w:t>
      </w:r>
      <w:r w:rsidRPr="002C5907">
        <w:rPr>
          <w:rFonts w:ascii="Cambria" w:hAnsi="Cambria"/>
          <w:noProof/>
        </w:rPr>
        <w:t>, 2016)</w:t>
      </w:r>
      <w:r w:rsidRPr="00531789">
        <w:rPr>
          <w:rFonts w:ascii="Cambria" w:hAnsi="Cambria"/>
        </w:rPr>
        <w:fldChar w:fldCharType="end"/>
      </w:r>
      <w:r w:rsidRPr="00531789">
        <w:rPr>
          <w:rFonts w:ascii="Cambria" w:hAnsi="Cambria"/>
        </w:rPr>
        <w:t>.  Nutrient-poor environments</w:t>
      </w:r>
      <w:r>
        <w:rPr>
          <w:rFonts w:ascii="Cambria" w:hAnsi="Cambria"/>
        </w:rPr>
        <w:t xml:space="preserve"> are dominated by slower growing plants</w:t>
      </w:r>
      <w:r w:rsidRPr="00531789">
        <w:rPr>
          <w:rFonts w:ascii="Cambria" w:hAnsi="Cambria"/>
        </w:rPr>
        <w:t xml:space="preserve">, and </w:t>
      </w:r>
      <w:r w:rsidRPr="0079342F">
        <w:rPr>
          <w:rFonts w:ascii="Cambria" w:hAnsi="Cambria"/>
          <w:i/>
        </w:rPr>
        <w:t>vice versa</w:t>
      </w:r>
      <w:r w:rsidRPr="00531789">
        <w:rPr>
          <w:rFonts w:ascii="Cambria" w:hAnsi="Cambria"/>
        </w:rPr>
        <w:t xml:space="preserve"> </w:t>
      </w:r>
      <w:r w:rsidRPr="00531789">
        <w:rPr>
          <w:rFonts w:ascii="Cambria" w:hAnsi="Cambria"/>
        </w:rPr>
        <w:fldChar w:fldCharType="begin" w:fldLock="1"/>
      </w:r>
      <w:r w:rsidRPr="00531789">
        <w:rPr>
          <w:rFonts w:ascii="Cambria" w:hAnsi="Cambria"/>
        </w:rPr>
        <w:instrText>ADDIN CSL_CITATION { "citationItems" : [ { "id" : "ITEM-1", "itemData" : { "DOI" : "10.1016/S0065-2504(08)60016-1", "ISBN" : "0065-2504", "author" : [ { "dropping-particle" : "", "family" : "Aerts", "given" : "R", "non-dropping-particle" : "", "parse-names" : false, "suffix" : "" }, { "dropping-particle" : "", "family" : "Chapin", "given" : "F.S.", "non-dropping-particle" : "", "parse-names" : false, "suffix" : "" } ], "container-title" : "Advances in Ecological Research", "id" : "ITEM-1", "issued" : { "date-parts" : [ [ "2000" ] ] }, "page" : "1-67", "title" : "The mineral nutrition of wild plants revisited: a Re-evaluation of processes and patterns", "type" : "article-journal", "volume" : "30" }, "uris" : [ "http://www.mendeley.com/documents/?uuid=78864d17-4b0b-47d3-980a-c2188ad14edb" ] } ], "mendeley" : { "formattedCitation" : "(Aerts and Chapin, 2000)", "plainTextFormattedCitation" : "(Aerts and Chapin, 2000)", "previouslyFormattedCitation" : "(Aerts and Chapin, 2000)"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(Aerts and Chapin, 2000)</w:t>
      </w:r>
      <w:r w:rsidRPr="00531789">
        <w:rPr>
          <w:rFonts w:ascii="Cambria" w:hAnsi="Cambria"/>
        </w:rPr>
        <w:fldChar w:fldCharType="end"/>
      </w:r>
      <w:r w:rsidRPr="00531789">
        <w:rPr>
          <w:rFonts w:ascii="Cambria" w:hAnsi="Cambria"/>
        </w:rPr>
        <w:t xml:space="preserve">. Life history strategy is also an important axis of growth rate variation among wild species </w:t>
      </w:r>
      <w:r w:rsidRPr="00531789">
        <w:rPr>
          <w:rFonts w:ascii="Cambria" w:hAnsi="Cambria"/>
        </w:rPr>
        <w:fldChar w:fldCharType="begin" w:fldLock="1"/>
      </w:r>
      <w:r w:rsidRPr="00531789">
        <w:rPr>
          <w:rFonts w:ascii="Cambria" w:hAnsi="Cambria"/>
        </w:rPr>
        <w:instrText>ADDIN CSL_CITATION { "citationItems" : [ { "id" : "ITEM-1", "itemData" : { "author" : [ { "dropping-particle" : "", "family" : "Grime", "given" : "J P", "non-dropping-particle" : "", "parse-names" : false, "suffix" : "" }, { "dropping-particle" : "", "family" : "Hunt", "given" : "Roderick", "non-dropping-particle" : "", "parse-names" : false, "suffix" : "" } ], "container-title" : "Journal of Ecology", "id" : "ITEM-1", "issue" : "2", "issued" : { "date-parts" : [ [ "1975" ] ] }, "page" : "393-422", "title" : "Relative Growth-Rate: Its range and adaptive significance in a local flora", "type" : "article-journal", "volume" : "63" }, "uris" : [ "http://www.mendeley.com/documents/?uuid=043fcecc-14f4-4c54-950c-5739c24be347" ] }, { "id" : "ITEM-2", "itemData" : { "author" : [ { "dropping-particle" : "", "family" : "Garnier", "given" : "Eric", "non-dropping-particle" : "", "parse-names" : false, "suffix" : "" } ], "container-title" : "Journal of Ecology", "id" : "ITEM-2", "issue" : "4", "issued" : { "date-parts" : [ [ "1992" ] ] }, "page" : "665-675", "title" : "Growth analysis of congeneric annual and perennial grass species", "type" : "article-journal", "volume" : "80" }, "uris" : [ "http://www.mendeley.com/documents/?uuid=43ba0b50-96bc-47c7-920b-c43335d07d77" ] } ], "mendeley" : { "formattedCitation" : "(Grime and Hunt, 1975; Garnier, 1992)", "plainTextFormattedCitation" : "(Grime and Hunt, 1975; Garnier, 1992)", "previouslyFormattedCitation" : "(Grime and Hunt, 1975; Garnier, 1992)"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(Grime and Hunt, 1975; Garnier, 1992)</w:t>
      </w:r>
      <w:r w:rsidRPr="00531789">
        <w:rPr>
          <w:rFonts w:ascii="Cambria" w:hAnsi="Cambria"/>
        </w:rPr>
        <w:fldChar w:fldCharType="end"/>
      </w:r>
      <w:r w:rsidRPr="00531789">
        <w:rPr>
          <w:rFonts w:ascii="Cambria" w:hAnsi="Cambria"/>
        </w:rPr>
        <w:t xml:space="preserve">, and the growth rate differences between annuals and perennials are well documented </w:t>
      </w:r>
      <w:r w:rsidRPr="00531789">
        <w:rPr>
          <w:rFonts w:ascii="Cambria" w:hAnsi="Cambria"/>
        </w:rPr>
        <w:fldChar w:fldCharType="begin" w:fldLock="1"/>
      </w:r>
      <w:r>
        <w:rPr>
          <w:rFonts w:ascii="Cambria" w:hAnsi="Cambria"/>
        </w:rPr>
        <w:instrText>ADDIN CSL_CITATION { "citationItems" : [ { "id" : "ITEM-1", "itemData" : { "DOI" : "10.1098/rspb.2013.0921", "author" : [ { "dropping-particle" : "", "family" : "Houghton", "given" : "Jennie", "non-dropping-particle" : "", "parse-names" : false, "suffix" : "" }, { "dropping-particle" : "", "family" : "Thompson", "given" : "Ken", "non-dropping-particle" : "", "parse-names" : false, "suffix" : "" }, { "dropping-particle" : "", "family" : "Rees", "given" : "Mark", "non-dropping-particle" : "", "parse-names" : false, "suffix" : "" } ], "container-title" : "Proceedings of the Royal Society B", "id" : "ITEM-1", "issue" : "October", "issued" : { "date-parts" : [ [ "2013" ] ] }, "title" : "Does seed mass drive the differences in relative growth rate between growth forms?", "type" : "article-journal" }, "uris" : [ "http://www.mendeley.com/documents/?uuid=ebf0d4d3-38d5-4609-8a54-4d0ccea59d26" ] } ], "mendeley" : { "formattedCitation" : "(Houghton &lt;i&gt;et al.&lt;/i&gt;, 2013)", "plainTextFormattedCitation" : "(Houghton et al., 2013)", "previouslyFormattedCitation" : "(Houghton &lt;i&gt;et al.&lt;/i&gt;, 2013)"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(Houghton </w:t>
      </w:r>
      <w:r w:rsidRPr="002C5907">
        <w:rPr>
          <w:rFonts w:ascii="Cambria" w:hAnsi="Cambria"/>
          <w:i/>
          <w:noProof/>
        </w:rPr>
        <w:t>et al.</w:t>
      </w:r>
      <w:r w:rsidRPr="002C5907">
        <w:rPr>
          <w:rFonts w:ascii="Cambria" w:hAnsi="Cambria"/>
          <w:noProof/>
        </w:rPr>
        <w:t>, 2013)</w:t>
      </w:r>
      <w:r w:rsidRPr="00531789">
        <w:rPr>
          <w:rFonts w:ascii="Cambria" w:hAnsi="Cambria"/>
        </w:rPr>
        <w:fldChar w:fldCharType="end"/>
      </w:r>
      <w:r w:rsidRPr="00531789">
        <w:rPr>
          <w:rFonts w:ascii="Cambria" w:hAnsi="Cambria"/>
        </w:rPr>
        <w:t xml:space="preserve">.  Annuals grow quickly in order to make a high investment in reproduction during their single year of life; perennials grow more slowly in order to conserve resources for future years </w:t>
      </w:r>
      <w:r w:rsidRPr="00531789">
        <w:rPr>
          <w:rFonts w:ascii="Cambria" w:hAnsi="Cambria"/>
        </w:rPr>
        <w:fldChar w:fldCharType="begin" w:fldLock="1"/>
      </w:r>
      <w:r>
        <w:rPr>
          <w:rFonts w:ascii="Cambria" w:hAnsi="Cambria"/>
        </w:rPr>
        <w:instrText>ADDIN CSL_CITATION { "citationItems" : [ { "id" : "ITEM-1", "itemData" : { "author" : [ { "dropping-particle" : "", "family" : "Garnier", "given" : "Eric", "non-dropping-particle" : "", "parse-names" : false, "suffix" : "" } ], "container-title" : "Journal of Ecology", "id" : "ITEM-1", "issue" : "4", "issued" : { "date-parts" : [ [ "1992" ] ] }, "page" : "665-675", "title" : "Growth analysis of congeneric annual and perennial grass species", "type" : "article-journal", "volume" : "80" }, "uris" : [ "http://www.mendeley.com/documents/?uuid=43ba0b50-96bc-47c7-920b-c43335d07d77" ] }, { "id" : "ITEM-2", "itemData" : { "ISBN" : "1522-0613", "ISSN" : "1522-0613", "abstract" : "The growth and reproductive schedule of terrestrial plants can be usefully studied as the dynamic optimal allocation of material between different organs. This idea, pioneered by Dan Cohen, has been formalized as an optimal control problem and analysed using Pontryagin's maximum principle or dynamic programming. Here, I review several examples of dynamic resource allocation models. First, the seasonal timing of reproduction of annuals is discussed. This can be extended to plants with multiple vegetative organs and the optimal shoot-root balance is assessed. Secondly, the growth schedule over multiple seasons is examined, and the reproductive effort, the leaf phenology of deciduous perennials, and the conditions under which perenniality is more advantageous than annuality are considered. With some modifications, the same model can handle intermittent reproduction and monocarpic perennials (one large reproduction after many years). Thirdly, growth in an unpredictably fluctuating environment is analysed for the case in which a sudden disturbance (herbivory or fire) removes the photosynthetic system altogether, followed by recovery using stored material, and for the case in which environmental productivity fluctuates in a Markovian process. Finally, the optimal level of chemical defence against herbivory is formalized and used to explain the intensity of alkaloid defence decreasing with leaf age. These examples illustrate the usefulness of dynamic resource allocation models in understanding plant life-history adaptation.", "author" : [ { "dropping-particle" : "", "family" : "Iwasa", "given" : "Y", "non-dropping-particle" : "", "parse-names" : false, "suffix" : "" } ], "container-title" : "Evolutionary Ecology Research", "id" : "ITEM-2", "issued" : { "date-parts" : [ [ "2000" ] ] }, "page" : "437-455", "title" : "Dynamic optimization of plant growth", "type" : "article-journal", "volume" : "2" }, "uris" : [ "http://www.mendeley.com/documents/?uuid=5b9b1e0b-f3ac-4f38-81b3-8e65dad65a65" ] }, { "id" : "ITEM-3", "itemData" : { "DOI" : "10.1093/jxb/err442", "ISSN" : "1460-2431", "PMID" : "22291133", "abstract" : "The distribution of nutrients and assimilates in different organs and tissues is in a constant state of flux throughout the growth and development of a plant. At key stages during the life cycle profound changes occur, and perhaps one of the most critical of these is during seed filling. By restricting the competition for reserves in Arabidopsis plants, the ability to manipulate seed size, seed weight, or seed content has been explored. Removal of secondary inflorescences and lateral branches resulted in a stimulation of elongation of the primary inflorescence and an increase in the distance between siliques. The pruning treatment also led to the development of longer and larger siliques that contained fewer, bigger seeds. This seems to be a consequence of a reduction in the number of ovules that develop and an increase in the fatty acid content of the seeds that mature. The data show that shoot architecture could have a substantial impact on the partitioning of reserves between vegetative and reproductive tissues and could be an important trait for selection in rapid phenotyping screens to optimize crop performance.", "author" : [ { "dropping-particle" : "", "family" : "Bennett", "given" : "Emma", "non-dropping-particle" : "", "parse-names" : false, "suffix" : "" }, { "dropping-particle" : "", "family" : "Roberts", "given" : "Jeremy A", "non-dropping-particle" : "", "parse-names" : false, "suffix" : "" }, { "dropping-particle" : "", "family" : "Wagstaff", "given" : "Carol", "non-dropping-particle" : "", "parse-names" : false, "suffix" : "" } ], "container-title" : "Journal of Experimental Botany", "id" : "ITEM-3", "issue" : "9", "issued" : { "date-parts" : [ [ "2012", "5" ] ] }, "page" : "3391-400", "title" : "Manipulating resource allocation in plants.", "type" : "article-journal", "volume" : "63" }, "uris" : [ "http://www.mendeley.com/documents/?uuid=e716ebf9-9c08-4604-b935-97f03d580a0e" ] } ], "mendeley" : { "formattedCitation" : "(Garnier, 1992; Iwasa, 2000; Bennett &lt;i&gt;et al.&lt;/i&gt;, 2012)", "plainTextFormattedCitation" : "(Garnier, 1992; Iwasa, 2000; Bennett et al., 2012)", "previouslyFormattedCitation" : "(Garnier, 1992; Iwasa, 2000; Bennett &lt;i&gt;et al.&lt;/i&gt;, 2012)"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(Garnier, 1992; Iwasa, 2000; Bennett </w:t>
      </w:r>
      <w:r w:rsidRPr="002C5907">
        <w:rPr>
          <w:rFonts w:ascii="Cambria" w:hAnsi="Cambria"/>
          <w:i/>
          <w:noProof/>
        </w:rPr>
        <w:t>et al.</w:t>
      </w:r>
      <w:r w:rsidRPr="002C5907">
        <w:rPr>
          <w:rFonts w:ascii="Cambria" w:hAnsi="Cambria"/>
          <w:noProof/>
        </w:rPr>
        <w:t>, 2012)</w:t>
      </w:r>
      <w:r w:rsidRPr="00531789">
        <w:rPr>
          <w:rFonts w:ascii="Cambria" w:hAnsi="Cambria"/>
        </w:rPr>
        <w:fldChar w:fldCharType="end"/>
      </w:r>
      <w:r w:rsidRPr="00531789">
        <w:rPr>
          <w:rFonts w:ascii="Cambria" w:hAnsi="Cambria"/>
        </w:rPr>
        <w:t xml:space="preserve">.  Therefore, annuals generally have a higher relative growth rate (RGR) than perennials, which is especially clear when congeneric species are compared </w:t>
      </w:r>
      <w:r w:rsidRPr="00531789">
        <w:rPr>
          <w:rFonts w:ascii="Cambria" w:hAnsi="Cambria"/>
        </w:rPr>
        <w:fldChar w:fldCharType="begin" w:fldLock="1"/>
      </w:r>
      <w:r w:rsidRPr="00531789">
        <w:rPr>
          <w:rFonts w:ascii="Cambria" w:hAnsi="Cambria"/>
        </w:rPr>
        <w:instrText>ADDIN CSL_CITATION { "citationItems" : [ { "id" : "ITEM-1", "itemData" : { "author" : [ { "dropping-particle" : "", "family" : "Garnier", "given" : "Eric", "non-dropping-particle" : "", "parse-names" : false, "suffix" : "" } ], "container-title" : "Journal of Ecology", "id" : "ITEM-1", "issue" : "4", "issued" : { "date-parts" : [ [ "1992" ] ] }, "page" : "665-675", "title" : "Growth analysis of congeneric annual and perennial grass species", "type" : "article-journal", "volume" : "80" }, "uris" : [ "http://www.mendeley.com/documents/?uuid=43ba0b50-96bc-47c7-920b-c43335d07d77" ] } ], "mendeley" : { "formattedCitation" : "(Garnier, 1992)", "plainTextFormattedCitation" : "(Garnier, 1992)", "previouslyFormattedCitation" : "(Garnier, 1992)"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(Garnier, 1992)</w:t>
      </w:r>
      <w:r w:rsidRPr="00531789">
        <w:rPr>
          <w:rFonts w:ascii="Cambria" w:hAnsi="Cambria"/>
        </w:rPr>
        <w:fldChar w:fldCharType="end"/>
      </w:r>
      <w:r w:rsidRPr="00531789">
        <w:rPr>
          <w:rFonts w:ascii="Cambria" w:hAnsi="Cambria"/>
        </w:rPr>
        <w:t>.  The higher RGR of annual plants arises from their greater investment in leaf area and photosynthetic capacity: specific leaf area (SLA, mm</w:t>
      </w:r>
      <w:r w:rsidRPr="00531789">
        <w:rPr>
          <w:rFonts w:ascii="Cambria" w:hAnsi="Cambria"/>
          <w:vertAlign w:val="superscript"/>
        </w:rPr>
        <w:t>2</w:t>
      </w:r>
      <w:r w:rsidRPr="00531789">
        <w:rPr>
          <w:rFonts w:ascii="Cambria" w:hAnsi="Cambria"/>
        </w:rPr>
        <w:t xml:space="preserve"> leaf g</w:t>
      </w:r>
      <w:r w:rsidRPr="00531789">
        <w:rPr>
          <w:rFonts w:ascii="Cambria" w:hAnsi="Cambria"/>
          <w:vertAlign w:val="superscript"/>
        </w:rPr>
        <w:t>-1</w:t>
      </w:r>
      <w:r w:rsidRPr="00531789">
        <w:rPr>
          <w:rFonts w:ascii="Cambria" w:hAnsi="Cambria"/>
        </w:rPr>
        <w:t xml:space="preserve"> leaf) and nitrogen concentration are both higher in annuals, enabling greater carbon acquisition due to a greater light-harvesting area and a greater investment of nitrogen into the enzyme-rich photosynthetic machinery, thus facilitating faster growth </w:t>
      </w:r>
      <w:r w:rsidRPr="00531789">
        <w:rPr>
          <w:rFonts w:ascii="Cambria" w:hAnsi="Cambria"/>
        </w:rPr>
        <w:fldChar w:fldCharType="begin" w:fldLock="1"/>
      </w:r>
      <w:r>
        <w:rPr>
          <w:rFonts w:ascii="Cambria" w:hAnsi="Cambria"/>
        </w:rPr>
        <w:instrText>ADDIN CSL_CITATION { "citationItems" : [ { "id" : "ITEM-1", "itemData" : { "DOI" : "DOI 10.1111/j.1469-8137.1994.tb04036.x", "ISBN" : "0028-646X", "ISSN" : "0028-646X", "abstract" : "Previous experiments have shown that leaf specific mass (LSM: the ratio of leaf dry mass to area) was lower and leaf water content (LWC) was higher in annuals than in perennials, differences that are more generally found between fast- and slow-growing species. Leaf transverse sections of seven annual-perennial pairs of grass species grown in the laboratory were analyzed to elucidate the anatomical bases of these differences. Leaf thickness was similar in annuals and perennials, but leaf density was significantly higher in perennials. The proportion of the leaf volume occupied by mesophyll was higher in annuals, at the expense of the three other tissues (i.e. epidermis, sclerenchyma and vascular tissues). The cross-sectional area of mesophyll cells was higher in annuals than in perennials, but epidermal cell size was similar for both life-forms. The ranges of LSM (23.1-49.5 g m(-2)) and LWC (0.70-0.86 g g(-1)) displayed by the 14 species were large enough to examine the general relationships between these two parameters and various anatomical characters. LSM was significantly correlated with leaf density, but not with leaf thickness. The anatomical character that best explained interspecific differences in LSM was the volume of cell walls per unit leaf area (approximated by the sum: sclerechyma + vascular tissues (including its living component) + cell wall components of mesophyll and epidermis). LWC was found to depend on leaf density, and interspecific differences in this parameter were best explained by the proportion of mesophyll protoplast (i.e. proportion of mesophyll minus proportion of mesophyll occupied by cell walls) in the transverse sections. The physiological and ecological implications of these findings are discussed in terms of a trade-off between leaf productivity and persistence.", "author" : [ { "dropping-particle" : "", "family" : "Garnier", "given" : "E", "non-dropping-particle" : "", "parse-names" : false, "suffix" : "" }, { "dropping-particle" : "", "family" : "Laurent", "given" : "G", "non-dropping-particle" : "", "parse-names" : false, "suffix" : "" } ], "container-title" : "New Phytologist", "id" : "ITEM-1", "issue" : "4", "issued" : { "date-parts" : [ [ "1994" ] ] }, "page" : "725-736", "title" : "Leaf Anatomy, Specific Mass and Water-Content in Congeneric Annual and Perennial Grass Species", "type" : "article-journal", "volume" : "128" }, "uris" : [ "http://www.mendeley.com/documents/?uuid=bd7c78d1-104d-4a9e-ac83-9417fc972377" ] }, { "id" : "ITEM-2", "itemData" : { "author" : [ { "dropping-particle" : "", "family" : "Poorter", "given" : "Hendrik", "non-dropping-particle" : "", "parse-names" : false, "suffix" : "" }, { "dropping-particle" : "", "family" : "Werf", "given" : "Adrie", "non-dropping-particle" : "van der", "parse-names" : false, "suffix" : "" } ], "container-title" : "Inherent variation in plant growth. Physiological mechanisms and ecological consequences.", "editor" : [ { "dropping-particle" : "", "family" : "Lambers", "given" : "H", "non-dropping-particle" : "", "parse-names" : false, "suffix" : "" }, { "dropping-particle" : "", "family" : "Poorter", "given" : "H", "non-dropping-particle" : "", "parse-names" : false, "suffix" : "" }, { "dropping-particle" : "", "family" : "Vuuren", "given" : "MMI", "non-dropping-particle" : "van", "parse-names" : false, "suffix" : "" } ], "id" : "ITEM-2", "issued" : { "date-parts" : [ [ "1998" ] ] }, "page" : "309-336", "publisher" : "Backhuys Publishers", "publisher-place" : "Leiden", "title" : "Is inherent variation in RGR determined by LAR at low irradiance and by NAR at high irradiance? A review of herbaceous species", "type" : "chapter" }, "uris" : [ "http://www.mendeley.com/documents/?uuid=567ae1e6-0f89-4e44-a8c6-1843807a5423" ] }, { "id" : "ITEM-3", "itemData" : { "DOI" : "10.2307/3546011", "ISBN" : "0030-1299", "ISSN" : "0030-1299", "PMID" : "3996", "abstract" : "Standardised procedures have been used to measure 67 traits in 43 common plants of the British flora. This paper provides an interpretation of the most consistent patterns in the resulting matrix by means of correlation, ordination and classification analyses. Only a weak coupling was observed between attributes of the regenerative and established phases of the life history. However, within each phase, attributes were strongly aggregated into sets and a high proportion of the variation between species coincided with a single axis. Attributes of the established phase displayed remarkably consistent trends, with a strong 'Axis 1' being identified by three different multivariate methods. There was a marked correlation between foliar concentrations of N, P, K, Ca and Mg, high concentrations of which coincided with the capacity for rapid growth in productive conditions and an inability to sustain yield under limiting supplies of nutrients. A diverse array of other traits, less immediately involving mineral nutrients, were also entrained in Axis 1; these included life history, root and shoot foraging, the morphology, longevity, tensile strength and palatability of leaves, and the decomposition rate of leaf litter. This pattern occurred in both monocotyledons and dicotyledons and appeared to reflect a tradeoff between attributes conferring an ability for high rates of resource acquisition in productive habitats and those responsible for retention of resource capital in unproductive conditions. The second axis of variation evident in the established phase was related to phylogeny and distinguished between monocotyledons and dicotyledons on the basis of a diverse set of traits including genome size, cell size, root and shoot foraging characteristics and vascular tissues. A third axis was detected in which ephemerals and perennials were separated by differences in attributes such as breeding system, leaf decomposition rate and a set of traits reflecting the small stature of many short-lived plants. In the regenerative phase, the leading axis was clearly related to the widely recognised tradeoff between seed size and seed number and was consistent with current understanding of seed banks, and with modern theories explaining species coexistence in terms of complementary responses to temporal and spatial variation in vegetation gap dynamics. The data provide strong evidence of functional integration between evolutionary specialisations in root and shoot and support \u2026", "author" : [ { "dropping-particle" : "", "family" : "Grime", "given" : "J.P.", "non-dropping-particle" : "", "parse-names" : false, "suffix" : "" }, { "dropping-particle" : "", "family" : "Thompson", "given" : "K.", "non-dropping-particle" : "", "parse-names" : false, "suffix" : "" }, { "dropping-particle" : "", "family" : "Hunt", "given" : "R.", "non-dropping-particle" : "", "parse-names" : false, "suffix" : "" }, { "dropping-particle" : "", "family" : "Hodgson", "given" : "J.G. G", "non-dropping-particle" : "", "parse-names" : false, "suffix" : "" }, { "dropping-particle" : "", "family" : "Cornelissen", "given" : "J.H.C. H C", "non-dropping-particle" : "", "parse-names" : false, "suffix" : "" }, { "dropping-particle" : "", "family" : "Rorison", "given" : "I.H. H", "non-dropping-particle" : "", "parse-names" : false, "suffix" : "" }, { "dropping-particle" : "", "family" : "Hendry", "given" : "G.A.F. A F", "non-dropping-particle" : "", "parse-names" : false, "suffix" : "" }, { "dropping-particle" : "", "family" : "Ashenden", "given" : "T.W. W", "non-dropping-particle" : "", "parse-names" : false, "suffix" : "" }, { "dropping-particle" : "", "family" : "Askew", "given" : "A.P. P", "non-dropping-particle" : "", "parse-names" : false, "suffix" : "" }, { "dropping-particle" : "", "family" : "Band", "given" : "S.R. R", "non-dropping-particle" : "", "parse-names" : false, "suffix" : "" }, { "dropping-particle" : "", "family" : "Booth", "given" : "R.E. E", "non-dropping-particle" : "", "parse-names" : false, "suffix" : "" }, { "dropping-particle" : "", "family" : "Bossard", "given" : "C.C. C", "non-dropping-particle" : "", "parse-names" : false, "suffix" : "" }, { "dropping-particle" : "", "family" : "Campbell", "given" : "B.D. D", "non-dropping-particle" : "", "parse-names" : false, "suffix" : "" }, { "dropping-particle" : "", "family" : "Cooper", "given" : "J.E.L. E L", "non-dropping-particle" : "", "parse-names" : false, "suffix" : "" }, { "dropping-particle" : "", "family" : "Davison", "given" : "A.W. W", "non-dropping-particle" : "", "parse-names" : false, "suffix" : "" }, { "dropping-particle" : "", "family" : "Gupta", "given" : "P.L. L", "non-dropping-particle" : "", "parse-names" : false, "suffix" : "" }, { "dropping-particle" : "", "family" : "Hall", "given" : "W.", "non-dropping-particle" : "", "parse-names" : false, "suffix" : "" }, { "dropping-particle" : "", "family" : "Hand", "given" : "D.W. W", "non-dropping-particle" : "", "parse-names" : false, "suffix" : "" }, { "dropping-particle" : "", "family" : "Hannah", "given" : "M.A. A", "non-dropping-particle" : "", "parse-names" : false, "suffix" : "" }, { "dropping-particle" : "", "family" : "Hillier", "given" : "S.H. H", "non-dropping-particle" : "", "parse-names" : false, "suffix" : "" }, { "dropping-particle" : "", "family" : "Hodkinson", "given" : "D.J. J", "non-dropping-particle" : "", "parse-names" : false, "suffix" : "" }, { "dropping-particle" : "", "family" : "Jalili", "given" : "Adel", "non-dropping-particle" : "", "parse-names" : false, "suffix" : "" }, { "dropping-particle" : "", "family" : "Liu", "given" : "Z.", "non-dropping-particle" : "", "parse-names" : false, "suffix" : "" }, { "dropping-particle" : "", "family" : "Mackey", "given" : "J.M.L. M L", "non-dropping-particle" : "", "parse-names" : false, "suffix" : "" }, { "dropping-particle" : "", "family" : "Matthews", "given" : "N.", "non-dropping-particle" : "", "parse-names" : false, "suffix" : "" }, { "dropping-particle" : "", "family" : "Mowforth", "given" : "M.A. A", "non-dropping-particle" : "", "parse-names" : false, "suffix" : "" }, { "dropping-particle" : "", "family" : "Neal", "given" : "A.M. M", "non-dropping-particle" : "", "parse-names" : false, "suffix" : "" }, { "dropping-particle" : "", "family" : "Reader", "given" : "R.J. J", "non-dropping-particle" : "", "parse-names" : false, "suffix" : "" }, { "dropping-particle" : "", "family" : "Reiling", "given" : "K.", "non-dropping-particle" : "", "parse-names" : false, "suffix" : "" }, { "dropping-particle" : "", "family" : "RossFraser", "given" : "W", "non-dropping-particle" : "", "parse-names" : false, "suffix" : "" }, { "dropping-particle" : "", "family" : "Spencer", "given" : "R.E. E", "non-dropping-particle" : "", "parse-names" : false, "suffix" : "" }, { "dropping-particle" : "", "family" : "Sutton", "given" : "F.", "non-dropping-particle" : "", "parse-names" : false, "suffix" : "" }, { "dropping-particle" : "", "family" : "Tasker", "given" : "D.E. E", "non-dropping-particle" : "", "parse-names" : false, "suffix" : "" }, { "dropping-particle" : "", "family" : "Thorpe", "given" : "P.C. C", "non-dropping-particle" : "", "parse-names" : false, "suffix" : "" }, { "dropping-particle" : "", "family" : "Whitehouse", "given" : "J.", "non-dropping-particle" : "", "parse-names" : false, "suffix" : "" }, { "dropping-particle" : "", "family" : "Ross-Fraser", "given" : "W.", "non-dropping-particle" : "", "parse-names" : false, "suffix" : "" } ], "container-title" : "Oikos", "id" : "ITEM-3", "issue" : "February 2016", "issued" : { "date-parts" : [ [ "1997" ] ] }, "page" : "259-281", "title" : "Integrated screening validates primary axes of specialisation in plants", "type" : "article-journal", "volume" : "79" }, "uris" : [ "http://www.mendeley.com/documents/?uuid=7a662a5c-add1-43eb-aba7-651e7d129421" ] }, { "id" : "ITEM-4", "itemData" : { "DOI" : "10.1111/1365-2435.12095", "ISBN" : "1365-2435", "ISSN" : "02698463", "abstract" : "* Three main directions of adaptive specialization are evident in the world flora, reflecting fundamental trade-offs between economics (conservative vs. acquisitive investment of resources) and size. The current method of ordinating plants according to these trade-offs, CSR classification, cannot be applied to the woody species that dominate many terrestrial ecosystems. * We aimed to produce a novel CSR classification method applicable to vascular plants in general. * Principal components analysis (PCA) of variation in a range of plant traits for 678 angiosperm, gymnosperm and pteridophyte species was used to determine the limits to multivariate space occupied by functionally diverse species. From this calibration, correlations between PCA axes and values of leaf dry matter content (LDMC; as an index of conservatism in life history), specific leaf area (SLA; indicative of acquisitive economics) and leaf area (LA; photosynthetic organ size) were used to produce predictor regressions from which target species could be compared against the multivariate space. A spreadsheet was developed that returned ternary coordinates and tertiary CSR strategies for target subjects based on LA, LDMC and SLA values. * The method allowed classification of target species within a triangular space corresponding to Grime's theoretical CSR triangle and was sufficiently precise to distinguish strategies between species within genera and within populations of species. It was also largely in agreement with previous methods of CSR classification for herbaceous species. * Rapid CSR classification of woody and herbaceous vascular plants is now possible, potentially allowing primary plant functional types and ecosystem processes to be investigated over landscape scales.", "author" : [ { "dropping-particle" : "", "family" : "Pierce", "given" : "Simon", "non-dropping-particle" : "", "parse-names" : false, "suffix" : "" }, { "dropping-particle" : "", "family" : "Brusa", "given" : "Guido", "non-dropping-particle" : "", "parse-names" : false, "suffix" : "" }, { "dropping-particle" : "", "family" : "Vagge", "given" : "Ilda", "non-dropping-particle" : "", "parse-names" : false, "suffix" : "" }, { "dropping-particle" : "", "family" : "Cerabolini", "given" : "Bruno E L", "non-dropping-particle" : "", "parse-names" : false, "suffix" : "" } ], "container-title" : "Functional Ecology", "id" : "ITEM-4", "issue" : "4", "issued" : { "date-parts" : [ [ "2013" ] ] }, "page" : "1002-1010", "title" : "Allocating CSR plant functional types: The use of leaf economics and size traits to classify woody and herbaceous vascular plants", "type" : "article-journal", "volume" : "27" }, "uris" : [ "http://www.mendeley.com/documents/?uuid=bcabde6e-b271-4c2f-8e1e-5394405e49d5" ] } ], "mendeley" : { "formattedCitation" : "(Garnier and Laurent, 1994; Grime &lt;i&gt;et al.&lt;/i&gt;, 1997; Poorter and van der Werf, 1998; Pierce &lt;i&gt;et al.&lt;/i&gt;, 2013)", "plainTextFormattedCitation" : "(Garnier and Laurent, 1994; Grime et al., 1997; Poorter and van der Werf, 1998; Pierce et al., 2013)", "previouslyFormattedCitation" : "(Garnier and Laurent, 1994; Grime &lt;i&gt;et al.&lt;/i&gt;, 1997; Poorter and van der Werf, 1998; Pierce &lt;i&gt;et al.&lt;/i&gt;, 2013)"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(Garnier and Laurent, 1994; Grime </w:t>
      </w:r>
      <w:r w:rsidRPr="002C5907">
        <w:rPr>
          <w:rFonts w:ascii="Cambria" w:hAnsi="Cambria"/>
          <w:i/>
          <w:noProof/>
        </w:rPr>
        <w:t>et al.</w:t>
      </w:r>
      <w:r w:rsidRPr="002C5907">
        <w:rPr>
          <w:rFonts w:ascii="Cambria" w:hAnsi="Cambria"/>
          <w:noProof/>
        </w:rPr>
        <w:t xml:space="preserve">, 1997; Poorter and van der Werf, 1998; Pierce </w:t>
      </w:r>
      <w:r w:rsidRPr="002C5907">
        <w:rPr>
          <w:rFonts w:ascii="Cambria" w:hAnsi="Cambria"/>
          <w:i/>
          <w:noProof/>
        </w:rPr>
        <w:t>et al.</w:t>
      </w:r>
      <w:r w:rsidRPr="002C5907">
        <w:rPr>
          <w:rFonts w:ascii="Cambria" w:hAnsi="Cambria"/>
          <w:noProof/>
        </w:rPr>
        <w:t>, 2013)</w:t>
      </w:r>
      <w:r w:rsidRPr="00531789">
        <w:rPr>
          <w:rFonts w:ascii="Cambria" w:hAnsi="Cambria"/>
        </w:rPr>
        <w:fldChar w:fldCharType="end"/>
      </w:r>
      <w:r w:rsidRPr="00531789">
        <w:rPr>
          <w:rFonts w:ascii="Cambria" w:hAnsi="Cambria"/>
        </w:rPr>
        <w:t xml:space="preserve">; SLA correlates with nitrogen concentration </w:t>
      </w:r>
      <w:r w:rsidRPr="00531789">
        <w:rPr>
          <w:rFonts w:ascii="Cambria" w:hAnsi="Cambria"/>
        </w:rPr>
        <w:fldChar w:fldCharType="begin" w:fldLock="1"/>
      </w:r>
      <w:r>
        <w:rPr>
          <w:rFonts w:ascii="Cambria" w:hAnsi="Cambria"/>
        </w:rPr>
        <w:instrText>ADDIN CSL_CITATION { "citationItems" : [ { "id" : "ITEM-1", "itemData" : { "DOI" : "10.1038/nature16489", "ISBN" : "1476-4687", "ISSN" : "0028-0836", "PMID" : "26700811", "abstract" : "Earth is home to a remarkable diversity of plant forms and life histories, yet comparatively few essential trait combinations have proved evolutionarily viable in today\u2019s terrestrial biosphere. By analysing worldwide variation in six major traits critical to growth, survival and reproduction within the largest sample of vascular plant species ever compiled, we found that occupancy of six-dimensional trait space is strongly concentrated, indicating coordination and trade-offs. Three- quarters of trait variation is captured in a two-dimensional global spectrum of plant form and function. One major dimension within this plane reflects the size of whole plants and their parts; the other represents the leaf economics spectrum, which balances leaf construction costs against growth potential. The global plant trait spectrum provides a backdrop for elucidating constraints on evolution, for functionally qualifying species and ecosystems, and for improving models that predict future vegetation based on continuous variation in plant form and function.", "author" : [ { "dropping-particle" : "", "family" : "D\u00edaz", "given" : "Sandra", "non-dropping-particle" : "", "parse-names" : false, "suffix" : "" }, { "dropping-particle" : "", "family" : "Kattge", "given" : "Jens", "non-dropping-particle" : "", "parse-names" : false, "suffix" : "" }, { "dropping-particle" : "", "family" : "Cornelissen", "given" : "Johannes H C", "non-dropping-particle" : "", "parse-names" : false, "suffix" : "" }, { "dropping-particle" : "", "family" : "Wright", "given" : "Ian J", "non-dropping-particle" : "", "parse-names" : false, "suffix" : "" }, { "dropping-particle" : "", "family" : "Lavorel", "given" : "Sandra", "non-dropping-particle" : "", "parse-names" : false, "suffix" : "" }, { "dropping-particle" : "", "family" : "Dray", "given" : "St\u00e9phane", "non-dropping-particle" : "", "parse-names" : false, "suffix" : "" }, { "dropping-particle" : "", "family" : "Reu", "given" : "Bj\u00f6rn", "non-dropping-particle" : "", "parse-names" : false, "suffix" : "" }, { "dropping-particle" : "", "family" : "Kleyer", "given" : "Michael", "non-dropping-particle" : "", "parse-names" : false, "suffix" : "" }, { "dropping-particle" : "", "family" : "Wirth", "given" : "Christian", "non-dropping-particle" : "", "parse-names" : false, "suffix" : "" }, { "dropping-particle" : "", "family" : "Prentice", "given" : "I Colin", "non-dropping-particle" : "", "parse-names" : false, "suffix" : "" }, { "dropping-particle" : "", "family" : "Garnier", "given" : "Eric", "non-dropping-particle" : "", "parse-names" : false, "suffix" : "" }, { "dropping-particle" : "", "family" : "B\u00f6nisch", "given" : "Gerhard", "non-dropping-particle" : "", "parse-names" : false, "suffix" : "" }, { "dropping-particle" : "", "family" : "Westoby", "given" : "Mark", "non-dropping-particle" : "", "parse-names" : false, "suffix" : "" }, { "dropping-particle" : "", "family" : "Poorter", "given" : "Hendrik", "non-dropping-particle" : "", "parse-names" : false, "suffix" : "" }, { "dropping-particle" : "", "family" : "Reich", "given" : "Peter B", "non-dropping-particle" : "", "parse-names" : false, "suffix" : "" }, { "dropping-particle" : "", "family" : "Moles", "given" : "Angela T", "non-dropping-particle" : "", "parse-names" : false, "suffix" : "" }, { "dropping-particle" : "", "family" : "Dickie", "given" : "John", "non-dropping-particle" : "", "parse-names" : false, "suffix" : "" }, { "dropping-particle" : "", "family" : "Gillison", "given" : "Andrew N", "non-dropping-particle" : "", "parse-names" : false, "suffix" : "" }, { "dropping-particle" : "", "family" : "Zanne", "given" : "Amy E", "non-dropping-particle" : "", "parse-names" : false, "suffix" : "" }, { "dropping-particle" : "", "family" : "Chave", "given" : "Jerome", "non-dropping-particle" : "", "parse-names" : false, "suffix" : "" }, { "dropping-particle" : "", "family" : "Wright", "given" : "S. J.", "non-dropping-particle" : "", "parse-names" : false, "suffix" : "" }, { "dropping-particle" : "", "family" : "Sheremet'ev", "given" : "Serge N", "non-dropping-particle" : "", "parse-names" : false, "suffix" : "" }, { "dropping-particle" : "", "family" : "Jactel", "given" : "Herv\u00e9", "non-dropping-particle" : "", "parse-names" : false, "suffix" : "" }, { "dropping-particle" : "", "family" : "Christopher", "given" : "Baraloto", "non-dropping-particle" : "", "parse-names" : false, "suffix" : "" }, { "dropping-particle" : "", "family" : "Cerabolini", "given" : "Bruno", "non-dropping-particle" : "", "parse-names" : false, "suffix" : "" }, { "dropping-particle" : "", "family" : "Pierce", "given" : "Simon", "non-dropping-particle" : "", "parse-names" : false, "suffix" : "" }, { "dropping-particle" : "", "family" : "Shipley", "given" : "Bill", "non-dropping-particle" : "", "parse-names" : false, "suffix" : "" }, { "dropping-particle" : "", "family" : "Kirkup", "given" : "Donald", "non-dropping-particle" : "", "parse-names" : false, "suffix" : "" }, { "dropping-particle" : "", "family" : "Casanoves", "given" : "Fernando", "non-dropping-particle" : "", "parse-names" : false, "suffix" : "" }, { "dropping-particle" : "", "family" : "Joswig", "given" : "Julia S", "non-dropping-particle" : "", "parse-names" : false, "suffix" : "" }, { "dropping-particle" : "", "family" : "G\u00fcnther", "given" : "Angela", "non-dropping-particle" : "", "parse-names" : false, "suffix" : "" }, { "dropping-particle" : "", "family" : "Falczuk", "given" : "Valeria", "non-dropping-particle" : "", "parse-names" : false, "suffix" : "" }, { "dropping-particle" : "", "family" : "R\u00fcger", "given" : "Nadja", "non-dropping-particle" : "", "parse-names" : false, "suffix" : "" }, { "dropping-particle" : "", "family" : "Mahecha", "given" : "Miguel D.", "non-dropping-particle" : "", "parse-names" : false, "suffix" : "" }, { "dropping-particle" : "", "family" : "Gorn\u00e9", "given" : "Lucas D.", "non-dropping-particle" : "", "parse-names" : false, "suffix" : "" } ], "container-title" : "Nature", "id" : "ITEM-1", "issue" : "7585", "issued" : { "date-parts" : [ [ "2016" ] ] }, "page" : "167-183", "publisher" : "Nature Publishing Group", "title" : "The global spectrum of plant form and function", "type" : "article-journal", "volume" : "529" }, "uris" : [ "http://www.mendeley.com/documents/?uuid=d84a497b-53e2-43b0-be53-f5f1f48bde89" ] }, { "id" : "ITEM-2", "itemData" : { "DOI" : "10.1086/374368", "ISBN" : "10585893", "ISSN" : "1058-5893", "PMID" : "184018500011", "abstract" : "Variation in plant functional traits results from evolutionary and environmental drivers that operate at a variety of different scales, which makes it a challenge to differentiate among them. In this article we describe patterns of functional trait variation and trait correlations within and among habitats in relation to several environmental and trade-off axes. We then ask whether such patterns reflect natural selection and can be considered plant strategies. In so doing we highlight evidence that demonstrates that (1) patterns of trait variation across resource and environmental gradients (light, water, nutrients, and temperature) probably reflect adaptation, (2) plant trait variation typically involves multiple-correlated traits that arise because of inevitable trade-offs among traits and across levels of whole-plant integration and that must be understood from a whole-plant perspective, and (3) such adaptation may be globally generalizable for like conditions; i. e., the set of traits (collections of traits in syndromes) of taxa can be considered as \"plant strategies.\"", "author" : [ { "dropping-particle" : "", "family" : "Reich", "given" : "Peter B.", "non-dropping-particle" : "", "parse-names" : false, "suffix" : "" }, { "dropping-particle" : "", "family" : "Wright", "given" : "Ian J.", "non-dropping-particle" : "", "parse-names" : false, "suffix" : "" }, { "dropping-particle" : "", "family" : "Cavender\u2010Bares", "given" : "J.", "non-dropping-particle" : "", "parse-names" : false, "suffix" : "" }, { "dropping-particle" : "", "family" : "Craine", "given" : "J. M.", "non-dropping-particle" : "", "parse-names" : false, "suffix" : "" }, { "dropping-particle" : "", "family" : "Oleksyn", "given" : "J.", "non-dropping-particle" : "", "parse-names" : false, "suffix" : "" }, { "dropping-particle" : "", "family" : "Westoby", "given" : "Mark", "non-dropping-particle" : "", "parse-names" : false, "suffix" : "" }, { "dropping-particle" : "", "family" : "Walters", "given" : "M. B.", "non-dropping-particle" : "", "parse-names" : false, "suffix" : "" } ], "container-title" : "International Journal of Plant Sciences", "id" : "ITEM-2", "issue" : "S3", "issued" : { "date-parts" : [ [ "2003" ] ] }, "page" : "S143-S164", "title" : "The Evolution of Plant Functional Variation: Traits, Spectra, and Strategies", "type" : "article-journal", "volume" : "164" }, "uris" : [ "http://www.mendeley.com/documents/?uuid=5b561578-338b-4d66-8514-5818f41b23dc" ] }, { "id" : "ITEM-3", "itemData" : { "author" : [ { "dropping-particle" : "", "family" : "Wright", "given" : "Ian J", "non-dropping-particle" : "", "parse-names" : false, "suffix" : "" }, { "dropping-particle" : "", "family" : "Reich", "given" : "Peter B", "non-dropping-particle" : "", "parse-names" : false, "suffix" : "" }, { "dropping-particle" : "", "family" : "Westoby", "given" : "Mark", "non-dropping-particle" : "", "parse-names" : false, "suffix" : "" }, { "dropping-particle" : "", "family" : "Ackerly", "given" : "David D", "non-dropping-particle" : "", "parse-names" : false, "suffix" : "" }, { "dropping-particle" : "", "family" : "Baruch", "given" : "Zdravko", "non-dropping-particle" : "", "parse-names" : false, "suffix" : "" }, { "dropping-particle" : "", "family" : "Bongers", "given" : "Frans", "non-dropping-particle" : "", "parse-names" : false, "suffix" : "" }, { "dropping-particle" : "", "family" : "Cavender-bares", "given" : "Jeannine", "non-dropping-particle" : "", "parse-names" : false, "suffix" : "" }, { "dropping-particle" : "", "family" : "Chapin", "given" : "Terry", "non-dropping-particle" : "", "parse-names" : false, "suffix" : "" }, { "dropping-particle" : "", "family" : "Cornelissen", "given" : "Johannes H C", "non-dropping-particle" : "", "parse-names" : false, "suffix" : "" }, { "dropping-particle" : "", "family" : "Diemer", "given" : "Matthias", "non-dropping-particle" : "", "parse-names" : false, "suffix" : "" }, { "dropping-particle" : "", "family" : "Flexas", "given" : "Jaume", "non-dropping-particle" : "", "parse-names" : false, "suffix" : "" }, { "dropping-particle" : "", "family" : "Garnier", "given" : "Eric", "non-dropping-particle" : "", "parse-names" : false, "suffix" : "" }, { "dropping-particle" : "", "family" : "Groom", "given" : "Philip K", "non-dropping-particle" : "", "parse-names" : false, "suffix" : "" }, { "dropping-particle" : "", "family" : "Gulias", "given" : "Javier", "non-dropping-particle" : "", "parse-names" : false, "suffix" : "" }, { "dropping-particle" : "", "family" : "Hikosaka", "given" : "Kouki", "non-dropping-particle" : "", "parse-names" : false, "suffix" : "" }, { "dropping-particle" : "", "family" : "Lamont", "given" : "Byron B", "non-dropping-particle" : "", "parse-names" : false, "suffix" : "" }, { "dropping-particle" : "", "family" : "Lee", "given" : "Tali", "non-dropping-particle" : "", "parse-names" : false, "suffix" : "" }, { "dropping-particle" : "", "family" : "Lee", "given" : "William", "non-dropping-particle" : "", "parse-names" : false, "suffix" : "" }, { "dropping-particle" : "", "family" : "Lusk", "given" : "Christopher", "non-dropping-particle" : "", "parse-names" : false, "suffix" : "" }, { "dropping-particle" : "", "family" : "Midgley", "given" : "Jeremy J", "non-dropping-particle" : "", "parse-names" : false, "suffix" : "" }, { "dropping-particle" : "", "family" : "Navas", "given" : "Marie-Laure", "non-dropping-particle" : "", "parse-names" : false, "suffix" : "" }, { "dropping-particle" : "", "family" : "Niinemets", "given" : "Ulo", "non-dropping-particle" : "", "parse-names" : false, "suffix" : "" }, { "dropping-particle" : "", "family" : "Oleksyn", "given" : "Jacek", "non-dropping-particle" : "", "parse-names" : false, "suffix" : "" }, { "dropping-particle" : "", "family" : "Osada", "given" : "Noriyuki", "non-dropping-particle" : "", "parse-names" : false, "suffix" : "" }, { "dropping-particle" : "", "family" : "Poorter", "given" : "Hendrik", "non-dropping-particle" : "", "parse-names" : false, "suffix" : "" }, { "dropping-particle" : "", "family" : "Poot", "given" : "Pieter", "non-dropping-particle" : "", "parse-names" : false, "suffix" : "" }, { "dropping-particle" : "", "family" : "Prior", "given" : "Lynda", "non-dropping-particle" : "", "parse-names" : false, "suffix" : "" }, { "dropping-particle" : "", "family" : "Pyankov", "given" : "Vladimir I", "non-dropping-particle" : "", "parse-names" : false, "suffix" : "" }, { "dropping-particle" : "", "family" : "Roumet", "given" : "Catherine", "non-dropping-particle" : "", "parse-names" : false, "suffix" : "" }, { "dropping-particle" : "", "family" : "Thomas", "given" : "Sean C", "non-dropping-particle" : "", "parse-names" : false, "suffix" : "" }, { "dropping-particle" : "", "family" : "Tjoelker", "given" : "Mark G", "non-dropping-particle" : "", "parse-names" : false, "suffix" : "" }, { "dropping-particle" : "", "family" : "Veneklaas", "given" : "Erik J", "non-dropping-particle" : "", "parse-names" : false, "suffix" : "" }, { "dropping-particle" : "", "family" : "Villar", "given" : "Rafael", "non-dropping-particle" : "", "parse-names" : false, "suffix" : "" } ], "container-title" : "Nature", "id" : "ITEM-3", "issued" : { "date-parts" : [ [ "2004" ] ] }, "page" : "821-827", "title" : "The worldwide leaf economics spectrum", "type" : "article-journal", "volume" : "428" }, "uris" : [ "http://www.mendeley.com/documents/?uuid=e66b67a4-aad1-43f1-b16d-40dc7dc417ff" ] } ], "mendeley" : { "formattedCitation" : "(Reich &lt;i&gt;et al.&lt;/i&gt;, 2003; Wright &lt;i&gt;et al.&lt;/i&gt;, 2004; D\u00edaz &lt;i&gt;et al.&lt;/i&gt;, 2016)", "plainTextFormattedCitation" : "(Reich et al., 2003; Wright et al., 2004; D\u00edaz et al., 2016)", "previouslyFormattedCitation" : "(Reich &lt;i&gt;et al.&lt;/i&gt;, 2003; Wright &lt;i&gt;et al.&lt;/i&gt;, 2004; D\u00edaz &lt;i&gt;et al.&lt;/i&gt;, 2016)"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(Reich </w:t>
      </w:r>
      <w:r w:rsidRPr="002C5907">
        <w:rPr>
          <w:rFonts w:ascii="Cambria" w:hAnsi="Cambria"/>
          <w:i/>
          <w:noProof/>
        </w:rPr>
        <w:t>et al.</w:t>
      </w:r>
      <w:r w:rsidRPr="002C5907">
        <w:rPr>
          <w:rFonts w:ascii="Cambria" w:hAnsi="Cambria"/>
          <w:noProof/>
        </w:rPr>
        <w:t xml:space="preserve">, 2003; Wright </w:t>
      </w:r>
      <w:r w:rsidRPr="002C5907">
        <w:rPr>
          <w:rFonts w:ascii="Cambria" w:hAnsi="Cambria"/>
          <w:i/>
          <w:noProof/>
        </w:rPr>
        <w:t>et al.</w:t>
      </w:r>
      <w:r w:rsidRPr="002C5907">
        <w:rPr>
          <w:rFonts w:ascii="Cambria" w:hAnsi="Cambria"/>
          <w:noProof/>
        </w:rPr>
        <w:t xml:space="preserve">, 2004; Díaz </w:t>
      </w:r>
      <w:r w:rsidRPr="002C5907">
        <w:rPr>
          <w:rFonts w:ascii="Cambria" w:hAnsi="Cambria"/>
          <w:i/>
          <w:noProof/>
        </w:rPr>
        <w:t>et al.</w:t>
      </w:r>
      <w:r w:rsidRPr="002C5907">
        <w:rPr>
          <w:rFonts w:ascii="Cambria" w:hAnsi="Cambria"/>
          <w:noProof/>
        </w:rPr>
        <w:t>, 2016)</w:t>
      </w:r>
      <w:r w:rsidRPr="00531789">
        <w:rPr>
          <w:rFonts w:ascii="Cambria" w:hAnsi="Cambria"/>
        </w:rPr>
        <w:fldChar w:fldCharType="end"/>
      </w:r>
      <w:r w:rsidRPr="00531789">
        <w:rPr>
          <w:rFonts w:ascii="Cambria" w:hAnsi="Cambria"/>
        </w:rPr>
        <w:t xml:space="preserve">.  Fast growers also have a higher photosynthetic nitrogen use efficiency than slow growers, which leads to a higher rate of growth per unit nitrogen, i.e. nitrogen productivity </w:t>
      </w:r>
      <w:r w:rsidRPr="00531789">
        <w:rPr>
          <w:rFonts w:ascii="Cambria" w:hAnsi="Cambria"/>
        </w:rPr>
        <w:fldChar w:fldCharType="begin" w:fldLock="1"/>
      </w:r>
      <w:r>
        <w:rPr>
          <w:rFonts w:ascii="Cambria" w:hAnsi="Cambria"/>
        </w:rPr>
        <w:instrText>ADDIN CSL_CITATION { "citationItems" : [ { "id" : "ITEM-1", "itemData" : { "author" : [ { "dropping-particle" : "", "family" : "Poorter", "given" : "Hendrik", "non-dropping-particle" : "", "parse-names" : false, "suffix" : "" }, { "dropping-particle" : "", "family" : "Remkes", "given" : "Carlo", "non-dropping-particle" : "", "parse-names" : false, "suffix" : "" }, { "dropping-particle" : "", "family" : "Lambers", "given" : "Hans", "non-dropping-particle" : "", "parse-names" : false, "suffix" : "" } ], "container-title" : "Plant Physiology", "id" : "ITEM-1", "issued" : { "date-parts" : [ [ "1990" ] ] }, "page" : "621-627", "title" : "Carbon and Nitrogen Economy of 24 Wild Species Differing in Relative Growth Rate", "type" : "article-journal", "volume" : "94" }, "uris" : [ "http://www.mendeley.com/documents/?uuid=ea2a9484-1951-434a-b599-403de4d1f1d5" ] } ], "mendeley" : { "formattedCitation" : "(Poorter &lt;i&gt;et al.&lt;/i&gt;, 1990)", "plainTextFormattedCitation" : "(Poorter et al., 1990)", "previouslyFormattedCitation" : "(Poorter &lt;i&gt;et al.&lt;/i&gt;, 1990)"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(Poorter </w:t>
      </w:r>
      <w:r w:rsidRPr="002C5907">
        <w:rPr>
          <w:rFonts w:ascii="Cambria" w:hAnsi="Cambria"/>
          <w:i/>
          <w:noProof/>
        </w:rPr>
        <w:t>et al.</w:t>
      </w:r>
      <w:r w:rsidRPr="002C5907">
        <w:rPr>
          <w:rFonts w:ascii="Cambria" w:hAnsi="Cambria"/>
          <w:noProof/>
        </w:rPr>
        <w:t>, 1990)</w:t>
      </w:r>
      <w:r w:rsidRPr="00531789">
        <w:rPr>
          <w:rFonts w:ascii="Cambria" w:hAnsi="Cambria"/>
        </w:rPr>
        <w:fldChar w:fldCharType="end"/>
      </w:r>
      <w:r w:rsidRPr="00531789">
        <w:rPr>
          <w:rFonts w:ascii="Cambria" w:hAnsi="Cambria"/>
        </w:rPr>
        <w:t xml:space="preserve">.  In contrast, perennials tend to have lower SLA and nitrogen concentration, and invest more in leaf longevity for longer-term survival.  Plants with lower SLA may also invest proportionately less leaf nitrogen into photosynthetic components </w:t>
      </w:r>
      <w:r w:rsidRPr="00531789">
        <w:rPr>
          <w:rFonts w:ascii="Cambria" w:hAnsi="Cambria"/>
        </w:rPr>
        <w:fldChar w:fldCharType="begin" w:fldLock="1"/>
      </w:r>
      <w:r>
        <w:rPr>
          <w:rFonts w:ascii="Cambria" w:hAnsi="Cambria"/>
        </w:rPr>
        <w:instrText>ADDIN CSL_CITATION { "citationItems" : [ { "id" : "ITEM-1", "itemData" : { "DOI" : "10.1046/j.1365-2435.1998.00272.x", "ISSN" : "0269-8463", "author" : [ { "dropping-particle" : "", "family" : "Hikosaka", "given" : "K", "non-dropping-particle" : "", "parse-names" : false, "suffix" : "" }, { "dropping-particle" : "", "family" : "Hanba", "given" : "Y T", "non-dropping-particle" : "", "parse-names" : false, "suffix" : "" }, { "dropping-particle" : "", "family" : "Hirose", "given" : "T", "non-dropping-particle" : "", "parse-names" : false, "suffix" : "" }, { "dropping-particle" : "", "family" : "Terashima", "given" : "I", "non-dropping-particle" : "", "parse-names" : false, "suffix" : "" } ], "container-title" : "Functional Ecology", "id" : "ITEM-1", "issued" : { "date-parts" : [ [ "1998" ] ] }, "page" : "896-905", "title" : "Photosynthetic nitrogen-use efficiency in leaves of woody and herbaceous species", "type" : "article-journal", "volume" : "12" }, "uris" : [ "http://www.mendeley.com/documents/?uuid=73c106f8-ed2a-44c4-9ca5-4f3e2bcd4a33" ] } ], "mendeley" : { "formattedCitation" : "(Hikosaka &lt;i&gt;et al.&lt;/i&gt;, 1998)", "plainTextFormattedCitation" : "(Hikosaka et al., 1998)", "previouslyFormattedCitation" : "(Hikosaka &lt;i&gt;et al.&lt;/i&gt;, 1998)"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(Hikosaka </w:t>
      </w:r>
      <w:r w:rsidRPr="002C5907">
        <w:rPr>
          <w:rFonts w:ascii="Cambria" w:hAnsi="Cambria"/>
          <w:i/>
          <w:noProof/>
        </w:rPr>
        <w:t>et al.</w:t>
      </w:r>
      <w:r w:rsidRPr="002C5907">
        <w:rPr>
          <w:rFonts w:ascii="Cambria" w:hAnsi="Cambria"/>
          <w:noProof/>
        </w:rPr>
        <w:t>, 1998)</w:t>
      </w:r>
      <w:r w:rsidRPr="00531789">
        <w:rPr>
          <w:rFonts w:ascii="Cambria" w:hAnsi="Cambria"/>
        </w:rPr>
        <w:fldChar w:fldCharType="end"/>
      </w:r>
      <w:r w:rsidRPr="00531789">
        <w:rPr>
          <w:rFonts w:ascii="Cambria" w:hAnsi="Cambria"/>
        </w:rPr>
        <w:t xml:space="preserve">.  </w:t>
      </w:r>
    </w:p>
    <w:p w14:paraId="1FD8EAFE" w14:textId="77777777" w:rsidR="00DF4522" w:rsidRPr="00531789" w:rsidRDefault="00DF4522" w:rsidP="00DF4522">
      <w:pPr>
        <w:spacing w:line="360" w:lineRule="auto"/>
        <w:jc w:val="both"/>
        <w:rPr>
          <w:rFonts w:ascii="Cambria" w:hAnsi="Cambria"/>
        </w:rPr>
      </w:pPr>
    </w:p>
    <w:p w14:paraId="5FBBDA21" w14:textId="77777777" w:rsidR="00DF4522" w:rsidRPr="00531789" w:rsidRDefault="00DF4522" w:rsidP="00DF4522">
      <w:pPr>
        <w:spacing w:line="360" w:lineRule="auto"/>
        <w:jc w:val="both"/>
        <w:rPr>
          <w:rFonts w:ascii="Cambria" w:hAnsi="Cambria"/>
        </w:rPr>
      </w:pPr>
      <w:r w:rsidRPr="00531789">
        <w:rPr>
          <w:rFonts w:ascii="Cambria" w:hAnsi="Cambria"/>
        </w:rPr>
        <w:t xml:space="preserve">Despite the dominance of slow growers in nutrient-poor environments </w:t>
      </w:r>
      <w:r w:rsidRPr="00531789">
        <w:rPr>
          <w:rFonts w:ascii="Cambria" w:hAnsi="Cambria"/>
        </w:rPr>
        <w:fldChar w:fldCharType="begin" w:fldLock="1"/>
      </w:r>
      <w:r w:rsidRPr="00531789">
        <w:rPr>
          <w:rFonts w:ascii="Cambria" w:hAnsi="Cambria"/>
        </w:rPr>
        <w:instrText>ADDIN CSL_CITATION { "citationItems" : [ { "id" : "ITEM-1", "itemData" : { "DOI" : "10.1016/S0065-2504(08)60016-1", "ISBN" : "0065-2504", "author" : [ { "dropping-particle" : "", "family" : "Aerts", "given" : "R", "non-dropping-particle" : "", "parse-names" : false, "suffix" : "" }, { "dropping-particle" : "", "family" : "Chapin", "given" : "F.S.", "non-dropping-particle" : "", "parse-names" : false, "suffix" : "" } ], "container-title" : "Advances in Ecological Research", "id" : "ITEM-1", "issued" : { "date-parts" : [ [ "2000" ] ] }, "page" : "1-67", "title" : "The mineral nutrition of wild plants revisited: a Re-evaluation of processes and patterns", "type" : "article-journal", "volume" : "30" }, "uris" : [ "http://www.mendeley.com/documents/?uuid=78864d17-4b0b-47d3-980a-c2188ad14edb" ] } ], "mendeley" : { "formattedCitation" : "(Aerts and Chapin, 2000)", "plainTextFormattedCitation" : "(Aerts and Chapin, 2000)", "previouslyFormattedCitation" : "(Aerts and Chapin, 2000)"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(Aerts and Chapin, 2000)</w:t>
      </w:r>
      <w:r w:rsidRPr="00531789">
        <w:rPr>
          <w:rFonts w:ascii="Cambria" w:hAnsi="Cambria"/>
        </w:rPr>
        <w:fldChar w:fldCharType="end"/>
      </w:r>
      <w:r w:rsidRPr="00531789">
        <w:rPr>
          <w:rFonts w:ascii="Cambria" w:hAnsi="Cambria"/>
        </w:rPr>
        <w:t xml:space="preserve">, fast growing species still grow faster than slow growing ones </w:t>
      </w:r>
      <w:r>
        <w:rPr>
          <w:rFonts w:ascii="Cambria" w:hAnsi="Cambria"/>
        </w:rPr>
        <w:t>in infertile soil</w:t>
      </w:r>
      <w:r w:rsidRPr="00531789">
        <w:rPr>
          <w:rFonts w:ascii="Cambria" w:hAnsi="Cambria"/>
        </w:rPr>
        <w:t xml:space="preserve">, and species differences in nitrogen productivity also persist at low nitrogen </w:t>
      </w:r>
      <w:r w:rsidRPr="00531789">
        <w:rPr>
          <w:rFonts w:ascii="Cambria" w:hAnsi="Cambria"/>
        </w:rPr>
        <w:fldChar w:fldCharType="begin" w:fldLock="1"/>
      </w:r>
      <w:r>
        <w:rPr>
          <w:rFonts w:ascii="Cambria" w:hAnsi="Cambria"/>
        </w:rPr>
        <w:instrText>ADDIN CSL_CITATION { "citationItems" : [ { "id" : "ITEM-1", "itemData" : { "DOI" : "10.1007/BF00010275", "ISBN" : "0032-079X", "ISSN" : "0032079X", "PMID" : "2462", "abstract" : "In previous experiments systematic differences have been found in the morphology, carbon economy and chemical composition of seedlings of inherently fast- and slow-growing plant species, grown at a non-limiting nutrient supply. In the present experiment it was investigated whether these differences persist when plants are grown at suboptimal nutrient supply rates. To this end, plants of the inherently fast-growing Holcus lanatus L. and the inherently slow-growing Deschampsia flexuosa (L.) Trin. were grown in sand at two levels of nitrate supply. Growth, photosynthesis, respiration and carbon and nitrogen content were studied over a period of 4 to 7 weeks. At low N-supply, the potentially fast-growing species still grew faster than the potentially slow-growing one. Similarly, differences in leaf area ratio (leaf area:total dry weight), specific leaf area (leaf area:leaf dry weight) and leaf weight ratio (leaf dry weight: total dry weight), as observed at high N-supply persisted at low N-availability. The only growth parameter for which a substantial Species x N-supply interaction was found was the net assimilation rate (increase in dry weight per unit leaf area and time). Rates of photosynthesis, shoot respiration and root respiration, expressed per unit leaf, shoot and root weight, respectively, were lower for the plants at low N- availability and higher for the fast-growing species. Species-specific variation in the daily carbon budget was mainly due to variation in carbon fixation. Lower values at low N were largely determined by both a lower C-gain of the leaves and a higher proportion of the daily gain spent in root respiration. Interspecific variation in C-content and dry weight:fresh weight ratio were similar at low and high N-supply. Total plant organic N decreased with decreasing N-supply, without differences between species. It is concluded that most of the parameters related to growth, C-economy and chemical composition differ between species and/or are affected by N-supply, but that differences between the two species at high N-availability persist at low N-supply.", "author" : [ { "dropping-particle" : "", "family" : "Poorter", "given" : "Hendrik", "non-dropping-particle" : "", "parse-names" : false, "suffix" : "" }, { "dropping-particle" : "", "family" : "Vijver", "given" : "Claudius A D M", "non-dropping-particle" : "van de", "parse-names" : false, "suffix" : "" }, { "dropping-particle" : "", "family" : "Boot", "given" : "Ren\u00e9 G A", "non-dropping-particle" : "", "parse-names" : false, "suffix" : "" }, { "dropping-particle" : "", "family" : "Lambers", "given" : "Hans", "non-dropping-particle" : "", "parse-names" : false, "suffix" : "" } ], "container-title" : "Plant and Soil", "id" : "ITEM-1", "issue" : "2", "issued" : { "date-parts" : [ [ "1995" ] ] }, "page" : "217-227", "title" : "Growth and carbon economy of a fast-growing and a slow-growing grass species as dependent on nitrate supply", "type" : "article-journal", "volume" : "171" }, "uris" : [ "http://www.mendeley.com/documents/?uuid=ee2c99b4-5851-4fba-870e-3dcce0dd3d56" ] }, { "id" : "ITEM-2", "itemData" : { "author" : [ { "dropping-particle" : "", "family" : "Campbell", "given" : "B D", "non-dropping-particle" : "", "parse-names" : false, "suffix" : "" }, { "dropping-particle" : "", "family" : "Grime", "given" : "J P", "non-dropping-particle" : "", "parse-names" : false, "suffix" : "" } ], "container-title" : "Ecology", "id" : "ITEM-2", "issue" : "1", "issued" : { "date-parts" : [ [ "1992" ] ] }, "page" : "15-29", "title" : "An Experimental Test of Plant Strategy Theory", "type" : "article-journal", "volume" : "73" }, "uris" : [ "http://www.mendeley.com/documents/?uuid=233ebe3e-3eef-4fba-a43c-8c7a54f295a1" ] } ], "mendeley" : { "formattedCitation" : "(Campbell and Grime, 1992; Poorter &lt;i&gt;et al.&lt;/i&gt;, 1995)", "plainTextFormattedCitation" : "(Campbell and Grime, 1992; Poorter et al., 1995)", "previouslyFormattedCitation" : "(Campbell and Grime, 1992; Poorter &lt;i&gt;et al.&lt;/i&gt;, 1995)"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(Campbell and Grime, 1992; Poorter </w:t>
      </w:r>
      <w:r w:rsidRPr="002C5907">
        <w:rPr>
          <w:rFonts w:ascii="Cambria" w:hAnsi="Cambria"/>
          <w:i/>
          <w:noProof/>
        </w:rPr>
        <w:t>et al.</w:t>
      </w:r>
      <w:r w:rsidRPr="002C5907">
        <w:rPr>
          <w:rFonts w:ascii="Cambria" w:hAnsi="Cambria"/>
          <w:noProof/>
        </w:rPr>
        <w:t>, 1995)</w:t>
      </w:r>
      <w:r w:rsidRPr="00531789">
        <w:rPr>
          <w:rFonts w:ascii="Cambria" w:hAnsi="Cambria"/>
        </w:rPr>
        <w:fldChar w:fldCharType="end"/>
      </w:r>
      <w:r w:rsidRPr="00531789">
        <w:rPr>
          <w:rFonts w:ascii="Cambria" w:hAnsi="Cambria"/>
        </w:rPr>
        <w:t xml:space="preserve">.  As well as having a high nutrient uptake capacity, fast growers have a better ability to alter their uptake capacity in response to nutrient availability, i.e. a greater physiological plasticity </w:t>
      </w:r>
      <w:r w:rsidRPr="00531789">
        <w:rPr>
          <w:rFonts w:ascii="Cambria" w:hAnsi="Cambria"/>
        </w:rPr>
        <w:fldChar w:fldCharType="begin" w:fldLock="1"/>
      </w:r>
      <w:r>
        <w:rPr>
          <w:rFonts w:ascii="Cambria" w:hAnsi="Cambria"/>
        </w:rPr>
        <w:instrText>ADDIN CSL_CITATION { "citationItems" : [ { "id" : "ITEM-1", "itemData" : { "DOI" : "10.1016/S0065-2504(08)60016-1", "ISBN" : "0065-2504", "author" : [ { "dropping-particle" : "", "family" : "Aerts", "given" : "R", "non-dropping-particle" : "", "parse-names" : false, "suffix" : "" }, { "dropping-particle" : "", "family" : "Chapin", "given" : "F.S.", "non-dropping-particle" : "", "parse-names" : false, "suffix" : "" } ], "container-title" : "Advances in Ecological Research", "id" : "ITEM-1", "issued" : { "date-parts" : [ [ "2000" ] ] }, "page" : "1-67", "title" : "The mineral nutrition of wild plants revisited: a Re-evaluation of processes and patterns", "type" : "article-journal", "volume" : "30" }, "uris" : [ "http://www.mendeley.com/documents/?uuid=78864d17-4b0b-47d3-980a-c2188ad14edb" ] }, { "id" : "ITEM-2", "itemData" : { "author" : [ { "dropping-particle" : "", "family" : "Garnier", "given" : "E.", "non-dropping-particle" : "", "parse-names" : false, "suffix" : "" }, { "dropping-particle" : "", "family" : "Koch", "given" : "G.W.", "non-dropping-particle" : "", "parse-names" : false, "suffix" : "" }, { "dropping-particle" : "", "family" : "Roy", "given" : "J.", "non-dropping-particle" : "", "parse-names" : false, "suffix" : "" }, { "dropping-particle" : "", "family" : "Mooney", "given" : "H.A.", "non-dropping-particle" : "", "parse-names" : false, "suffix" : "" } ], "container-title" : "Oecologia", "id" : "ITEM-2", "issue" : "4", "issued" : { "date-parts" : [ [ "1989" ] ] }, "page" : "542-550", "title" : "Responses of wild plants to nitrate availability", "type" : "article-journal", "volume" : "79" }, "uris" : [ "http://www.mendeley.com/documents/?uuid=a21d0d74-fe6c-4a9e-9501-97751865a7be" ] } ], "mendeley" : { "formattedCitation" : "(Garnier &lt;i&gt;et al.&lt;/i&gt;, 1989; Aerts and Chapin, 2000)", "plainTextFormattedCitation" : "(Garnier et al., 1989; Aerts and Chapin, 2000)", "previouslyFormattedCitation" : "(Garnier &lt;i&gt;et al.&lt;/i&gt;, 1989; Aerts and Chapin, 2000)"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(Garnier </w:t>
      </w:r>
      <w:r w:rsidRPr="002C5907">
        <w:rPr>
          <w:rFonts w:ascii="Cambria" w:hAnsi="Cambria"/>
          <w:i/>
          <w:noProof/>
        </w:rPr>
        <w:t>et al.</w:t>
      </w:r>
      <w:r w:rsidRPr="002C5907">
        <w:rPr>
          <w:rFonts w:ascii="Cambria" w:hAnsi="Cambria"/>
          <w:noProof/>
        </w:rPr>
        <w:t>, 1989; Aerts and Chapin, 2000)</w:t>
      </w:r>
      <w:r w:rsidRPr="00531789">
        <w:rPr>
          <w:rFonts w:ascii="Cambria" w:hAnsi="Cambria"/>
        </w:rPr>
        <w:fldChar w:fldCharType="end"/>
      </w:r>
      <w:r w:rsidRPr="00531789">
        <w:rPr>
          <w:rFonts w:ascii="Cambria" w:hAnsi="Cambria"/>
        </w:rPr>
        <w:t>.  Based on this evidence, we therefore hypothesise that growth in fast growing species is more nitrogen source limited, and growth in slow growing species more nitrogen sink limited, such that</w:t>
      </w:r>
      <w:r>
        <w:rPr>
          <w:rFonts w:ascii="Cambria" w:hAnsi="Cambria"/>
        </w:rPr>
        <w:t>,</w:t>
      </w:r>
      <w:r w:rsidRPr="00531789">
        <w:rPr>
          <w:rFonts w:ascii="Cambria" w:hAnsi="Cambria"/>
        </w:rPr>
        <w:t xml:space="preserve"> even at low nitrogen levels, fast growers will have </w:t>
      </w:r>
      <w:r>
        <w:rPr>
          <w:rFonts w:ascii="Cambria" w:hAnsi="Cambria"/>
        </w:rPr>
        <w:t xml:space="preserve">a </w:t>
      </w:r>
      <w:r w:rsidRPr="00531789">
        <w:rPr>
          <w:rFonts w:ascii="Cambria" w:hAnsi="Cambria"/>
        </w:rPr>
        <w:t xml:space="preserve">higher RGR and lower storage of nitrogen than slow growers. </w:t>
      </w:r>
    </w:p>
    <w:p w14:paraId="44AC053F" w14:textId="77777777" w:rsidR="00DF4522" w:rsidRPr="00531789" w:rsidRDefault="00DF4522" w:rsidP="00DF4522">
      <w:pPr>
        <w:spacing w:line="360" w:lineRule="auto"/>
        <w:jc w:val="both"/>
        <w:rPr>
          <w:rFonts w:ascii="Cambria" w:hAnsi="Cambria"/>
        </w:rPr>
      </w:pPr>
    </w:p>
    <w:p w14:paraId="165212E3" w14:textId="19EE7253" w:rsidR="00DF4522" w:rsidRPr="00531789" w:rsidRDefault="00DF4522" w:rsidP="00DF4522">
      <w:pPr>
        <w:spacing w:line="360" w:lineRule="auto"/>
        <w:jc w:val="both"/>
        <w:rPr>
          <w:rFonts w:ascii="Cambria" w:hAnsi="Cambria"/>
        </w:rPr>
      </w:pPr>
      <w:r w:rsidRPr="00531789">
        <w:rPr>
          <w:rFonts w:ascii="Cambria" w:hAnsi="Cambria"/>
        </w:rPr>
        <w:t>Here</w:t>
      </w:r>
      <w:r>
        <w:rPr>
          <w:rFonts w:ascii="Cambria" w:hAnsi="Cambria"/>
        </w:rPr>
        <w:t>,</w:t>
      </w:r>
      <w:r w:rsidRPr="00531789">
        <w:rPr>
          <w:rFonts w:ascii="Cambria" w:hAnsi="Cambria"/>
        </w:rPr>
        <w:t xml:space="preserve"> we test this hypothesis by comparing the responses of two species of barley to a nitrogen gradient.  We use an elite domesticated annual spring malting barley (</w:t>
      </w:r>
      <w:proofErr w:type="spellStart"/>
      <w:r w:rsidRPr="00531789">
        <w:rPr>
          <w:rFonts w:ascii="Cambria" w:hAnsi="Cambria"/>
          <w:i/>
        </w:rPr>
        <w:t>Hordeum</w:t>
      </w:r>
      <w:proofErr w:type="spellEnd"/>
      <w:r w:rsidRPr="00531789">
        <w:rPr>
          <w:rFonts w:ascii="Cambria" w:hAnsi="Cambria"/>
          <w:i/>
        </w:rPr>
        <w:t xml:space="preserve"> </w:t>
      </w:r>
      <w:proofErr w:type="spellStart"/>
      <w:r w:rsidRPr="00531789">
        <w:rPr>
          <w:rFonts w:ascii="Cambria" w:hAnsi="Cambria"/>
          <w:i/>
        </w:rPr>
        <w:t>vulgare</w:t>
      </w:r>
      <w:proofErr w:type="spellEnd"/>
      <w:r w:rsidRPr="00531789">
        <w:rPr>
          <w:rFonts w:ascii="Cambria" w:hAnsi="Cambria"/>
          <w:i/>
        </w:rPr>
        <w:t xml:space="preserve"> </w:t>
      </w:r>
      <w:r w:rsidRPr="00531789">
        <w:rPr>
          <w:rFonts w:ascii="Cambria" w:hAnsi="Cambria"/>
        </w:rPr>
        <w:t xml:space="preserve">cv. NFC Tipple) from the HGCA recommended list </w:t>
      </w:r>
      <w:r w:rsidRPr="00531789">
        <w:rPr>
          <w:rFonts w:ascii="Cambria" w:hAnsi="Cambria"/>
        </w:rPr>
        <w:fldChar w:fldCharType="begin" w:fldLock="1"/>
      </w:r>
      <w:r w:rsidR="009133B6">
        <w:rPr>
          <w:rFonts w:ascii="Cambria" w:hAnsi="Cambria"/>
        </w:rPr>
        <w:instrText>ADDIN CSL_CITATION { "citationItems" : [ { "id" : "ITEM-1", "itemData" : { "author" : [ { "dropping-particle" : "", "family" : "HGCA", "given" : "", "non-dropping-particle" : "", "parse-names" : false, "suffix" : "" } ], "id" : "ITEM-1", "issued" : { "date-parts" : [ [ "2014" ] ] }, "title" : "HGCA Recommended List Spring barley 2014", "type" : "report" }, "uris" : [ "http://www.mendeley.com/documents/?uuid=f836fcfd-de5d-4d7b-9c26-e651d445938f" ] } ], "mendeley" : { "formattedCitation" : "(HGCA, 2014)", "plainTextFormattedCitation" : "(HGCA, 2014)", "previouslyFormattedCitation" : "(HGCA, 2014)" }, "properties" : { "noteIndex" : 0 }, "schema" : "https://github.com/citation-style-language/schema/raw/master/csl-citation.json" }</w:instrText>
      </w:r>
      <w:r w:rsidRPr="00531789">
        <w:rPr>
          <w:rFonts w:ascii="Cambria" w:hAnsi="Cambria"/>
        </w:rPr>
        <w:fldChar w:fldCharType="separate"/>
      </w:r>
      <w:r w:rsidR="009133B6" w:rsidRPr="009133B6">
        <w:rPr>
          <w:rFonts w:ascii="Cambria" w:hAnsi="Cambria"/>
          <w:noProof/>
        </w:rPr>
        <w:t>(HGCA, 2014)</w:t>
      </w:r>
      <w:r w:rsidRPr="00531789">
        <w:rPr>
          <w:rFonts w:ascii="Cambria" w:hAnsi="Cambria"/>
        </w:rPr>
        <w:fldChar w:fldCharType="end"/>
      </w:r>
      <w:r w:rsidRPr="00531789">
        <w:rPr>
          <w:rFonts w:ascii="Cambria" w:hAnsi="Cambria"/>
        </w:rPr>
        <w:t xml:space="preserve"> and a wild perennial relative (</w:t>
      </w:r>
      <w:proofErr w:type="spellStart"/>
      <w:r w:rsidRPr="00531789">
        <w:rPr>
          <w:rFonts w:ascii="Cambria" w:hAnsi="Cambria"/>
          <w:i/>
        </w:rPr>
        <w:t>Hordeum</w:t>
      </w:r>
      <w:proofErr w:type="spellEnd"/>
      <w:r w:rsidRPr="00531789">
        <w:rPr>
          <w:rFonts w:ascii="Cambria" w:hAnsi="Cambria"/>
          <w:i/>
        </w:rPr>
        <w:t xml:space="preserve"> </w:t>
      </w:r>
      <w:proofErr w:type="spellStart"/>
      <w:r w:rsidRPr="00531789">
        <w:rPr>
          <w:rFonts w:ascii="Cambria" w:hAnsi="Cambria"/>
          <w:i/>
        </w:rPr>
        <w:t>bulbosum</w:t>
      </w:r>
      <w:proofErr w:type="spellEnd"/>
      <w:r w:rsidRPr="00531789">
        <w:rPr>
          <w:rFonts w:ascii="Cambria" w:hAnsi="Cambria"/>
        </w:rPr>
        <w:t xml:space="preserve">) from Turkey, able to grow in diverse habitats </w:t>
      </w:r>
      <w:r w:rsidRPr="00531789">
        <w:rPr>
          <w:rFonts w:ascii="Cambria" w:hAnsi="Cambria"/>
        </w:rPr>
        <w:fldChar w:fldCharType="begin" w:fldLock="1"/>
      </w:r>
      <w:r w:rsidRPr="00531789">
        <w:rPr>
          <w:rFonts w:ascii="Cambria" w:hAnsi="Cambria"/>
        </w:rPr>
        <w:instrText>ADDIN CSL_CITATION { "citationItems" : [ { "id" : "ITEM-1", "itemData" : { "ISSN" : "0255-0105", "author" : [ { "dropping-particle" : "", "family" : "Bothmer", "given" : "Roland", "non-dropping-particle" : "von", "parse-names" : false, "suffix" : "" } ], "container-title" : "Annalen des Naturhistorischen Museums in Wien, Serie B", "id" : "ITEM-1", "issued" : { "date-parts" : [ [ "1996" ] ] }, "page" : "107-116", "title" : "Distribution and habitat preferences in the genus Hordeum in Iran and Turkey", "type" : "article-journal", "volume" : "98-Suppl." }, "uris" : [ "http://www.mendeley.com/documents/?uuid=a5a8cb05-a032-40ec-9973-49f43d06e606" ] } ], "mendeley" : { "formattedCitation" : "(von Bothmer, 1996)", "plainTextFormattedCitation" : "(von Bothmer, 1996)", "previouslyFormattedCitation" : "(von Bothmer, 1996)"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(von Bothmer, 1996)</w:t>
      </w:r>
      <w:r w:rsidRPr="00531789">
        <w:rPr>
          <w:rFonts w:ascii="Cambria" w:hAnsi="Cambria"/>
        </w:rPr>
        <w:fldChar w:fldCharType="end"/>
      </w:r>
      <w:r w:rsidRPr="00531789">
        <w:rPr>
          <w:rFonts w:ascii="Cambria" w:hAnsi="Cambria"/>
        </w:rPr>
        <w:t xml:space="preserve">.  We measured nitrogen uptake (source activity), storage (sink activity) and relative growth rate (sink activity).  We hypothesise that the perennial is inherently limited in its development of nitrogen sinks, since it develops more slowly </w:t>
      </w:r>
      <w:r w:rsidRPr="00531789">
        <w:rPr>
          <w:rFonts w:ascii="Cambria" w:hAnsi="Cambria"/>
        </w:rPr>
        <w:fldChar w:fldCharType="begin" w:fldLock="1"/>
      </w:r>
      <w:r w:rsidR="002B4FD9">
        <w:rPr>
          <w:rFonts w:ascii="Cambria" w:hAnsi="Cambria"/>
        </w:rPr>
        <w:instrText>ADDIN CSL_CITATION { "citationItems" : [ { "id" : "ITEM-1", "itemData" : { "author" : [ { "dropping-particle" : "", "family" : "Burnett",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"Plant Cell and Environment", "id" : "ITEM-1", "issued" : { "date-parts" : [ [ "2016" ] ] }, "title" : "Source-sink limitations differ between two species with contrasting growth strategies. In press.", "type" : "article-journal" }, "uris" : [ "http://www.mendeley.com/documents/?uuid=f5338dba-5628-426b-8811-253c230d7ad4" ] } ], "mendeley" : { "formattedCitation" : "(Burnett &lt;i&gt;et al.&lt;/i&gt;, 2016)", "manualFormatting" : "(Burnett et al., 2016)", "plainTextFormattedCitation" : "(Burnett et al., 2016)", "previouslyFormattedCitation" : "(Burnett &lt;i&gt;et al.&lt;/i&gt;, 2016)"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w:t>
      </w:r>
      <w:r w:rsidR="000055CC">
        <w:rPr>
          <w:rFonts w:ascii="Cambria" w:hAnsi="Cambria"/>
          <w:noProof/>
        </w:rPr>
        <w:t xml:space="preserve">Burnett </w:t>
      </w:r>
      <w:r w:rsidR="000055CC" w:rsidRPr="000055CC">
        <w:rPr>
          <w:rFonts w:ascii="Cambria" w:hAnsi="Cambria"/>
          <w:i/>
          <w:noProof/>
        </w:rPr>
        <w:t>et al</w:t>
      </w:r>
      <w:r w:rsidR="000055CC">
        <w:rPr>
          <w:rFonts w:ascii="Cambria" w:hAnsi="Cambria"/>
          <w:noProof/>
        </w:rPr>
        <w:t>., 2016</w:t>
      </w:r>
      <w:r w:rsidRPr="002C5907">
        <w:rPr>
          <w:rFonts w:ascii="Cambria" w:hAnsi="Cambria"/>
          <w:noProof/>
        </w:rPr>
        <w:t>)</w:t>
      </w:r>
      <w:r w:rsidRPr="00531789">
        <w:rPr>
          <w:rFonts w:ascii="Cambria" w:hAnsi="Cambria"/>
        </w:rPr>
        <w:fldChar w:fldCharType="end"/>
      </w:r>
      <w:r w:rsidRPr="00531789">
        <w:rPr>
          <w:rFonts w:ascii="Cambria" w:hAnsi="Cambria"/>
        </w:rPr>
        <w:t xml:space="preserve"> and lives for longer, and adopts an ecological strategy requiring the conservation of nitrogen rather than extensive nitrogen use.  Based on this hypothesis, we predict that the nitrogen requirement of the perennial is lower than that of the annual.  In contrast, because crops have been bred to exploit high nitrogen availability in soils </w:t>
      </w:r>
      <w:r w:rsidRPr="00531789">
        <w:rPr>
          <w:rFonts w:ascii="Cambria" w:hAnsi="Cambria"/>
        </w:rPr>
        <w:fldChar w:fldCharType="begin" w:fldLock="1"/>
      </w:r>
      <w:r>
        <w:rPr>
          <w:rFonts w:ascii="Cambria" w:hAnsi="Cambria"/>
        </w:rPr>
        <w:instrText>ADDIN CSL_CITATION { "citationItems" : [ { "id" : "ITEM-1", "itemData" : { "DOI" : "10.1146/annurev-arplant-042811-105532", "ISSN" : "1545-2123", "PMID" : "22224450", "abstract" : "Crop productivity relies heavily on nitrogen (N) fertilization. Production and application of N fertilizers consume huge amounts of energy, and excess is detrimental to the environment; therefore, increasing plant N use efficiency (NUE) is essential for the development of sustainable agriculture. Plant NUE is inherently complex, as each step-including N uptake, translocation, assimilation, and remobilization-is governed by multiple interacting genetic and environmental factors. The limiting factors in plant metabolism for maximizing NUE are different at high and low N supplies, indicating great potential for improving the NUE of current cultivars, which were bred in well-fertilized soil. Decreasing environmental losses and increasing the productivity of crop-acquired N requires the coordination of carbohydrate and N metabolism to give high yields. Increasing both the grain and N harvest index to drive N acquisition and utilization are important approaches for breeding future high-NUE cultivars.", "author" : [ { "dropping-particle" : "", "family" : "Xu", "given" : "Guohua", "non-dropping-particle" : "", "parse-names" : false, "suffix" : "" }, { "dropping-particle" : "", "family" : "Fan", "given" : "Xiaorong", "non-dropping-particle" : "", "parse-names" : false, "suffix" : "" }, { "dropping-particle" : "", "family" : "Miller", "given" : "Anthony J", "non-dropping-particle" : "", "parse-names" : false, "suffix" : "" } ], "container-title" : "Annual Review of Plant Biology", "id" : "ITEM-1", "issued" : { "date-parts" : [ [ "2012", "1" ] ] }, "page" : "153-82", "title" : "Plant nitrogen assimilation and use efficiency.", "type" : "article-journal", "volume" : "63" }, "uris" : [ "http://www.mendeley.com/documents/?uuid=fc23f4b8-e994-4cc2-9b88-98ffeb2b13dc" ] } ], "mendeley" : { "formattedCitation" : "(Xu &lt;i&gt;et al.&lt;/i&gt;, 2012)", "plainTextFormattedCitation" : "(Xu et al., 2012)", "previouslyFormattedCitation" : "(Xu &lt;i&gt;et al.&lt;/i&gt;, 2012)"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(Xu </w:t>
      </w:r>
      <w:r w:rsidRPr="002C5907">
        <w:rPr>
          <w:rFonts w:ascii="Cambria" w:hAnsi="Cambria"/>
          <w:i/>
          <w:noProof/>
        </w:rPr>
        <w:t>et al.</w:t>
      </w:r>
      <w:r w:rsidRPr="002C5907">
        <w:rPr>
          <w:rFonts w:ascii="Cambria" w:hAnsi="Cambria"/>
          <w:noProof/>
        </w:rPr>
        <w:t>, 2012)</w:t>
      </w:r>
      <w:r w:rsidRPr="00531789">
        <w:rPr>
          <w:rFonts w:ascii="Cambria" w:hAnsi="Cambria"/>
        </w:rPr>
        <w:fldChar w:fldCharType="end"/>
      </w:r>
      <w:r w:rsidRPr="00531789">
        <w:rPr>
          <w:rFonts w:ascii="Cambria" w:hAnsi="Cambria"/>
        </w:rPr>
        <w:t xml:space="preserve">, the capacity of the annual to take up nitrogen will be greater and we hypothesise that it will be better able to utilise additional nitrogen in growth in the short-term (long-term analysis of competitive interactions is beyond the scope of this study).  We thus predict that perennial barley will be more nitrogen sink limited, and annual barley more nitrogen source limited, during vegetative growth.  </w:t>
      </w:r>
    </w:p>
    <w:p w14:paraId="65AB4F80" w14:textId="77777777" w:rsidR="00DF4522" w:rsidRPr="00531789" w:rsidRDefault="00DF4522" w:rsidP="00DF4522">
      <w:pPr>
        <w:spacing w:line="360" w:lineRule="auto"/>
        <w:jc w:val="both"/>
        <w:rPr>
          <w:rFonts w:ascii="Cambria" w:hAnsi="Cambria"/>
        </w:rPr>
      </w:pPr>
    </w:p>
    <w:p w14:paraId="7815D4D0" w14:textId="1E26F1E8" w:rsidR="00DF4522" w:rsidRPr="00531789" w:rsidRDefault="00DF4522" w:rsidP="00DF4522">
      <w:pPr>
        <w:spacing w:line="360" w:lineRule="auto"/>
        <w:jc w:val="both"/>
        <w:rPr>
          <w:rFonts w:ascii="Cambria" w:hAnsi="Cambria"/>
        </w:rPr>
      </w:pPr>
      <w:r w:rsidRPr="00531789">
        <w:rPr>
          <w:rFonts w:ascii="Cambria" w:hAnsi="Cambria"/>
        </w:rPr>
        <w:t>Our previous work on these species has uncovered significant carbon sink limitation of growth in the annual, shown by a lack of plasticity of photosynthesis and allocation and increased carbohydrate concentrations under elevated carbon dioxide</w:t>
      </w:r>
      <w:r>
        <w:rPr>
          <w:rFonts w:ascii="Cambria" w:hAnsi="Cambria"/>
        </w:rPr>
        <w:t>.  In contrast, the perennial exhibits</w:t>
      </w:r>
      <w:r w:rsidRPr="00531789">
        <w:rPr>
          <w:rFonts w:ascii="Cambria" w:hAnsi="Cambria"/>
        </w:rPr>
        <w:t xml:space="preserve"> carbon source </w:t>
      </w:r>
      <w:r>
        <w:rPr>
          <w:rFonts w:ascii="Cambria" w:hAnsi="Cambria"/>
        </w:rPr>
        <w:t>limitation, and</w:t>
      </w:r>
      <w:r w:rsidRPr="00531789">
        <w:rPr>
          <w:rFonts w:ascii="Cambria" w:hAnsi="Cambria"/>
        </w:rPr>
        <w:t xml:space="preserve"> is able to increase photosynthesis and sink development in response to elevated carbon dioxide</w:t>
      </w:r>
      <w:r>
        <w:rPr>
          <w:rFonts w:ascii="Cambria" w:hAnsi="Cambria"/>
        </w:rPr>
        <w:t xml:space="preserve">, with a high </w:t>
      </w:r>
      <w:r w:rsidRPr="00531789">
        <w:rPr>
          <w:rFonts w:ascii="Cambria" w:hAnsi="Cambria"/>
        </w:rPr>
        <w:t xml:space="preserve">amino </w:t>
      </w:r>
      <w:proofErr w:type="spellStart"/>
      <w:r w:rsidRPr="00531789">
        <w:rPr>
          <w:rFonts w:ascii="Cambria" w:hAnsi="Cambria"/>
        </w:rPr>
        <w:t>acid:sucrose</w:t>
      </w:r>
      <w:proofErr w:type="spellEnd"/>
      <w:r w:rsidRPr="00531789">
        <w:rPr>
          <w:rFonts w:ascii="Cambria" w:hAnsi="Cambria"/>
        </w:rPr>
        <w:t xml:space="preserve"> </w:t>
      </w:r>
      <w:r>
        <w:rPr>
          <w:rFonts w:ascii="Cambria" w:hAnsi="Cambria"/>
        </w:rPr>
        <w:t>ratio</w:t>
      </w:r>
      <w:r w:rsidRPr="00531789">
        <w:rPr>
          <w:rFonts w:ascii="Cambria" w:hAnsi="Cambria"/>
        </w:rPr>
        <w:t xml:space="preserve"> </w:t>
      </w:r>
      <w:r w:rsidRPr="00531789">
        <w:rPr>
          <w:rFonts w:ascii="Cambria" w:hAnsi="Cambria"/>
        </w:rPr>
        <w:fldChar w:fldCharType="begin" w:fldLock="1"/>
      </w:r>
      <w:r w:rsidR="002B4FD9">
        <w:rPr>
          <w:rFonts w:ascii="Cambria" w:hAnsi="Cambria"/>
        </w:rPr>
        <w:instrText>ADDIN CSL_CITATION { "citationItems" : [ { "id" : "ITEM-1", "itemData" : { "author" : [ { "dropping-particle" : "", "family" : "Burnett",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"Plant Cell and Environment", "id" : "ITEM-1", "issued" : { "date-parts" : [ [ "2016" ] ] }, "title" : "Source-sink limitations differ between two species with contrasting growth strategies. In press.", "type" : "article-journal" }, "uris" : [ "http://www.mendeley.com/documents/?uuid=f5338dba-5628-426b-8811-253c230d7ad4" ] } ], "mendeley" : { "formattedCitation" : "(Burnett &lt;i&gt;et al.&lt;/i&gt;, 2016)", "manualFormatting" : "(Burnett et al., 2016)", "plainTextFormattedCitation" : "(Burnett et al., 2016)", "previouslyFormattedCitation" : "(Burnett &lt;i&gt;et al.&lt;/i&gt;, 2016)" }, "properties" : { "noteIndex" : 0 }, "schema" : "https://github.com/citation-style-language/schema/raw/master/csl-citation.json" }</w:instrText>
      </w:r>
      <w:r w:rsidRPr="00531789">
        <w:rPr>
          <w:rFonts w:ascii="Cambria" w:hAnsi="Cambria"/>
        </w:rPr>
        <w:fldChar w:fldCharType="separate"/>
      </w:r>
      <w:r w:rsidR="000055CC">
        <w:rPr>
          <w:rFonts w:ascii="Cambria" w:hAnsi="Cambria"/>
          <w:noProof/>
        </w:rPr>
        <w:t>(Burnett</w:t>
      </w:r>
      <w:r w:rsidRPr="002C5907">
        <w:rPr>
          <w:rFonts w:ascii="Cambria" w:hAnsi="Cambria"/>
          <w:noProof/>
        </w:rPr>
        <w:t xml:space="preserve"> </w:t>
      </w:r>
      <w:r w:rsidRPr="002C5907">
        <w:rPr>
          <w:rFonts w:ascii="Cambria" w:hAnsi="Cambria"/>
          <w:i/>
          <w:noProof/>
        </w:rPr>
        <w:t>et al.</w:t>
      </w:r>
      <w:r w:rsidRPr="002C5907">
        <w:rPr>
          <w:rFonts w:ascii="Cambria" w:hAnsi="Cambria"/>
          <w:noProof/>
        </w:rPr>
        <w:t>, 2016)</w:t>
      </w:r>
      <w:r w:rsidRPr="00531789">
        <w:rPr>
          <w:rFonts w:ascii="Cambria" w:hAnsi="Cambria"/>
        </w:rPr>
        <w:fldChar w:fldCharType="end"/>
      </w:r>
      <w:r w:rsidRPr="00531789">
        <w:rPr>
          <w:rFonts w:ascii="Cambria" w:hAnsi="Cambria"/>
        </w:rPr>
        <w:t xml:space="preserve">.  Since leaves are sources for carbon and sinks for nitrogen, and roots are sinks for carbon and sources for nitrogen </w:t>
      </w:r>
      <w:r w:rsidRPr="00531789">
        <w:rPr>
          <w:rFonts w:ascii="Cambria" w:hAnsi="Cambria"/>
        </w:rPr>
        <w:fldChar w:fldCharType="begin" w:fldLock="1"/>
      </w:r>
      <w:r w:rsidR="009133B6">
        <w:rPr>
          <w:rFonts w:ascii="Cambria" w:hAnsi="Cambria"/>
        </w:rPr>
        <w:instrText>ADDIN CSL_CITATION { "citationItems" : [ { "id" : "ITEM-1", "itemData" : { "DOI" : "10.1093/jxb/erv447", "ISSN" : "0022-0957", "author" : [ { "dropping-particle" : "", "family" : "White",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"Journal of Experimental Botany", "id" : "ITEM-1", "issue" : "1", "issued" : { "date-parts" : [ [ "2016" ] ] }, "page" : "31-45", "title" : "How can we make plants grow faster? A source\u2013sink perspective on growth rate", "type" : "article-journal", "volume" : "67" }, "uris" : [ "http://www.mendeley.com/documents/?uuid=071fcd57-e076-410e-903a-444abfb30785" ] } ], "mendeley" : { "formattedCitation" : "(White &lt;i&gt;et al.&lt;/i&gt;, 2016)", "manualFormatting" : "(White et al., 2016)", "plainTextFormattedCitation" : "(White et al., 2016)", "previouslyFormattedCitation" : "(White &lt;i&gt;et al.&lt;/i&gt;, 2016)"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(White </w:t>
      </w:r>
      <w:r w:rsidRPr="002C5907">
        <w:rPr>
          <w:rFonts w:ascii="Cambria" w:hAnsi="Cambria"/>
          <w:i/>
          <w:noProof/>
        </w:rPr>
        <w:t>et al.</w:t>
      </w:r>
      <w:r w:rsidRPr="002C5907">
        <w:rPr>
          <w:rFonts w:ascii="Cambria" w:hAnsi="Cambria"/>
          <w:noProof/>
        </w:rPr>
        <w:t xml:space="preserve">, </w:t>
      </w:r>
      <w:r w:rsidR="000055CC">
        <w:rPr>
          <w:rFonts w:ascii="Cambria" w:hAnsi="Cambria"/>
          <w:noProof/>
        </w:rPr>
        <w:t>2016</w:t>
      </w:r>
      <w:r w:rsidRPr="002C5907">
        <w:rPr>
          <w:rFonts w:ascii="Cambria" w:hAnsi="Cambria"/>
          <w:noProof/>
        </w:rPr>
        <w:t>)</w:t>
      </w:r>
      <w:r w:rsidRPr="00531789">
        <w:rPr>
          <w:rFonts w:ascii="Cambria" w:hAnsi="Cambria"/>
        </w:rPr>
        <w:fldChar w:fldCharType="end"/>
      </w:r>
      <w:r w:rsidRPr="00531789">
        <w:rPr>
          <w:rFonts w:ascii="Cambria" w:hAnsi="Cambria"/>
        </w:rPr>
        <w:t>, it is logical that the carbon sink limited annual will be more nitrogen source limited</w:t>
      </w:r>
      <w:r>
        <w:rPr>
          <w:rFonts w:ascii="Cambria" w:hAnsi="Cambria"/>
        </w:rPr>
        <w:t xml:space="preserve"> as hypothesised above</w:t>
      </w:r>
      <w:r w:rsidRPr="00531789">
        <w:rPr>
          <w:rFonts w:ascii="Cambria" w:hAnsi="Cambria"/>
        </w:rPr>
        <w:t xml:space="preserve">, </w:t>
      </w:r>
      <w:r>
        <w:rPr>
          <w:rFonts w:ascii="Cambria" w:hAnsi="Cambria"/>
        </w:rPr>
        <w:t>if carbon sink development is being restricted by the availability of nitrogen for growth and root development.  Similarly, it follows that t</w:t>
      </w:r>
      <w:r w:rsidRPr="00531789">
        <w:rPr>
          <w:rFonts w:ascii="Cambria" w:hAnsi="Cambria"/>
        </w:rPr>
        <w:t xml:space="preserve">he carbon source limited perennial will be more nitrogen sink limited, </w:t>
      </w:r>
      <w:r>
        <w:rPr>
          <w:rFonts w:ascii="Cambria" w:hAnsi="Cambria"/>
        </w:rPr>
        <w:t>if carbon source strength is restricted by the conservative allocation of nitrogen to leaves</w:t>
      </w:r>
      <w:r w:rsidRPr="00531789">
        <w:rPr>
          <w:rFonts w:ascii="Cambria" w:hAnsi="Cambria"/>
        </w:rPr>
        <w:t xml:space="preserve">.  Both species are expected to show an increase in nitrogen uptake, nitrogen storage and growth as nitrogen treatment is increased. However, </w:t>
      </w:r>
      <w:r>
        <w:rPr>
          <w:rFonts w:ascii="Cambria" w:hAnsi="Cambria"/>
        </w:rPr>
        <w:t xml:space="preserve">nitrogen </w:t>
      </w:r>
      <w:r w:rsidRPr="00531789">
        <w:rPr>
          <w:rFonts w:ascii="Cambria" w:hAnsi="Cambria"/>
        </w:rPr>
        <w:t xml:space="preserve">sink limited plants are expected to display a greater nitrogen storage response as nitrogen treatment is increased, due to exacerbation of existing sink limitation, whilst </w:t>
      </w:r>
      <w:r>
        <w:rPr>
          <w:rFonts w:ascii="Cambria" w:hAnsi="Cambria"/>
        </w:rPr>
        <w:t xml:space="preserve">nitrogen </w:t>
      </w:r>
      <w:r w:rsidRPr="00531789">
        <w:rPr>
          <w:rFonts w:ascii="Cambria" w:hAnsi="Cambria"/>
        </w:rPr>
        <w:t xml:space="preserve">source limited plants will show a greater growth response due to alleviation of existing source limitation.  We also hypothesise that both species will show a transition from nitrogen sink limitation towards source limitation during vegetative development, as observed for carbon </w:t>
      </w:r>
      <w:r w:rsidRPr="00531789">
        <w:rPr>
          <w:rFonts w:ascii="Cambria" w:hAnsi="Cambria"/>
        </w:rPr>
        <w:fldChar w:fldCharType="begin" w:fldLock="1"/>
      </w:r>
      <w:r w:rsidRPr="00531789">
        <w:rPr>
          <w:rFonts w:ascii="Cambria" w:hAnsi="Cambria"/>
        </w:rPr>
        <w:instrText>ADDIN CSL_CITATION { "citationItems" : [ { "id" : "ITEM-1", "itemData" : { "author" : [ { "dropping-particle" : "", "family" : "Arp", "given" : "W J", "non-dropping-particle" : "", "parse-names" : false, "suffix" : "" } ], "container-title" : "Plant, Cell &amp; Environment", "id" : "ITEM-1", "issued" : { "date-parts" : [ [ "1991" ] ] }, "page" : "869-875", "title" : "Effects of source-sink relations on photosynthetic acclimation to elevated CO2", "type" : "article-journal", "volume" : "14" }, "uris" : [ "http://www.mendeley.com/documents/?uuid=bb80a4ae-185e-48b5-858d-08efd177107a" ] }, { "id" : "ITEM-2", "itemData" : { "ISBN" : "0-12-473543-6", "author" : [ { "dropping-particle" : "", "family" : "Marschner", "given" : "Horst", "non-dropping-particle" : "", "parse-names" : false, "suffix" : "" } ], "edition" : "2nd", "editor" : [ { "dropping-particle" : "", "family" : "Marschner", "given" : "P", "non-dropping-particle" : "", "parse-names" : false, "suffix" : "" } ], "id" : "ITEM-2", "issued" : { "date-parts" : [ [ "1995" ] ] }, "publisher" : "Academic Press", "publisher-place" : "London", "title" : "Mineral Nutrition of Higher Plants", "type" : "book" }, "uris" : [ "http://www.mendeley.com/documents/?uuid=4da83903-c379-4e79-8410-79eaf9305b73" ] } ], "mendeley" : { "formattedCitation" : "(Arp, 1991; Marschner, 1995)", "plainTextFormattedCitation" : "(Arp, 1991; Marschner, 1995)", "previouslyFormattedCitation" : "(Arp, 1991; Marschner, 1995)"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(Arp, 1991; Marschner, 1995)</w:t>
      </w:r>
      <w:r w:rsidRPr="00531789">
        <w:rPr>
          <w:rFonts w:ascii="Cambria" w:hAnsi="Cambria"/>
        </w:rPr>
        <w:fldChar w:fldCharType="end"/>
      </w:r>
      <w:r w:rsidRPr="00531789">
        <w:rPr>
          <w:rFonts w:ascii="Cambria" w:hAnsi="Cambria"/>
        </w:rPr>
        <w:t xml:space="preserve">.  This is because younger plants lack a strong sink capacity for resource storage, while older plants have developed storage organs which are resource sinks, and will thus be more limited by source-driven resource acquisition than by sink capacity.  </w:t>
      </w:r>
    </w:p>
    <w:p w14:paraId="78921E4E" w14:textId="77777777" w:rsidR="00DF4522" w:rsidRDefault="00DF4522" w:rsidP="00DF4522">
      <w:pPr>
        <w:pStyle w:val="Heading2"/>
        <w:rPr>
          <w:rFonts w:ascii="Cambria" w:hAnsi="Cambria"/>
          <w:color w:val="auto"/>
        </w:rPr>
      </w:pPr>
      <w:bookmarkStart w:id="123" w:name="_Toc322267604"/>
      <w:bookmarkStart w:id="124" w:name="_Toc322267726"/>
      <w:bookmarkStart w:id="125" w:name="_Toc322267890"/>
    </w:p>
    <w:p w14:paraId="18A18229" w14:textId="77777777" w:rsidR="00DF4522" w:rsidRPr="00F22009" w:rsidRDefault="00DF4522" w:rsidP="00DF4522"/>
    <w:p w14:paraId="070B210F" w14:textId="77777777" w:rsidR="00DF4522" w:rsidRPr="00F22009" w:rsidRDefault="00DF4522" w:rsidP="00DF4522">
      <w:pPr>
        <w:pStyle w:val="Heading2"/>
        <w:rPr>
          <w:rFonts w:ascii="Cambria" w:hAnsi="Cambria"/>
          <w:color w:val="auto"/>
          <w:sz w:val="4"/>
          <w:szCs w:val="4"/>
        </w:rPr>
      </w:pPr>
    </w:p>
    <w:p w14:paraId="50FFFED6" w14:textId="77777777" w:rsidR="00DF4522" w:rsidRPr="00531789" w:rsidRDefault="00DF4522" w:rsidP="00DF4522">
      <w:pPr>
        <w:pStyle w:val="Heading2"/>
        <w:rPr>
          <w:rFonts w:ascii="Cambria" w:hAnsi="Cambria"/>
          <w:color w:val="auto"/>
        </w:rPr>
      </w:pPr>
      <w:bookmarkStart w:id="126" w:name="_Toc331253030"/>
      <w:r>
        <w:rPr>
          <w:rFonts w:ascii="Cambria" w:hAnsi="Cambria"/>
          <w:color w:val="auto"/>
        </w:rPr>
        <w:t>M</w:t>
      </w:r>
      <w:r w:rsidRPr="00531789">
        <w:rPr>
          <w:rFonts w:ascii="Cambria" w:hAnsi="Cambria"/>
          <w:color w:val="auto"/>
        </w:rPr>
        <w:t>ATERIALS AND METHODS</w:t>
      </w:r>
      <w:bookmarkEnd w:id="123"/>
      <w:bookmarkEnd w:id="124"/>
      <w:bookmarkEnd w:id="125"/>
      <w:bookmarkEnd w:id="126"/>
    </w:p>
    <w:p w14:paraId="07E02F0A" w14:textId="77777777" w:rsidR="00DF4522" w:rsidRPr="00531789" w:rsidRDefault="00DF4522" w:rsidP="00DF4522">
      <w:pPr>
        <w:spacing w:line="360" w:lineRule="auto"/>
        <w:jc w:val="both"/>
        <w:rPr>
          <w:rFonts w:ascii="Cambria" w:hAnsi="Cambria"/>
          <w:b/>
        </w:rPr>
      </w:pPr>
    </w:p>
    <w:p w14:paraId="3E793733" w14:textId="77777777" w:rsidR="00DF4522" w:rsidRPr="00531789" w:rsidRDefault="00DF4522" w:rsidP="00DF4522">
      <w:pPr>
        <w:spacing w:line="360" w:lineRule="auto"/>
        <w:jc w:val="both"/>
        <w:rPr>
          <w:rFonts w:ascii="Cambria" w:hAnsi="Cambria"/>
          <w:b/>
        </w:rPr>
      </w:pPr>
      <w:r w:rsidRPr="00531789">
        <w:rPr>
          <w:rFonts w:ascii="Cambria" w:hAnsi="Cambria"/>
          <w:b/>
        </w:rPr>
        <w:t>Plant material, growth conditions and nitrogen treatment</w:t>
      </w:r>
    </w:p>
    <w:p w14:paraId="4B476B94" w14:textId="77777777" w:rsidR="00DF4522" w:rsidRPr="00531789" w:rsidRDefault="00DF4522" w:rsidP="00DF4522">
      <w:pPr>
        <w:spacing w:line="360" w:lineRule="auto"/>
        <w:jc w:val="both"/>
        <w:rPr>
          <w:rFonts w:ascii="Cambria" w:hAnsi="Cambria"/>
          <w:b/>
        </w:rPr>
      </w:pPr>
    </w:p>
    <w:p w14:paraId="0DF6F49F" w14:textId="6D099952" w:rsidR="00DF4522" w:rsidRPr="00531789" w:rsidRDefault="00DF4522" w:rsidP="00DF4522">
      <w:pPr>
        <w:spacing w:line="360" w:lineRule="auto"/>
        <w:jc w:val="both"/>
        <w:rPr>
          <w:rFonts w:ascii="Cambria" w:hAnsi="Cambria"/>
        </w:rPr>
      </w:pPr>
      <w:r w:rsidRPr="00531789">
        <w:rPr>
          <w:rFonts w:ascii="Cambria" w:hAnsi="Cambria"/>
        </w:rPr>
        <w:t xml:space="preserve">Seeds of </w:t>
      </w:r>
      <w:proofErr w:type="spellStart"/>
      <w:r w:rsidRPr="00531789">
        <w:rPr>
          <w:rFonts w:ascii="Cambria" w:hAnsi="Cambria"/>
          <w:i/>
        </w:rPr>
        <w:t>Hordeum</w:t>
      </w:r>
      <w:proofErr w:type="spellEnd"/>
      <w:r w:rsidRPr="00531789">
        <w:rPr>
          <w:rFonts w:ascii="Cambria" w:hAnsi="Cambria"/>
          <w:i/>
        </w:rPr>
        <w:t xml:space="preserve"> </w:t>
      </w:r>
      <w:proofErr w:type="spellStart"/>
      <w:r w:rsidRPr="00531789">
        <w:rPr>
          <w:rFonts w:ascii="Cambria" w:hAnsi="Cambria"/>
          <w:i/>
        </w:rPr>
        <w:t>vulgare</w:t>
      </w:r>
      <w:proofErr w:type="spellEnd"/>
      <w:r w:rsidRPr="00531789">
        <w:rPr>
          <w:rFonts w:ascii="Cambria" w:hAnsi="Cambria"/>
          <w:i/>
        </w:rPr>
        <w:t xml:space="preserve"> </w:t>
      </w:r>
      <w:r w:rsidRPr="00531789">
        <w:rPr>
          <w:rFonts w:ascii="Cambria" w:hAnsi="Cambria"/>
        </w:rPr>
        <w:t xml:space="preserve">cv. NFC Tipple from the UK and </w:t>
      </w:r>
      <w:proofErr w:type="spellStart"/>
      <w:r w:rsidRPr="00531789">
        <w:rPr>
          <w:rFonts w:ascii="Cambria" w:hAnsi="Cambria"/>
          <w:i/>
        </w:rPr>
        <w:t>Hordeum</w:t>
      </w:r>
      <w:proofErr w:type="spellEnd"/>
      <w:r w:rsidRPr="00531789">
        <w:rPr>
          <w:rFonts w:ascii="Cambria" w:hAnsi="Cambria"/>
          <w:i/>
        </w:rPr>
        <w:t xml:space="preserve"> </w:t>
      </w:r>
      <w:proofErr w:type="spellStart"/>
      <w:r w:rsidRPr="00531789">
        <w:rPr>
          <w:rFonts w:ascii="Cambria" w:hAnsi="Cambria"/>
          <w:i/>
        </w:rPr>
        <w:t>bulbosum</w:t>
      </w:r>
      <w:proofErr w:type="spellEnd"/>
      <w:r w:rsidRPr="00531789">
        <w:rPr>
          <w:rFonts w:ascii="Cambria" w:hAnsi="Cambria"/>
        </w:rPr>
        <w:t xml:space="preserve"> (Accessions </w:t>
      </w:r>
      <w:r w:rsidRPr="00531789">
        <w:rPr>
          <w:rFonts w:ascii="Cambria" w:hAnsi="Cambria" w:cs="Courier New"/>
        </w:rPr>
        <w:t>GRA1031 and GRA947</w:t>
      </w:r>
      <w:r w:rsidRPr="00531789">
        <w:rPr>
          <w:rFonts w:ascii="Cambria" w:hAnsi="Cambria"/>
        </w:rPr>
        <w:t xml:space="preserve">) from Turkey were obtained from Syngenta and IPK </w:t>
      </w:r>
      <w:proofErr w:type="spellStart"/>
      <w:r w:rsidRPr="00531789">
        <w:rPr>
          <w:rFonts w:ascii="Cambria" w:hAnsi="Cambria"/>
        </w:rPr>
        <w:t>Gatersleben</w:t>
      </w:r>
      <w:proofErr w:type="spellEnd"/>
      <w:r w:rsidRPr="00531789">
        <w:rPr>
          <w:rFonts w:ascii="Cambria" w:hAnsi="Cambria"/>
        </w:rPr>
        <w:t xml:space="preserve"> respectively.  Seeds were first germinated on wet filter paper, then transplanted to 4-litre pots filled with a 1:10 </w:t>
      </w:r>
      <w:proofErr w:type="spellStart"/>
      <w:r w:rsidRPr="00531789">
        <w:rPr>
          <w:rFonts w:ascii="Cambria" w:hAnsi="Cambria"/>
        </w:rPr>
        <w:t>sand:vermiculite</w:t>
      </w:r>
      <w:proofErr w:type="spellEnd"/>
      <w:r w:rsidRPr="00531789">
        <w:rPr>
          <w:rFonts w:ascii="Cambria" w:hAnsi="Cambria"/>
        </w:rPr>
        <w:t xml:space="preserve"> mix topped with an additional layer of sand to aid seedling root development.  Plants were grown at the University of Sheffield in controlled environment plant growth chambers (BDR 16, </w:t>
      </w:r>
      <w:proofErr w:type="spellStart"/>
      <w:r w:rsidRPr="00531789">
        <w:rPr>
          <w:rFonts w:ascii="Cambria" w:hAnsi="Cambria"/>
        </w:rPr>
        <w:t>Conviron</w:t>
      </w:r>
      <w:proofErr w:type="spellEnd"/>
      <w:r w:rsidRPr="00531789">
        <w:rPr>
          <w:rFonts w:ascii="Cambria" w:hAnsi="Cambria"/>
        </w:rPr>
        <w:t xml:space="preserve">, </w:t>
      </w:r>
      <w:proofErr w:type="spellStart"/>
      <w:r w:rsidRPr="00531789">
        <w:rPr>
          <w:rFonts w:ascii="Cambria" w:hAnsi="Cambria"/>
        </w:rPr>
        <w:t>Isleham</w:t>
      </w:r>
      <w:proofErr w:type="spellEnd"/>
      <w:r w:rsidRPr="00531789">
        <w:rPr>
          <w:rFonts w:ascii="Cambria" w:hAnsi="Cambria"/>
        </w:rPr>
        <w:t>, UK), modified to scrub CO</w:t>
      </w:r>
      <w:r w:rsidRPr="00531789">
        <w:rPr>
          <w:rFonts w:ascii="Cambria" w:hAnsi="Cambria"/>
          <w:vertAlign w:val="subscript"/>
        </w:rPr>
        <w:t>2</w:t>
      </w:r>
      <w:r w:rsidRPr="00531789">
        <w:rPr>
          <w:rFonts w:ascii="Cambria" w:hAnsi="Cambria"/>
        </w:rPr>
        <w:t xml:space="preserve"> using soda lime to achieve 400 </w:t>
      </w:r>
      <w:proofErr w:type="spellStart"/>
      <w:r w:rsidRPr="00531789">
        <w:rPr>
          <w:rFonts w:ascii="Cambria" w:hAnsi="Cambria"/>
        </w:rPr>
        <w:t>μmol</w:t>
      </w:r>
      <w:proofErr w:type="spellEnd"/>
      <w:r w:rsidRPr="00531789">
        <w:rPr>
          <w:rFonts w:ascii="Cambria" w:hAnsi="Cambria"/>
        </w:rPr>
        <w:t xml:space="preserve"> mol</w:t>
      </w:r>
      <w:r w:rsidRPr="00531789">
        <w:rPr>
          <w:rFonts w:ascii="Cambria" w:hAnsi="Cambria"/>
          <w:vertAlign w:val="superscript"/>
        </w:rPr>
        <w:t>-1</w:t>
      </w:r>
      <w:r w:rsidRPr="00531789">
        <w:rPr>
          <w:rFonts w:ascii="Cambria" w:hAnsi="Cambria"/>
        </w:rPr>
        <w:t xml:space="preserve"> CO</w:t>
      </w:r>
      <w:r w:rsidRPr="00531789">
        <w:rPr>
          <w:rFonts w:ascii="Cambria" w:hAnsi="Cambria"/>
          <w:vertAlign w:val="subscript"/>
        </w:rPr>
        <w:t>2</w:t>
      </w:r>
      <w:r w:rsidRPr="00531789">
        <w:rPr>
          <w:rFonts w:ascii="Cambria" w:hAnsi="Cambria"/>
        </w:rPr>
        <w:t xml:space="preserve">.  Plants were randomised between three chambers, with the following growth conditions: 12-hour photoperiod with day/night temperatures of 20/18°, 65% relative humidity, 400 </w:t>
      </w:r>
      <w:proofErr w:type="spellStart"/>
      <w:r w:rsidRPr="00531789">
        <w:rPr>
          <w:rFonts w:ascii="Cambria" w:hAnsi="Cambria"/>
        </w:rPr>
        <w:t>μmol</w:t>
      </w:r>
      <w:proofErr w:type="spellEnd"/>
      <w:r w:rsidRPr="00531789">
        <w:rPr>
          <w:rFonts w:ascii="Cambria" w:hAnsi="Cambria"/>
        </w:rPr>
        <w:t xml:space="preserve"> mol</w:t>
      </w:r>
      <w:r w:rsidRPr="00531789">
        <w:rPr>
          <w:rFonts w:ascii="Cambria" w:hAnsi="Cambria"/>
          <w:vertAlign w:val="superscript"/>
        </w:rPr>
        <w:t>-1</w:t>
      </w:r>
      <w:r w:rsidRPr="00531789">
        <w:rPr>
          <w:rFonts w:ascii="Cambria" w:hAnsi="Cambria"/>
        </w:rPr>
        <w:t xml:space="preserve"> CO</w:t>
      </w:r>
      <w:r w:rsidRPr="00531789">
        <w:rPr>
          <w:rFonts w:ascii="Cambria" w:hAnsi="Cambria"/>
          <w:vertAlign w:val="subscript"/>
        </w:rPr>
        <w:t>2</w:t>
      </w:r>
      <w:r w:rsidRPr="00531789">
        <w:rPr>
          <w:rFonts w:ascii="Cambria" w:hAnsi="Cambria"/>
        </w:rPr>
        <w:t xml:space="preserve">, and daytime light levels of 600 </w:t>
      </w:r>
      <w:proofErr w:type="spellStart"/>
      <w:r w:rsidRPr="00531789">
        <w:rPr>
          <w:rFonts w:ascii="Cambria" w:hAnsi="Cambria"/>
        </w:rPr>
        <w:t>μmol</w:t>
      </w:r>
      <w:proofErr w:type="spellEnd"/>
      <w:r w:rsidRPr="00531789">
        <w:rPr>
          <w:rFonts w:ascii="Cambria" w:hAnsi="Cambria"/>
        </w:rPr>
        <w:t xml:space="preserve"> photons m</w:t>
      </w:r>
      <w:r w:rsidRPr="00531789">
        <w:rPr>
          <w:rFonts w:ascii="Cambria" w:hAnsi="Cambria"/>
          <w:vertAlign w:val="superscript"/>
        </w:rPr>
        <w:t>-2</w:t>
      </w:r>
      <w:r w:rsidRPr="00531789">
        <w:rPr>
          <w:rFonts w:ascii="Cambria" w:hAnsi="Cambria"/>
        </w:rPr>
        <w:t xml:space="preserve"> s</w:t>
      </w:r>
      <w:r w:rsidRPr="00531789">
        <w:rPr>
          <w:rFonts w:ascii="Cambria" w:hAnsi="Cambria"/>
          <w:vertAlign w:val="superscript"/>
        </w:rPr>
        <w:t>-1</w:t>
      </w:r>
      <w:r w:rsidRPr="00531789">
        <w:rPr>
          <w:rFonts w:ascii="Cambria" w:hAnsi="Cambria"/>
        </w:rPr>
        <w:t xml:space="preserve"> to provide a daily light integral of 25.9 </w:t>
      </w:r>
      <w:proofErr w:type="spellStart"/>
      <w:r w:rsidRPr="00531789">
        <w:rPr>
          <w:rFonts w:ascii="Cambria" w:hAnsi="Cambria"/>
        </w:rPr>
        <w:t>mol</w:t>
      </w:r>
      <w:proofErr w:type="spellEnd"/>
      <w:r w:rsidRPr="00531789">
        <w:rPr>
          <w:rFonts w:ascii="Cambria" w:hAnsi="Cambria"/>
        </w:rPr>
        <w:t xml:space="preserve"> m</w:t>
      </w:r>
      <w:r w:rsidRPr="00531789">
        <w:rPr>
          <w:rFonts w:ascii="Cambria" w:hAnsi="Cambria"/>
          <w:vertAlign w:val="superscript"/>
        </w:rPr>
        <w:t>-2</w:t>
      </w:r>
      <w:r w:rsidRPr="00531789">
        <w:rPr>
          <w:rFonts w:ascii="Cambria" w:hAnsi="Cambria"/>
        </w:rPr>
        <w:t xml:space="preserve"> day</w:t>
      </w:r>
      <w:r w:rsidRPr="00531789">
        <w:rPr>
          <w:rFonts w:ascii="Cambria" w:hAnsi="Cambria"/>
          <w:vertAlign w:val="superscript"/>
        </w:rPr>
        <w:t>-1</w:t>
      </w:r>
      <w:r w:rsidRPr="00531789">
        <w:rPr>
          <w:rFonts w:ascii="Cambria" w:hAnsi="Cambria"/>
        </w:rPr>
        <w:t xml:space="preserve">.  For the first week, plants were watered daily with Reverse Osmosis water.  Thereafter, plants were watered three times per week with 250ml Long Ashton’s nutrient solution, applied at different concentrations (nitrogen treatments): 1%, 20% (control) and 100%.  Plants were harvested at three times during vegetative growth: 14, 28 and 42 days after germination, because previous work on these species had found that RGR peaks 28 days after germination </w:t>
      </w:r>
      <w:r w:rsidRPr="00531789">
        <w:rPr>
          <w:rFonts w:ascii="Cambria" w:hAnsi="Cambria"/>
        </w:rPr>
        <w:fldChar w:fldCharType="begin" w:fldLock="1"/>
      </w:r>
      <w:r w:rsidR="002B4FD9">
        <w:rPr>
          <w:rFonts w:ascii="Cambria" w:hAnsi="Cambria"/>
        </w:rPr>
        <w:instrText>ADDIN CSL_CITATION { "citationItems" : [ { "id" : "ITEM-1", "itemData" : { "author" : [ { "dropping-particle" : "", "family" : "Burnett",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"Plant Cell and Environment", "id" : "ITEM-1", "issued" : { "date-parts" : [ [ "2016" ] ] }, "title" : "Source-sink limitations differ between two species with contrasting growth strategies. In press.", "type" : "article-journal" }, "uris" : [ "http://www.mendeley.com/documents/?uuid=f5338dba-5628-426b-8811-253c230d7ad4" ] } ], "mendeley" : { "formattedCitation" : "(Burnett &lt;i&gt;et al.&lt;/i&gt;, 2016)", "manualFormatting" : "(Burnett et al., 2016)", "plainTextFormattedCitation" : "(Burnett et al., 2016)", "previouslyFormattedCitation" : "(Burnett &lt;i&gt;et al.&lt;/i&gt;, 2016)" }, "properties" : { "noteIndex" : 0 }, "schema" : "https://github.com/citation-style-language/schema/raw/master/csl-citation.json" }</w:instrText>
      </w:r>
      <w:r w:rsidRPr="00531789">
        <w:rPr>
          <w:rFonts w:ascii="Cambria" w:hAnsi="Cambria"/>
        </w:rPr>
        <w:fldChar w:fldCharType="separate"/>
      </w:r>
      <w:r w:rsidR="000055CC">
        <w:rPr>
          <w:rFonts w:ascii="Cambria" w:hAnsi="Cambria"/>
          <w:noProof/>
        </w:rPr>
        <w:t>(Burnett</w:t>
      </w:r>
      <w:r w:rsidRPr="002C5907">
        <w:rPr>
          <w:rFonts w:ascii="Cambria" w:hAnsi="Cambria"/>
          <w:noProof/>
        </w:rPr>
        <w:t xml:space="preserve"> </w:t>
      </w:r>
      <w:r w:rsidRPr="002C5907">
        <w:rPr>
          <w:rFonts w:ascii="Cambria" w:hAnsi="Cambria"/>
          <w:i/>
          <w:noProof/>
        </w:rPr>
        <w:t>et al.</w:t>
      </w:r>
      <w:r w:rsidRPr="002C5907">
        <w:rPr>
          <w:rFonts w:ascii="Cambria" w:hAnsi="Cambria"/>
          <w:noProof/>
        </w:rPr>
        <w:t>, 2016)</w:t>
      </w:r>
      <w:r w:rsidRPr="00531789">
        <w:rPr>
          <w:rFonts w:ascii="Cambria" w:hAnsi="Cambria"/>
        </w:rPr>
        <w:fldChar w:fldCharType="end"/>
      </w:r>
      <w:r w:rsidRPr="00531789">
        <w:rPr>
          <w:rFonts w:ascii="Cambria" w:hAnsi="Cambria"/>
        </w:rPr>
        <w:t>.  Plants were always watered 24 hours before harvest.</w:t>
      </w:r>
    </w:p>
    <w:p w14:paraId="561321CC" w14:textId="77777777" w:rsidR="00DF4522" w:rsidRPr="00531789" w:rsidRDefault="00DF4522" w:rsidP="00DF4522">
      <w:pPr>
        <w:spacing w:line="360" w:lineRule="auto"/>
        <w:jc w:val="both"/>
        <w:rPr>
          <w:rFonts w:ascii="Cambria" w:hAnsi="Cambria"/>
        </w:rPr>
      </w:pPr>
    </w:p>
    <w:p w14:paraId="37046521" w14:textId="77777777" w:rsidR="00DF4522" w:rsidRPr="00531789" w:rsidRDefault="00DF4522" w:rsidP="00DF4522">
      <w:pPr>
        <w:spacing w:line="360" w:lineRule="auto"/>
        <w:jc w:val="both"/>
        <w:rPr>
          <w:rFonts w:ascii="Cambria" w:hAnsi="Cambria"/>
          <w:b/>
        </w:rPr>
      </w:pPr>
      <w:r w:rsidRPr="00531789">
        <w:rPr>
          <w:rFonts w:ascii="Cambria" w:hAnsi="Cambria"/>
          <w:b/>
          <w:vertAlign w:val="superscript"/>
        </w:rPr>
        <w:t>15</w:t>
      </w:r>
      <w:r w:rsidRPr="00531789">
        <w:rPr>
          <w:rFonts w:ascii="Cambria" w:hAnsi="Cambria"/>
          <w:b/>
        </w:rPr>
        <w:t>N uptake</w:t>
      </w:r>
    </w:p>
    <w:p w14:paraId="3EA86A8C" w14:textId="77777777" w:rsidR="00DF4522" w:rsidRPr="00531789" w:rsidRDefault="00DF4522" w:rsidP="00DF4522">
      <w:pPr>
        <w:spacing w:line="360" w:lineRule="auto"/>
        <w:jc w:val="both"/>
        <w:rPr>
          <w:rFonts w:ascii="Cambria" w:hAnsi="Cambria"/>
          <w:b/>
        </w:rPr>
      </w:pPr>
    </w:p>
    <w:p w14:paraId="5E0C423E" w14:textId="77777777" w:rsidR="00DF4522" w:rsidRPr="00531789" w:rsidRDefault="00DF4522" w:rsidP="00DF4522">
      <w:pPr>
        <w:spacing w:line="360" w:lineRule="auto"/>
        <w:jc w:val="both"/>
        <w:rPr>
          <w:rFonts w:ascii="Cambria" w:hAnsi="Cambria"/>
        </w:rPr>
      </w:pPr>
      <w:r w:rsidRPr="00531789">
        <w:rPr>
          <w:rFonts w:ascii="Cambria" w:hAnsi="Cambria"/>
          <w:vertAlign w:val="superscript"/>
        </w:rPr>
        <w:t>15</w:t>
      </w:r>
      <w:r w:rsidRPr="00531789">
        <w:rPr>
          <w:rFonts w:ascii="Cambria" w:hAnsi="Cambria"/>
        </w:rPr>
        <w:t>NO</w:t>
      </w:r>
      <w:r w:rsidRPr="00531789">
        <w:rPr>
          <w:rFonts w:ascii="Cambria" w:hAnsi="Cambria"/>
          <w:vertAlign w:val="subscript"/>
        </w:rPr>
        <w:t>3</w:t>
      </w:r>
      <w:r w:rsidRPr="00531789">
        <w:rPr>
          <w:rFonts w:ascii="Cambria" w:hAnsi="Cambria"/>
        </w:rPr>
        <w:t xml:space="preserve"> was fed 24 hours before harvest, for the harvest 42 days after germination.  This measurement had been planned for all three harvests but chemical supply and time constraints meant that this measurement could only be performed for the final harvest.  </w:t>
      </w:r>
      <w:r w:rsidRPr="00531789">
        <w:rPr>
          <w:rFonts w:ascii="Cambria" w:hAnsi="Cambria"/>
          <w:vertAlign w:val="superscript"/>
        </w:rPr>
        <w:t>15</w:t>
      </w:r>
      <w:r w:rsidRPr="00531789">
        <w:rPr>
          <w:rFonts w:ascii="Cambria" w:hAnsi="Cambria"/>
        </w:rPr>
        <w:t xml:space="preserve">N-labelled potassium nitrate and calcium nitrate (10% labelled atom) were substituted for the same mass of unlabelled potassium nitrate and calcium nitrate in the Long Ashton’s nutrient solution, such that the plants received their usual dose of all nutrients. </w:t>
      </w:r>
    </w:p>
    <w:p w14:paraId="17562602" w14:textId="77777777" w:rsidR="00DF4522" w:rsidRPr="00531789" w:rsidRDefault="00DF4522" w:rsidP="00DF4522">
      <w:pPr>
        <w:spacing w:line="360" w:lineRule="auto"/>
        <w:jc w:val="both"/>
        <w:rPr>
          <w:rFonts w:ascii="Cambria" w:hAnsi="Cambria"/>
        </w:rPr>
      </w:pPr>
    </w:p>
    <w:p w14:paraId="5EFCDA44" w14:textId="77777777" w:rsidR="00DF4522" w:rsidRPr="00531789" w:rsidRDefault="00DF4522" w:rsidP="00DF4522">
      <w:pPr>
        <w:spacing w:line="360" w:lineRule="auto"/>
        <w:jc w:val="both"/>
        <w:rPr>
          <w:rFonts w:ascii="Cambria" w:hAnsi="Cambria"/>
        </w:rPr>
      </w:pPr>
      <w:r w:rsidRPr="00531789">
        <w:rPr>
          <w:rFonts w:ascii="Cambria" w:hAnsi="Cambria"/>
        </w:rPr>
        <w:t xml:space="preserve">A subsample of the ground, freeze-dried material obtained for metabolite harvests (see below) was analysed for </w:t>
      </w:r>
      <w:r w:rsidRPr="00531789">
        <w:rPr>
          <w:rFonts w:ascii="Cambria" w:hAnsi="Cambria"/>
          <w:vertAlign w:val="superscript"/>
        </w:rPr>
        <w:t>15</w:t>
      </w:r>
      <w:r w:rsidRPr="00531789">
        <w:rPr>
          <w:rFonts w:ascii="Cambria" w:hAnsi="Cambria"/>
        </w:rPr>
        <w:t>N enrichment using an ANCA GSL 20-20 Mass Spectrometer (</w:t>
      </w:r>
      <w:proofErr w:type="spellStart"/>
      <w:r w:rsidRPr="00531789">
        <w:rPr>
          <w:rFonts w:ascii="Cambria" w:hAnsi="Cambria"/>
        </w:rPr>
        <w:t>Sercon</w:t>
      </w:r>
      <w:proofErr w:type="spellEnd"/>
      <w:r w:rsidRPr="00531789">
        <w:rPr>
          <w:rFonts w:ascii="Cambria" w:hAnsi="Cambria"/>
        </w:rPr>
        <w:t xml:space="preserve"> PDZ Europa, Crewe, UK).  Values from control samples were subtracted from these data in order to give </w:t>
      </w:r>
      <w:r w:rsidRPr="00531789">
        <w:rPr>
          <w:rFonts w:ascii="Cambria" w:hAnsi="Cambria"/>
          <w:vertAlign w:val="superscript"/>
        </w:rPr>
        <w:t>15</w:t>
      </w:r>
      <w:r w:rsidRPr="00531789">
        <w:rPr>
          <w:rFonts w:ascii="Cambria" w:hAnsi="Cambria"/>
        </w:rPr>
        <w:t xml:space="preserve">N enrichment relative to the baseline level for each organ type and nitrogen treatment (there was no inherent difference in baseline </w:t>
      </w:r>
      <w:r w:rsidRPr="00531789">
        <w:rPr>
          <w:rFonts w:ascii="Cambria" w:hAnsi="Cambria"/>
          <w:vertAlign w:val="superscript"/>
        </w:rPr>
        <w:t>15</w:t>
      </w:r>
      <w:r w:rsidRPr="00531789">
        <w:rPr>
          <w:rFonts w:ascii="Cambria" w:hAnsi="Cambria"/>
        </w:rPr>
        <w:t>N between the two species).</w:t>
      </w:r>
    </w:p>
    <w:p w14:paraId="254E3DBE" w14:textId="77777777" w:rsidR="00DF4522" w:rsidRPr="00531789" w:rsidRDefault="00DF4522" w:rsidP="00DF4522">
      <w:pPr>
        <w:spacing w:line="360" w:lineRule="auto"/>
        <w:jc w:val="both"/>
        <w:rPr>
          <w:rFonts w:ascii="Cambria" w:hAnsi="Cambria"/>
        </w:rPr>
      </w:pPr>
    </w:p>
    <w:p w14:paraId="45A37019" w14:textId="77777777" w:rsidR="00DF4522" w:rsidRPr="00531789" w:rsidRDefault="00DF4522" w:rsidP="00DF4522">
      <w:pPr>
        <w:spacing w:line="360" w:lineRule="auto"/>
        <w:jc w:val="both"/>
        <w:rPr>
          <w:rFonts w:ascii="Cambria" w:hAnsi="Cambria"/>
          <w:b/>
        </w:rPr>
      </w:pPr>
      <w:r w:rsidRPr="00531789">
        <w:rPr>
          <w:rFonts w:ascii="Cambria" w:hAnsi="Cambria"/>
          <w:b/>
        </w:rPr>
        <w:t>Growth and allocation</w:t>
      </w:r>
    </w:p>
    <w:p w14:paraId="2A105343" w14:textId="77777777" w:rsidR="00DF4522" w:rsidRPr="00531789" w:rsidRDefault="00DF4522" w:rsidP="00DF4522">
      <w:pPr>
        <w:spacing w:line="360" w:lineRule="auto"/>
        <w:jc w:val="both"/>
        <w:rPr>
          <w:rFonts w:ascii="Cambria" w:hAnsi="Cambria"/>
        </w:rPr>
      </w:pPr>
    </w:p>
    <w:p w14:paraId="4F57058F" w14:textId="0B3CBDBA" w:rsidR="00DF4522" w:rsidRPr="00531789" w:rsidRDefault="00DF4522" w:rsidP="00DF4522">
      <w:pPr>
        <w:spacing w:line="360" w:lineRule="auto"/>
        <w:jc w:val="both"/>
        <w:rPr>
          <w:rFonts w:ascii="Cambria" w:hAnsi="Cambria"/>
        </w:rPr>
      </w:pPr>
      <w:r w:rsidRPr="00531789">
        <w:rPr>
          <w:rFonts w:ascii="Cambria" w:hAnsi="Cambria"/>
        </w:rPr>
        <w:t xml:space="preserve">Shoot area was obtained by photographing plants twice per week starting eight days after germination (method described in </w:t>
      </w:r>
      <w:r w:rsidRPr="00531789">
        <w:rPr>
          <w:rFonts w:ascii="Cambria" w:hAnsi="Cambria"/>
        </w:rPr>
        <w:fldChar w:fldCharType="begin" w:fldLock="1"/>
      </w:r>
      <w:r w:rsidR="002B4FD9">
        <w:rPr>
          <w:rFonts w:ascii="Cambria" w:hAnsi="Cambria"/>
        </w:rPr>
        <w:instrText>ADDIN CSL_CITATION { "citationItems" : [ { "id" : "ITEM-1", "itemData" : { "author" : [ { "dropping-particle" : "", "family" : "Burnett",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"Plant Cell and Environment", "id" : "ITEM-1", "issued" : { "date-parts" : [ [ "2016" ] ] }, "title" : "Source-sink limitations differ between two species with contrasting growth strategies. In press.", "type" : "article-journal" }, "uris" : [ "http://www.mendeley.com/documents/?uuid=f5338dba-5628-426b-8811-253c230d7ad4" ] } ], "mendeley" : { "formattedCitation" : "(Burnett &lt;i&gt;et al.&lt;/i&gt;, 2016)", "manualFormatting" : "Burnett et al., 2016", "plainTextFormattedCitation" : "(Burnett et al., 2016)", "previouslyFormattedCitation" : "(Burnett &lt;i&gt;et al.&lt;/i&gt;, 2016)" }, "properties" : { "noteIndex" : 0 }, "schema" : "https://github.com/citation-style-language/schema/raw/master/csl-citation.json" }</w:instrText>
      </w:r>
      <w:r w:rsidRPr="00531789">
        <w:rPr>
          <w:rFonts w:ascii="Cambria" w:hAnsi="Cambria"/>
        </w:rPr>
        <w:fldChar w:fldCharType="separate"/>
      </w:r>
      <w:r w:rsidR="000055CC">
        <w:rPr>
          <w:rFonts w:ascii="Cambria" w:hAnsi="Cambria"/>
          <w:noProof/>
        </w:rPr>
        <w:t>Burnett</w:t>
      </w:r>
      <w:r w:rsidRPr="00531789">
        <w:rPr>
          <w:rFonts w:ascii="Cambria" w:hAnsi="Cambria"/>
          <w:noProof/>
        </w:rPr>
        <w:t xml:space="preserve"> et al., </w:t>
      </w:r>
      <w:r w:rsidR="000055CC">
        <w:rPr>
          <w:rFonts w:ascii="Cambria" w:hAnsi="Cambria"/>
          <w:noProof/>
        </w:rPr>
        <w:t>2016</w:t>
      </w:r>
      <w:r w:rsidRPr="00531789">
        <w:rPr>
          <w:rFonts w:ascii="Cambria" w:hAnsi="Cambria"/>
        </w:rPr>
        <w:fldChar w:fldCharType="end"/>
      </w:r>
      <w:r w:rsidRPr="00531789">
        <w:rPr>
          <w:rFonts w:ascii="Cambria" w:hAnsi="Cambria"/>
        </w:rPr>
        <w:t>).  For very young plants, only one photograph was required</w:t>
      </w:r>
      <w:r w:rsidR="008052F9">
        <w:rPr>
          <w:rFonts w:ascii="Cambria" w:hAnsi="Cambria"/>
        </w:rPr>
        <w:t xml:space="preserve"> at each time point</w:t>
      </w:r>
      <w:r w:rsidRPr="00531789">
        <w:rPr>
          <w:rFonts w:ascii="Cambria" w:hAnsi="Cambria"/>
        </w:rPr>
        <w:t>.  Shoot area was calibrated with dry mass using a batch of 29 additional plants, not used in the main study, which were also photographed twice weekly.  At five time points, once per week starting 12 days after germination, individuals from this batch were harvested and oven-dried in order to calibrate shoot area to leaf area and dry mass (r</w:t>
      </w:r>
      <w:r w:rsidRPr="00531789">
        <w:rPr>
          <w:rFonts w:ascii="Cambria" w:hAnsi="Cambria"/>
          <w:vertAlign w:val="superscript"/>
        </w:rPr>
        <w:t>2</w:t>
      </w:r>
      <w:r w:rsidRPr="00531789">
        <w:rPr>
          <w:rFonts w:ascii="Cambria" w:hAnsi="Cambria"/>
        </w:rPr>
        <w:t xml:space="preserve"> = 0.88), and to analyse partitioning to different organs.  Mass-based relative growth rate (RGR) was obtained for each individual by converting non-destructive projected area measurements to dry mass using the calibration </w:t>
      </w:r>
      <w:r w:rsidR="008052F9">
        <w:rPr>
          <w:rFonts w:ascii="Cambria" w:hAnsi="Cambria"/>
        </w:rPr>
        <w:t>from destructively harvested plants.</w:t>
      </w:r>
    </w:p>
    <w:p w14:paraId="587D1F15" w14:textId="77777777" w:rsidR="00DF4522" w:rsidRPr="00531789" w:rsidRDefault="00DF4522" w:rsidP="00DF4522">
      <w:pPr>
        <w:spacing w:line="360" w:lineRule="auto"/>
        <w:jc w:val="both"/>
        <w:rPr>
          <w:rFonts w:ascii="Cambria" w:hAnsi="Cambria"/>
        </w:rPr>
      </w:pPr>
    </w:p>
    <w:p w14:paraId="531E4431" w14:textId="77777777" w:rsidR="00DF4522" w:rsidRPr="00531789" w:rsidRDefault="00DF4522" w:rsidP="00DF4522">
      <w:pPr>
        <w:spacing w:line="360" w:lineRule="auto"/>
        <w:jc w:val="both"/>
        <w:rPr>
          <w:rFonts w:ascii="Cambria" w:hAnsi="Cambria"/>
        </w:rPr>
      </w:pPr>
      <w:r w:rsidRPr="00531789">
        <w:rPr>
          <w:rFonts w:ascii="Cambria" w:hAnsi="Cambria"/>
        </w:rPr>
        <w:t xml:space="preserve">The dry mass fractions of leaf, leaf sheath and root were calculated for each oven-dried individual and the means for each species and nitrogen concentration were obtained.  The leaf fractions for each species and nitrogen concentration were multiplied by the predicted dry mass from photographs for the plants in the main study to give leaf mass ratio (LMR).  Leaf area ratio (LAR) for each individual was obtained by multiplying specific leaf area (SLA, measured on all metabolite harvest plants) by leaf mass ratio (measured for biomass harvests and means for each species and nitrogen level taken).  </w:t>
      </w:r>
    </w:p>
    <w:p w14:paraId="4B2AE44A" w14:textId="77777777" w:rsidR="00DF4522" w:rsidRPr="00531789" w:rsidRDefault="00DF4522" w:rsidP="00DF4522">
      <w:pPr>
        <w:spacing w:line="360" w:lineRule="auto"/>
        <w:jc w:val="both"/>
        <w:rPr>
          <w:rFonts w:ascii="Cambria" w:hAnsi="Cambria"/>
        </w:rPr>
      </w:pPr>
    </w:p>
    <w:p w14:paraId="4784D894" w14:textId="77777777" w:rsidR="00DF4522" w:rsidRPr="00531789" w:rsidRDefault="00DF4522" w:rsidP="00DF4522">
      <w:pPr>
        <w:spacing w:line="360" w:lineRule="auto"/>
        <w:jc w:val="both"/>
        <w:rPr>
          <w:rFonts w:ascii="Cambria" w:hAnsi="Cambria"/>
        </w:rPr>
      </w:pPr>
      <w:r w:rsidRPr="00531789">
        <w:rPr>
          <w:rFonts w:ascii="Cambria" w:hAnsi="Cambria"/>
        </w:rPr>
        <w:t>Tillers were counted immediately before metabolite harvests were carried out.</w:t>
      </w:r>
    </w:p>
    <w:p w14:paraId="4E757C9B" w14:textId="77777777" w:rsidR="00DF4522" w:rsidRPr="00531789" w:rsidRDefault="00DF4522" w:rsidP="00DF4522">
      <w:pPr>
        <w:spacing w:line="360" w:lineRule="auto"/>
        <w:jc w:val="both"/>
        <w:rPr>
          <w:rFonts w:ascii="Cambria" w:hAnsi="Cambria"/>
        </w:rPr>
      </w:pPr>
    </w:p>
    <w:p w14:paraId="0C3A3428" w14:textId="77777777" w:rsidR="00DF4522" w:rsidRPr="00531789" w:rsidRDefault="00DF4522" w:rsidP="00DF4522">
      <w:pPr>
        <w:spacing w:line="360" w:lineRule="auto"/>
        <w:jc w:val="both"/>
        <w:rPr>
          <w:rFonts w:ascii="Cambria" w:hAnsi="Cambria"/>
          <w:b/>
        </w:rPr>
      </w:pPr>
      <w:r w:rsidRPr="00531789">
        <w:rPr>
          <w:rFonts w:ascii="Cambria" w:hAnsi="Cambria"/>
          <w:b/>
        </w:rPr>
        <w:t xml:space="preserve">Metabolites </w:t>
      </w:r>
    </w:p>
    <w:p w14:paraId="2FEFA0F3" w14:textId="77777777" w:rsidR="00DF4522" w:rsidRPr="00531789" w:rsidRDefault="00DF4522" w:rsidP="00DF4522">
      <w:pPr>
        <w:spacing w:line="360" w:lineRule="auto"/>
        <w:jc w:val="both"/>
        <w:rPr>
          <w:rFonts w:ascii="Cambria" w:hAnsi="Cambria"/>
          <w:b/>
        </w:rPr>
      </w:pPr>
    </w:p>
    <w:p w14:paraId="1038773F" w14:textId="188E0899" w:rsidR="00DF4522" w:rsidRPr="0053120E" w:rsidRDefault="00DF4522" w:rsidP="00DF4522">
      <w:pPr>
        <w:spacing w:line="360" w:lineRule="auto"/>
        <w:jc w:val="both"/>
        <w:rPr>
          <w:rFonts w:ascii="Cambria" w:hAnsi="Cambria"/>
          <w:i/>
        </w:rPr>
      </w:pPr>
      <w:r w:rsidRPr="00531789">
        <w:rPr>
          <w:rFonts w:ascii="Cambria" w:hAnsi="Cambria"/>
        </w:rPr>
        <w:t>At 14, 28 and 42 days after germination, metabolite harvests were carried out on plants from the main study</w:t>
      </w:r>
      <w:r>
        <w:rPr>
          <w:rFonts w:ascii="Cambria" w:hAnsi="Cambria"/>
        </w:rPr>
        <w:t xml:space="preserve">, since previous work had found that maximum RGR occurs approximately 28 days after germination in these species </w:t>
      </w:r>
      <w:r>
        <w:rPr>
          <w:rFonts w:ascii="Cambria" w:hAnsi="Cambria"/>
        </w:rPr>
        <w:fldChar w:fldCharType="begin" w:fldLock="1"/>
      </w:r>
      <w:r w:rsidR="002B4FD9">
        <w:rPr>
          <w:rFonts w:ascii="Cambria" w:hAnsi="Cambria"/>
        </w:rPr>
        <w:instrText>ADDIN CSL_CITATION { "citationItems" : [ { "id" : "ITEM-1", "itemData" : { "author" : [ { "dropping-particle" : "", "family" : "Burnett",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"Plant Cell and Environment", "id" : "ITEM-1", "issued" : { "date-parts" : [ [ "2016" ] ] }, "title" : "Source-sink limitations differ between two species with contrasting growth strategies. In press.", "type" : "article-journal" }, "uris" : [ "http://www.mendeley.com/documents/?uuid=f5338dba-5628-426b-8811-253c230d7ad4" ] } ], "mendeley" : { "formattedCitation" : "(Burnett &lt;i&gt;et al.&lt;/i&gt;, 2016)", "manualFormatting" : "(Burnett et al., 2016)", "plainTextFormattedCitation" : "(Burnett et al., 2016)", "previouslyFormattedCitation" : "(Burnett &lt;i&gt;et al.&lt;/i&gt;, 2016)" }, "properties" : { "noteIndex" : 0 }, "schema" : "https://github.com/citation-style-language/schema/raw/master/csl-citation.json" }</w:instrText>
      </w:r>
      <w:r>
        <w:rPr>
          <w:rFonts w:ascii="Cambria" w:hAnsi="Cambria"/>
        </w:rPr>
        <w:fldChar w:fldCharType="separate"/>
      </w:r>
      <w:r w:rsidRPr="002C5907">
        <w:rPr>
          <w:rFonts w:ascii="Cambria" w:hAnsi="Cambria"/>
          <w:noProof/>
        </w:rPr>
        <w:t>(</w:t>
      </w:r>
      <w:r w:rsidR="000055CC">
        <w:rPr>
          <w:rFonts w:ascii="Cambria" w:hAnsi="Cambria"/>
          <w:noProof/>
        </w:rPr>
        <w:t>Burnett</w:t>
      </w:r>
      <w:r w:rsidRPr="002C5907">
        <w:rPr>
          <w:rFonts w:ascii="Cambria" w:hAnsi="Cambria"/>
          <w:noProof/>
        </w:rPr>
        <w:t xml:space="preserve"> </w:t>
      </w:r>
      <w:r w:rsidRPr="002C5907">
        <w:rPr>
          <w:rFonts w:ascii="Cambria" w:hAnsi="Cambria"/>
          <w:i/>
          <w:noProof/>
        </w:rPr>
        <w:t>et al.</w:t>
      </w:r>
      <w:r w:rsidRPr="002C5907">
        <w:rPr>
          <w:rFonts w:ascii="Cambria" w:hAnsi="Cambria"/>
          <w:noProof/>
        </w:rPr>
        <w:t xml:space="preserve">, </w:t>
      </w:r>
      <w:r w:rsidR="000055CC">
        <w:rPr>
          <w:rFonts w:ascii="Cambria" w:hAnsi="Cambria"/>
          <w:noProof/>
        </w:rPr>
        <w:t>2016</w:t>
      </w:r>
      <w:r w:rsidRPr="002C5907">
        <w:rPr>
          <w:rFonts w:ascii="Cambria" w:hAnsi="Cambria"/>
          <w:noProof/>
        </w:rPr>
        <w:t>)</w:t>
      </w:r>
      <w:r>
        <w:rPr>
          <w:rFonts w:ascii="Cambria" w:hAnsi="Cambria"/>
        </w:rPr>
        <w:fldChar w:fldCharType="end"/>
      </w:r>
      <w:r w:rsidRPr="00531789">
        <w:rPr>
          <w:rFonts w:ascii="Cambria" w:hAnsi="Cambria"/>
        </w:rPr>
        <w:t xml:space="preserve">.  For each of the nitrogen levels and species, one replicate from each of the three growth chambers was taken, giving a total of 18 plants at each time point.  </w:t>
      </w:r>
      <w:r w:rsidRPr="00531789">
        <w:rPr>
          <w:rFonts w:ascii="Cambria" w:hAnsi="Cambria" w:cs="Courier New"/>
        </w:rPr>
        <w:t xml:space="preserve">For the harvests 14 days after germination, two individuals of the same species and treatment were pooled to make each replicate due to the small size of each individual.  </w:t>
      </w:r>
      <w:r w:rsidRPr="00531789">
        <w:rPr>
          <w:rFonts w:ascii="Cambria" w:hAnsi="Cambria"/>
        </w:rPr>
        <w:t xml:space="preserve">Plants were harvested within one hour before dawn.  Plants were separated into leaf, leaf sheath and root, flash-frozen in liquid nitrogen and stored at -80°C; samples were subsequently freeze-dried prior to analysis.  </w:t>
      </w:r>
      <w:r w:rsidRPr="00531789">
        <w:rPr>
          <w:rFonts w:ascii="Cambria" w:hAnsi="Cambria" w:cs="Courier New"/>
        </w:rPr>
        <w:t xml:space="preserve">For small plants, the entire plant was harvested; for larger plants, representative samples of each organ from both young and old tissue were harvested. </w:t>
      </w:r>
      <w:r w:rsidRPr="00531789">
        <w:rPr>
          <w:rFonts w:ascii="Cambria" w:hAnsi="Cambria"/>
        </w:rPr>
        <w:t xml:space="preserve">Metabolite assays were performed at Brookhaven National Laboratory using the protocols described by </w:t>
      </w:r>
      <w:r w:rsidR="000055CC">
        <w:rPr>
          <w:rFonts w:ascii="Cambria" w:hAnsi="Cambria"/>
        </w:rPr>
        <w:t xml:space="preserve">Burnett </w:t>
      </w:r>
      <w:r w:rsidRPr="00531789">
        <w:rPr>
          <w:rFonts w:ascii="Cambria" w:hAnsi="Cambria"/>
        </w:rPr>
        <w:t xml:space="preserve">et al. </w:t>
      </w:r>
      <w:r w:rsidRPr="00531789">
        <w:rPr>
          <w:rFonts w:ascii="Cambria" w:hAnsi="Cambria"/>
        </w:rPr>
        <w:fldChar w:fldCharType="begin" w:fldLock="1"/>
      </w:r>
      <w:r w:rsidR="002B4FD9">
        <w:rPr>
          <w:rFonts w:ascii="Cambria" w:hAnsi="Cambria"/>
        </w:rPr>
        <w:instrText>ADDIN CSL_CITATION { "citationItems" : [ { "id" : "ITEM-1", "itemData" : { "author" : [ { "dropping-particle" : "", "family" : "Burnett",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"Plant Cell and Environment", "id" : "ITEM-1", "issued" : { "date-parts" : [ [ "2016" ] ] }, "title" : "Source-sink limitations differ between two species with contrasting growth strategies. In press.", "type" : "article-journal" }, "uris" : [ "http://www.mendeley.com/documents/?uuid=f5338dba-5628-426b-8811-253c230d7ad4" ] } ], "mendeley" : { "formattedCitation" : "(Burnett &lt;i&gt;et al.&lt;/i&gt;, 2016)", "manualFormatting" : "(2016\u001f)", "plainTextFormattedCitation" : "(Burnett et al., 2016)", "previouslyFormattedCitation" : "(Burnett &lt;i&gt;et al.&lt;/i&gt;, 2016)"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(2016</w:t>
      </w:r>
      <w:r>
        <w:rPr>
          <w:rFonts w:ascii="Cambria" w:hAnsi="Cambria"/>
          <w:noProof/>
        </w:rPr>
        <w:softHyphen/>
      </w:r>
      <w:r w:rsidRPr="00531789">
        <w:rPr>
          <w:rFonts w:ascii="Cambria" w:hAnsi="Cambria"/>
          <w:noProof/>
        </w:rPr>
        <w:t>)</w:t>
      </w:r>
      <w:r w:rsidRPr="00531789">
        <w:rPr>
          <w:rFonts w:ascii="Cambria" w:hAnsi="Cambria"/>
        </w:rPr>
        <w:fldChar w:fldCharType="end"/>
      </w:r>
      <w:r w:rsidRPr="00531789">
        <w:rPr>
          <w:rFonts w:ascii="Cambria" w:hAnsi="Cambria"/>
        </w:rPr>
        <w:t xml:space="preserve">.  </w:t>
      </w:r>
      <w:r w:rsidRPr="00531789">
        <w:rPr>
          <w:rFonts w:ascii="Cambria" w:hAnsi="Cambria" w:cs="Courier New"/>
        </w:rPr>
        <w:t>Elemental CHN was analysed using a 2400 Series II CHN analyser (PerkinElmer, Waltham, MA, USA).  More samples were available for CHN analysis than for metabolite assays, due to the small size of some plants.</w:t>
      </w:r>
      <w:r>
        <w:rPr>
          <w:rFonts w:ascii="Cambria" w:hAnsi="Cambria" w:cs="Courier New"/>
        </w:rPr>
        <w:t xml:space="preserve">  </w:t>
      </w:r>
      <w:r w:rsidRPr="00531789">
        <w:rPr>
          <w:rFonts w:ascii="Cambria" w:hAnsi="Cambria" w:cs="Courier New"/>
        </w:rPr>
        <w:t>Growth at elevated CO</w:t>
      </w:r>
      <w:r w:rsidRPr="00531789">
        <w:rPr>
          <w:rFonts w:ascii="Cambria" w:hAnsi="Cambria" w:cs="Courier New"/>
          <w:vertAlign w:val="subscript"/>
        </w:rPr>
        <w:t>2</w:t>
      </w:r>
      <w:r w:rsidRPr="00531789">
        <w:rPr>
          <w:rFonts w:ascii="Cambria" w:hAnsi="Cambria" w:cs="Courier New"/>
        </w:rPr>
        <w:t xml:space="preserve"> commonly results in an accumulation of carbohydrate in leaves, particularly when sink development is restricted </w:t>
      </w:r>
      <w:r w:rsidRPr="00531789">
        <w:rPr>
          <w:rFonts w:ascii="Cambria" w:hAnsi="Cambria" w:cs="Courier New"/>
        </w:rPr>
        <w:fldChar w:fldCharType="begin" w:fldLock="1"/>
      </w:r>
      <w:r w:rsidR="00906E41">
        <w:rPr>
          <w:rFonts w:ascii="Cambria" w:hAnsi="Cambria" w:cs="Courier New"/>
        </w:rPr>
        <w:instrText>ADDIN CSL_CITATION { "citationItems" : [ { "id" : "ITEM-1", "itemData" : { "author" : [ { "dropping-particle" : "", "family" : "Rogers", "given" : "A", "non-dropping-particle" : "", "parse-names" : false, "suffix" : "" }, { "dropping-particle" : "", "family" : "Ainsworth", "given" : "Elizabeth A", "non-dropping-particle" : "", "parse-names" : false, "suffix" : "" } ], "chapter-number" : "16", "container-title" : "Managed ecosystems and CO2 case studies processes and perspectives", "editor" : [ { "dropping-particle" : "", "family" : "Nosberger", "given" : "J", "non-dropping-particle" : "", "parse-names" : false, "suffix" : "" }, { "dropping-particle" : "", "family" : "Long", "given" : "SP", "non-dropping-particle" : "", "parse-names" : false, "suffix" : "" }, { "dropping-particle" : "", "family" : "Blum", "given" : "H", "non-dropping-particle" : "", "parse-names" : false, "suffix" : "" }, { "dropping-particle" : "", "family" : "Norby", "given" : "RJ", "non-dropping-particle" : "", "parse-names" : false, "suffix" : "" }, { "dropping-particle" : "", "family" : "Hendrey", "given" : "GR", "non-dropping-particle" : "", "parse-names" : false, "suffix" : "" }, { "dropping-particle" : "", "family" : "Stitt", "given" : "M", "non-dropping-particle" : "", "parse-names" : false, "suffix" : "" } ], "id" : "ITEM-1", "issued" : { "date-parts" : [ [ "2006" ] ] }, "page" : "293-308", "publisher" : "Springer-Verlag", "publisher-place" : "Heidelberg, Berlin", "title" : "The response of foliar carbohydrates to elevated [CO2]", "type" : "chapter" }, "uris" : [ "http://www.mendeley.com/documents/?uuid=ad611b43-52b4-4728-8d67-4ff9617c644b" ] } ], "mendeley" : { "formattedCitation" : "(Rogers and Ainsworth, 2006)", "plainTextFormattedCitation" : "(Rogers and Ainsworth, 2006)", "previouslyFormattedCitation" : "(Rogers and Ainsworth, 2006)" }, "properties" : { "noteIndex" : 0 }, "schema" : "https://github.com/citation-style-language/schema/raw/master/csl-citation.json" }</w:instrText>
      </w:r>
      <w:r w:rsidRPr="00531789">
        <w:rPr>
          <w:rFonts w:ascii="Cambria" w:hAnsi="Cambria" w:cs="Courier New"/>
        </w:rPr>
        <w:fldChar w:fldCharType="separate"/>
      </w:r>
      <w:r w:rsidRPr="00531789">
        <w:rPr>
          <w:rFonts w:ascii="Cambria" w:hAnsi="Cambria" w:cs="Courier New"/>
          <w:noProof/>
        </w:rPr>
        <w:t>(Rogers and Ainsworth, 2006)</w:t>
      </w:r>
      <w:r w:rsidRPr="00531789">
        <w:rPr>
          <w:rFonts w:ascii="Cambria" w:hAnsi="Cambria" w:cs="Courier New"/>
        </w:rPr>
        <w:fldChar w:fldCharType="end"/>
      </w:r>
      <w:r w:rsidRPr="00531789">
        <w:rPr>
          <w:rFonts w:ascii="Cambria" w:hAnsi="Cambria" w:cs="Courier New"/>
        </w:rPr>
        <w:t xml:space="preserve">, and the low nitrogen treatment here resulted in accumulation of carbohydrates.  Therefore, to avoid the diluting effect which this mass of carbohydrate can have on assessment of other metabolite contents, data were expressed per g carbohydrate-corrected dry weight, obtained by subtracting the mass of total non-structural carbohydrate from the dry mass of each sample as has been done previously </w:t>
      </w:r>
      <w:r w:rsidRPr="00531789">
        <w:rPr>
          <w:rFonts w:ascii="Cambria" w:hAnsi="Cambria" w:cs="Courier New"/>
        </w:rPr>
        <w:fldChar w:fldCharType="begin" w:fldLock="1"/>
      </w:r>
      <w:r>
        <w:rPr>
          <w:rFonts w:ascii="Cambria" w:hAnsi="Cambria" w:cs="Courier New"/>
        </w:rPr>
        <w:instrText>ADDIN CSL_CITATION { "citationItems" : [ { "id" : "ITEM-1", "itemData" : { "DOI" : "10.1111/j.1365-3040.2006.01549.x", "ISBN" : "0140-7791", "ISSN" : "01407791", "PMID" : "16898025", "abstract" : "Plant growth is typically stimulated at elevated carbon dioxide concentration ([CO2]), but a sustained and maximal stimulation of growth requires acquisition of additional N in proportion to the additional C fixed at elevated [CO2]. We hypothesized that legumes would be able to avoid N limitation at elevated [CO2]. Soybean was grown without N fertilizer from germination to final senescence at elevated [CO2] over two growing seasons under fully open-air conditions, providing a model legume system. Measurements of photosynthesis and foliar carbohydrate content showed that plants growing at elevated [CO2] had a c. 25% increase in the daily integral of photosynthesis and c. 58% increase in foliar carbohydrate content, suggesting that plants at elevated [CO2] had a surplus of photosynthate. Soybeans had a low leaf N content at the beginning of the season, which was a further c. 17% lower at elevated [CO2]. In the middle of the season, ureide, total amino acid and N content increased markedly, and the effect of elevated [CO2] on leaf N content disappeared. Analysis of individual amino acid levels supported the conclusion that plants at elevated [CO2] overcame an early-season N limitation. These soybean plants showed a c. 16% increase in dry mass at final harvest and showed no significant effect of elevated [CO2] on leaf N, protein or total amino acid content in the latter part of the season. One possible explanation for these findings is that N fixation had increased, and that these plants had acclimated to the increased N demand at elevated [CO2].", "author" : [ { "dropping-particle" : "", "family" : "Rogers", "given" : "Alistair", "non-dropping-particle" : "", "parse-names" : false, "suffix" : "" }, { "dropping-particle" : "", "family" : "Gibon", "given" : "Yves", "non-dropping-particle" : "", "parse-names" : false, "suffix" : "" }, { "dropping-particle" : "", "family" : "Stitt", "given" : "Mark", "non-dropping-particle" : "", "parse-names" : false, "suffix" : "" }, { "dropping-particle" : "", "family" : "Morgan", "given" : "Patrick B.", "non-dropping-particle" : "", "parse-names" : false, "suffix" : "" }, { "dropping-particle" : "", "family" : "Bernacchi", "given" : "Carl J.", "non-dropping-particle" : "", "parse-names" : false, "suffix" : "" }, { "dropping-particle" : "", "family" : "Ort", "given" : "Donald R.", "non-dropping-particle" : "", "parse-names" : false, "suffix" : "" }, { "dropping-particle" : "", "family" : "Long", "given" : "Stephen P.", "non-dropping-particle" : "", "parse-names" : false, "suffix" : "" } ], "container-title" : "Plant, Cell and Environment", "id" : "ITEM-1", "issued" : { "date-parts" : [ [ "2006" ] ] }, "page" : "1651-1658", "title" : "Increased C availability at elevated carbon dioxide concentration improves N assimilation in a legume", "type" : "article-journal", "volume" : "29" }, "uris" : [ "http://www.mendeley.com/documents/?uuid=27b705d4-6317-4fc4-a7bc-047b88c9c33b" ] } ], "mendeley" : { "formattedCitation" : "(Rogers &lt;i&gt;et al.&lt;/i&gt;, 2006)", "plainTextFormattedCitation" : "(Rogers et al., 2006)", "previouslyFormattedCitation" : "(Rogers &lt;i&gt;et al.&lt;/i&gt;, 2006)" }, "properties" : { "noteIndex" : 0 }, "schema" : "https://github.com/citation-style-language/schema/raw/master/csl-citation.json" }</w:instrText>
      </w:r>
      <w:r w:rsidRPr="00531789">
        <w:rPr>
          <w:rFonts w:ascii="Cambria" w:hAnsi="Cambria" w:cs="Courier New"/>
        </w:rPr>
        <w:fldChar w:fldCharType="separate"/>
      </w:r>
      <w:r w:rsidRPr="002C5907">
        <w:rPr>
          <w:rFonts w:ascii="Cambria" w:hAnsi="Cambria" w:cs="Courier New"/>
          <w:noProof/>
        </w:rPr>
        <w:t xml:space="preserve">(Rogers </w:t>
      </w:r>
      <w:r w:rsidRPr="002C5907">
        <w:rPr>
          <w:rFonts w:ascii="Cambria" w:hAnsi="Cambria" w:cs="Courier New"/>
          <w:i/>
          <w:noProof/>
        </w:rPr>
        <w:t>et al.</w:t>
      </w:r>
      <w:r w:rsidRPr="002C5907">
        <w:rPr>
          <w:rFonts w:ascii="Cambria" w:hAnsi="Cambria" w:cs="Courier New"/>
          <w:noProof/>
        </w:rPr>
        <w:t>, 2006)</w:t>
      </w:r>
      <w:r w:rsidRPr="00531789">
        <w:rPr>
          <w:rFonts w:ascii="Cambria" w:hAnsi="Cambria" w:cs="Courier New"/>
        </w:rPr>
        <w:fldChar w:fldCharType="end"/>
      </w:r>
      <w:r w:rsidRPr="00531789">
        <w:rPr>
          <w:rFonts w:ascii="Cambria" w:hAnsi="Cambria" w:cs="Courier New"/>
        </w:rPr>
        <w:t>.</w:t>
      </w:r>
    </w:p>
    <w:p w14:paraId="61436834" w14:textId="77777777" w:rsidR="00DF4522" w:rsidRPr="00531789" w:rsidRDefault="00DF4522" w:rsidP="00DF4522">
      <w:pPr>
        <w:spacing w:line="360" w:lineRule="auto"/>
        <w:jc w:val="both"/>
        <w:rPr>
          <w:rFonts w:ascii="Cambria" w:hAnsi="Cambria" w:cs="Courier New"/>
        </w:rPr>
      </w:pPr>
    </w:p>
    <w:p w14:paraId="72017532" w14:textId="77777777" w:rsidR="00DF4522" w:rsidRPr="00531789" w:rsidRDefault="00DF4522" w:rsidP="00DF4522">
      <w:pPr>
        <w:spacing w:line="360" w:lineRule="auto"/>
        <w:jc w:val="both"/>
        <w:rPr>
          <w:rFonts w:ascii="Cambria" w:hAnsi="Cambria"/>
          <w:b/>
        </w:rPr>
      </w:pPr>
      <w:r w:rsidRPr="00531789">
        <w:rPr>
          <w:rFonts w:ascii="Cambria" w:hAnsi="Cambria"/>
          <w:b/>
        </w:rPr>
        <w:t>Statistical methods</w:t>
      </w:r>
    </w:p>
    <w:p w14:paraId="3CF9E4FE" w14:textId="77777777" w:rsidR="00DF4522" w:rsidRPr="00531789" w:rsidRDefault="00DF4522" w:rsidP="00DF4522">
      <w:pPr>
        <w:spacing w:line="360" w:lineRule="auto"/>
        <w:jc w:val="both"/>
        <w:rPr>
          <w:rFonts w:ascii="Cambria" w:hAnsi="Cambria"/>
          <w:b/>
        </w:rPr>
      </w:pPr>
    </w:p>
    <w:p w14:paraId="59D2B86B" w14:textId="07B1C290" w:rsidR="00DF4522" w:rsidRPr="00531789" w:rsidRDefault="00DF4522" w:rsidP="00DF4522">
      <w:pPr>
        <w:widowControl w:val="0"/>
        <w:autoSpaceDE w:val="0"/>
        <w:autoSpaceDN w:val="0"/>
        <w:adjustRightInd w:val="0"/>
        <w:spacing w:line="360" w:lineRule="auto"/>
        <w:jc w:val="both"/>
        <w:rPr>
          <w:rFonts w:ascii="Cambria" w:hAnsi="Cambria" w:cs="Arial"/>
          <w:sz w:val="23"/>
          <w:szCs w:val="23"/>
          <w:lang w:val="en-US"/>
        </w:rPr>
      </w:pPr>
      <w:r w:rsidRPr="00531789">
        <w:rPr>
          <w:rFonts w:ascii="Cambria" w:hAnsi="Cambria"/>
        </w:rPr>
        <w:t xml:space="preserve">All data were analysed in R </w:t>
      </w:r>
      <w:r w:rsidR="00347066">
        <w:rPr>
          <w:rFonts w:ascii="Cambria" w:hAnsi="Cambria"/>
        </w:rPr>
        <w:fldChar w:fldCharType="begin" w:fldLock="1"/>
      </w:r>
      <w:r w:rsidR="009909A4">
        <w:rPr>
          <w:rFonts w:ascii="Cambria" w:hAnsi="Cambria"/>
        </w:rPr>
        <w:instrText>ADDIN CSL_CITATION { "citationItems" : [ { "id" : "ITEM-1", "itemData" : { "author" : [ { "dropping-particle" : "", "family" : "R Core Team", "given" : "", "non-dropping-particle" : "", "parse-names" : false, "suffix" : "" } ], "id" : "ITEM-1", "issued" : { "date-parts" : [ [ "2015" ] ] }, "title" : "R: A language and environment for statistical computing. R Foundation for Statistical Computing, Vienna, Austria.", "type" : "article" }, "uris" : [ "http://www.mendeley.com/documents/?uuid=a608e39a-fdde-4a93-9c56-23ffc4c2abca" ] } ], "mendeley" : { "formattedCitation" : "(R Core Team, 2015)", "plainTextFormattedCitation" : "(R Core Team, 2015)", "previouslyFormattedCitation" : "(R Core Team, 2015)" }, "properties" : { "noteIndex" : 0 }, "schema" : "https://github.com/citation-style-language/schema/raw/master/csl-citation.json" }</w:instrText>
      </w:r>
      <w:r w:rsidR="00347066">
        <w:rPr>
          <w:rFonts w:ascii="Cambria" w:hAnsi="Cambria"/>
        </w:rPr>
        <w:fldChar w:fldCharType="separate"/>
      </w:r>
      <w:r w:rsidR="00347066" w:rsidRPr="00347066">
        <w:rPr>
          <w:rFonts w:ascii="Cambria" w:hAnsi="Cambria"/>
          <w:noProof/>
        </w:rPr>
        <w:t>(R Core Team, 2015)</w:t>
      </w:r>
      <w:r w:rsidR="00347066">
        <w:rPr>
          <w:rFonts w:ascii="Cambria" w:hAnsi="Cambria"/>
        </w:rPr>
        <w:fldChar w:fldCharType="end"/>
      </w:r>
      <w:r w:rsidR="00347066">
        <w:rPr>
          <w:rFonts w:ascii="Cambria" w:hAnsi="Cambria"/>
        </w:rPr>
        <w:t xml:space="preserve"> </w:t>
      </w:r>
      <w:r w:rsidRPr="00531789">
        <w:rPr>
          <w:rFonts w:ascii="Cambria" w:hAnsi="Cambria"/>
        </w:rPr>
        <w:t xml:space="preserve">using Type II ANOVA.  </w:t>
      </w:r>
      <w:r w:rsidRPr="00531789">
        <w:rPr>
          <w:rFonts w:ascii="Cambria" w:hAnsi="Cambria" w:cs="Arial"/>
          <w:sz w:val="23"/>
          <w:szCs w:val="23"/>
          <w:lang w:val="en-US"/>
        </w:rPr>
        <w:t>Logarithmic transformations were performed prior to analysis to satisfy the assumptions of ANOVA.</w:t>
      </w:r>
    </w:p>
    <w:p w14:paraId="03F9BA0A" w14:textId="77777777" w:rsidR="00DF4522" w:rsidRPr="00531789" w:rsidRDefault="00DF4522" w:rsidP="00DF4522">
      <w:pPr>
        <w:pStyle w:val="Heading2"/>
        <w:rPr>
          <w:rFonts w:ascii="Cambria" w:hAnsi="Cambria"/>
          <w:color w:val="auto"/>
        </w:rPr>
      </w:pPr>
      <w:bookmarkStart w:id="127" w:name="_Toc322267605"/>
      <w:bookmarkStart w:id="128" w:name="_Toc322267727"/>
      <w:bookmarkStart w:id="129" w:name="_Toc322267891"/>
      <w:bookmarkStart w:id="130" w:name="_Toc331253031"/>
      <w:r w:rsidRPr="00531789">
        <w:rPr>
          <w:rFonts w:ascii="Cambria" w:hAnsi="Cambria"/>
          <w:color w:val="auto"/>
        </w:rPr>
        <w:t>RESULTS</w:t>
      </w:r>
      <w:bookmarkEnd w:id="127"/>
      <w:bookmarkEnd w:id="128"/>
      <w:bookmarkEnd w:id="129"/>
      <w:bookmarkEnd w:id="130"/>
    </w:p>
    <w:p w14:paraId="1E62CAF5" w14:textId="77777777" w:rsidR="00DF4522" w:rsidRPr="00531789" w:rsidRDefault="00DF4522" w:rsidP="00DF4522">
      <w:pPr>
        <w:spacing w:line="360" w:lineRule="auto"/>
        <w:jc w:val="both"/>
        <w:rPr>
          <w:rFonts w:ascii="Cambria" w:hAnsi="Cambria" w:cs="Courier New"/>
          <w:b/>
        </w:rPr>
      </w:pPr>
    </w:p>
    <w:p w14:paraId="4F10CAC1" w14:textId="77777777" w:rsidR="00DF4522" w:rsidRPr="00531789" w:rsidRDefault="00DF4522" w:rsidP="00DF4522">
      <w:pPr>
        <w:spacing w:line="360" w:lineRule="auto"/>
        <w:jc w:val="both"/>
        <w:rPr>
          <w:rFonts w:ascii="Cambria" w:hAnsi="Cambria"/>
          <w:b/>
        </w:rPr>
      </w:pPr>
      <w:r w:rsidRPr="00531789">
        <w:rPr>
          <w:rFonts w:ascii="Cambria" w:hAnsi="Cambria"/>
          <w:b/>
        </w:rPr>
        <w:t>Nitrogen uptake</w:t>
      </w:r>
    </w:p>
    <w:p w14:paraId="523F3F54" w14:textId="77777777" w:rsidR="00DF4522" w:rsidRPr="00531789" w:rsidRDefault="00DF4522" w:rsidP="00DF4522">
      <w:pPr>
        <w:spacing w:line="360" w:lineRule="auto"/>
        <w:jc w:val="both"/>
        <w:rPr>
          <w:rFonts w:ascii="Cambria" w:hAnsi="Cambria"/>
          <w:b/>
        </w:rPr>
      </w:pPr>
    </w:p>
    <w:p w14:paraId="5F6D64F6" w14:textId="77777777" w:rsidR="00DF4522" w:rsidRDefault="00DF4522" w:rsidP="00DF4522">
      <w:pPr>
        <w:spacing w:line="360" w:lineRule="auto"/>
        <w:jc w:val="both"/>
        <w:rPr>
          <w:rFonts w:ascii="Cambria" w:hAnsi="Cambria"/>
        </w:rPr>
      </w:pPr>
      <w:r w:rsidRPr="00531789">
        <w:rPr>
          <w:rFonts w:ascii="Cambria" w:hAnsi="Cambria"/>
        </w:rPr>
        <w:t>Net nitrogen uptake (Fig. 1) increases significantly with increasing nitrogen treatment (F</w:t>
      </w:r>
      <w:r w:rsidRPr="00531789">
        <w:rPr>
          <w:rFonts w:ascii="Cambria" w:hAnsi="Cambria"/>
          <w:vertAlign w:val="subscript"/>
        </w:rPr>
        <w:t>(2,10)</w:t>
      </w:r>
      <w:r>
        <w:rPr>
          <w:rFonts w:ascii="Cambria" w:hAnsi="Cambria"/>
        </w:rPr>
        <w:t xml:space="preserve"> = 54.6, p&lt;</w:t>
      </w:r>
      <w:r w:rsidRPr="00531789">
        <w:rPr>
          <w:rFonts w:ascii="Cambria" w:hAnsi="Cambria"/>
        </w:rPr>
        <w:t xml:space="preserve">0.001), in accordance with the hypothesis that both species will increase nitrogen uptake as nitrogen treatment increases.  Uptake was measured by feeding </w:t>
      </w:r>
      <w:r w:rsidRPr="00531789">
        <w:rPr>
          <w:rFonts w:ascii="Cambria" w:hAnsi="Cambria"/>
          <w:vertAlign w:val="superscript"/>
        </w:rPr>
        <w:t>15</w:t>
      </w:r>
      <w:r w:rsidRPr="00531789">
        <w:rPr>
          <w:rFonts w:ascii="Cambria" w:hAnsi="Cambria"/>
        </w:rPr>
        <w:t xml:space="preserve">N-labelled nitrate and measuring the </w:t>
      </w:r>
      <w:r w:rsidRPr="00531789">
        <w:rPr>
          <w:rFonts w:ascii="Cambria" w:hAnsi="Cambria"/>
          <w:vertAlign w:val="superscript"/>
        </w:rPr>
        <w:t>15</w:t>
      </w:r>
      <w:r w:rsidRPr="00531789">
        <w:rPr>
          <w:rFonts w:ascii="Cambria" w:hAnsi="Cambria"/>
        </w:rPr>
        <w:t>N:</w:t>
      </w:r>
      <w:r w:rsidRPr="00531789">
        <w:rPr>
          <w:rFonts w:ascii="Cambria" w:hAnsi="Cambria"/>
          <w:vertAlign w:val="superscript"/>
        </w:rPr>
        <w:t>14</w:t>
      </w:r>
      <w:r w:rsidRPr="00531789">
        <w:rPr>
          <w:rFonts w:ascii="Cambria" w:hAnsi="Cambria"/>
        </w:rPr>
        <w:t xml:space="preserve">N ratio in harvested plant material.  There is no significant species effect (either </w:t>
      </w:r>
      <w:r>
        <w:rPr>
          <w:rFonts w:ascii="Cambria" w:hAnsi="Cambria"/>
        </w:rPr>
        <w:t>main effect or interaction, p&gt;</w:t>
      </w:r>
      <w:r w:rsidRPr="00531789">
        <w:rPr>
          <w:rFonts w:ascii="Cambria" w:hAnsi="Cambria"/>
        </w:rPr>
        <w:t xml:space="preserve">0.5 in each case) on net nitrogen uptake (Fig. 1). </w:t>
      </w:r>
    </w:p>
    <w:p w14:paraId="02C71D58" w14:textId="77777777" w:rsidR="00DF4522" w:rsidRDefault="00DF4522" w:rsidP="00DF4522">
      <w:pPr>
        <w:spacing w:line="360" w:lineRule="auto"/>
        <w:jc w:val="both"/>
        <w:rPr>
          <w:rFonts w:ascii="Cambria" w:hAnsi="Cambria"/>
        </w:rPr>
      </w:pPr>
    </w:p>
    <w:p w14:paraId="2BBD62A1" w14:textId="77777777" w:rsidR="00DF4522" w:rsidRDefault="00DF4522" w:rsidP="00DF4522">
      <w:pPr>
        <w:spacing w:line="360" w:lineRule="auto"/>
        <w:jc w:val="both"/>
        <w:rPr>
          <w:rFonts w:ascii="Cambria" w:hAnsi="Cambria"/>
        </w:rPr>
      </w:pPr>
      <w:r w:rsidRPr="006E0EEA">
        <w:rPr>
          <w:noProof/>
          <w:lang w:val="en-US"/>
        </w:rPr>
        <w:drawing>
          <wp:anchor distT="0" distB="0" distL="114300" distR="114300" simplePos="0" relativeHeight="251745280" behindDoc="0" locked="0" layoutInCell="1" allowOverlap="1" wp14:anchorId="3C60DEE8" wp14:editId="6B54417F">
            <wp:simplePos x="0" y="0"/>
            <wp:positionH relativeFrom="column">
              <wp:posOffset>685800</wp:posOffset>
            </wp:positionH>
            <wp:positionV relativeFrom="paragraph">
              <wp:posOffset>252095</wp:posOffset>
            </wp:positionV>
            <wp:extent cx="3538855" cy="2656840"/>
            <wp:effectExtent l="0" t="0" r="0" b="10160"/>
            <wp:wrapThrough wrapText="bothSides">
              <wp:wrapPolygon edited="0">
                <wp:start x="0" y="0"/>
                <wp:lineTo x="0" y="21476"/>
                <wp:lineTo x="21395" y="21476"/>
                <wp:lineTo x="21395" y="0"/>
                <wp:lineTo x="0" y="0"/>
              </wp:wrapPolygon>
            </wp:wrapThrough>
            <wp:docPr id="42" name="Picture 42" descr="Macintosh HD:Users:angie:Dropbox:University of Sheffield:Publishing:Nitrogen Barley 2015 Research Paper:Figures:Figure 1 N upta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gie:Dropbox:University of Sheffield:Publishing:Nitrogen Barley 2015 Research Paper:Figures:Figure 1 N uptake.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38855" cy="2656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7D9408" w14:textId="77777777" w:rsidR="00DF4522" w:rsidRDefault="00DF4522" w:rsidP="00DF4522">
      <w:pPr>
        <w:spacing w:line="360" w:lineRule="auto"/>
        <w:jc w:val="both"/>
        <w:rPr>
          <w:rFonts w:ascii="Cambria" w:hAnsi="Cambria"/>
        </w:rPr>
      </w:pPr>
    </w:p>
    <w:p w14:paraId="3BA4C3B5" w14:textId="77777777" w:rsidR="00DF4522" w:rsidRDefault="00DF4522" w:rsidP="00DF4522">
      <w:pPr>
        <w:spacing w:line="360" w:lineRule="auto"/>
        <w:jc w:val="both"/>
        <w:rPr>
          <w:rFonts w:ascii="Cambria" w:hAnsi="Cambria"/>
        </w:rPr>
      </w:pPr>
    </w:p>
    <w:p w14:paraId="3AF4D790" w14:textId="77777777" w:rsidR="00DF4522" w:rsidRDefault="00DF4522" w:rsidP="00DF4522">
      <w:pPr>
        <w:spacing w:line="360" w:lineRule="auto"/>
        <w:jc w:val="both"/>
        <w:rPr>
          <w:rFonts w:ascii="Cambria" w:hAnsi="Cambria"/>
        </w:rPr>
      </w:pPr>
    </w:p>
    <w:p w14:paraId="5DFE7CDD" w14:textId="77777777" w:rsidR="00DF4522" w:rsidRDefault="00DF4522" w:rsidP="00DF4522">
      <w:pPr>
        <w:spacing w:line="360" w:lineRule="auto"/>
        <w:jc w:val="both"/>
        <w:rPr>
          <w:rFonts w:ascii="Cambria" w:hAnsi="Cambria"/>
        </w:rPr>
      </w:pPr>
    </w:p>
    <w:p w14:paraId="0709040E" w14:textId="77777777" w:rsidR="00DF4522" w:rsidRDefault="00DF4522" w:rsidP="00DF4522">
      <w:pPr>
        <w:spacing w:line="360" w:lineRule="auto"/>
        <w:jc w:val="both"/>
        <w:rPr>
          <w:rFonts w:ascii="Cambria" w:hAnsi="Cambria"/>
        </w:rPr>
      </w:pPr>
    </w:p>
    <w:p w14:paraId="7FED316C" w14:textId="77777777" w:rsidR="00DF4522" w:rsidRDefault="00DF4522" w:rsidP="00DF4522">
      <w:pPr>
        <w:spacing w:line="360" w:lineRule="auto"/>
        <w:jc w:val="both"/>
        <w:rPr>
          <w:rFonts w:ascii="Cambria" w:hAnsi="Cambria"/>
        </w:rPr>
      </w:pPr>
    </w:p>
    <w:p w14:paraId="498E001C" w14:textId="77777777" w:rsidR="00DF4522" w:rsidRDefault="00DF4522" w:rsidP="00DF4522">
      <w:pPr>
        <w:spacing w:line="360" w:lineRule="auto"/>
        <w:jc w:val="both"/>
        <w:rPr>
          <w:rFonts w:ascii="Cambria" w:hAnsi="Cambria"/>
        </w:rPr>
      </w:pPr>
    </w:p>
    <w:p w14:paraId="67A70005" w14:textId="77777777" w:rsidR="00DF4522" w:rsidRDefault="00DF4522" w:rsidP="00DF4522">
      <w:pPr>
        <w:spacing w:line="360" w:lineRule="auto"/>
        <w:jc w:val="both"/>
        <w:rPr>
          <w:rFonts w:ascii="Cambria" w:hAnsi="Cambria"/>
        </w:rPr>
      </w:pPr>
    </w:p>
    <w:p w14:paraId="0CB8B575" w14:textId="77777777" w:rsidR="00DF4522" w:rsidRDefault="00DF4522" w:rsidP="00DF4522">
      <w:pPr>
        <w:spacing w:line="360" w:lineRule="auto"/>
        <w:jc w:val="both"/>
        <w:rPr>
          <w:rFonts w:ascii="Cambria" w:hAnsi="Cambria"/>
        </w:rPr>
      </w:pPr>
    </w:p>
    <w:p w14:paraId="251603BA" w14:textId="77777777" w:rsidR="00DF4522" w:rsidRDefault="00DF4522" w:rsidP="00DF4522">
      <w:pPr>
        <w:spacing w:line="360" w:lineRule="auto"/>
        <w:jc w:val="both"/>
        <w:rPr>
          <w:rFonts w:ascii="Cambria" w:hAnsi="Cambria"/>
        </w:rPr>
      </w:pPr>
    </w:p>
    <w:p w14:paraId="5899AF37" w14:textId="77777777" w:rsidR="00DF4522" w:rsidRDefault="00DF4522" w:rsidP="00DF4522">
      <w:pPr>
        <w:jc w:val="both"/>
        <w:rPr>
          <w:b/>
        </w:rPr>
      </w:pPr>
    </w:p>
    <w:p w14:paraId="1AE3B71C" w14:textId="77777777" w:rsidR="00DF4522" w:rsidRPr="00FF5C63" w:rsidRDefault="00DF4522" w:rsidP="00DF4522">
      <w:pPr>
        <w:jc w:val="both"/>
        <w:rPr>
          <w:rFonts w:ascii="Cambria" w:hAnsi="Cambria" w:cs="font652"/>
          <w:sz w:val="20"/>
          <w:szCs w:val="20"/>
          <w:lang w:val="en-US"/>
        </w:rPr>
      </w:pPr>
      <w:r w:rsidRPr="00FF5C63">
        <w:rPr>
          <w:b/>
          <w:sz w:val="20"/>
          <w:szCs w:val="20"/>
        </w:rPr>
        <w:t xml:space="preserve">Figure 1.  </w:t>
      </w:r>
      <w:r w:rsidRPr="00FF5C63">
        <w:rPr>
          <w:sz w:val="20"/>
          <w:szCs w:val="20"/>
        </w:rPr>
        <w:t xml:space="preserve">Net nitrogen uptake rate of annual (filled circles, solid line) and perennial barley (hollow circles, dashed line) increases with nitrogen treatment level.  Uptake was measured over 24 hours before harvesting plants at 6 weeks old.  Data show </w:t>
      </w:r>
      <w:r w:rsidRPr="00FF5C63">
        <w:rPr>
          <w:rFonts w:ascii="Cambria" w:hAnsi="Cambria"/>
          <w:sz w:val="20"/>
          <w:szCs w:val="20"/>
        </w:rPr>
        <w:t xml:space="preserve">mean </w:t>
      </w:r>
      <w:r w:rsidRPr="00FF5C63">
        <w:rPr>
          <w:rFonts w:ascii="Cambria" w:hAnsi="Cambria" w:cs="font652"/>
          <w:sz w:val="20"/>
          <w:szCs w:val="20"/>
          <w:lang w:val="en-US"/>
        </w:rPr>
        <w:t>± SE (n=3).</w:t>
      </w:r>
    </w:p>
    <w:p w14:paraId="2CF476C1" w14:textId="77777777" w:rsidR="00DF4522" w:rsidRDefault="00DF4522" w:rsidP="00DF4522">
      <w:pPr>
        <w:jc w:val="both"/>
      </w:pPr>
    </w:p>
    <w:p w14:paraId="397C8BD3" w14:textId="77777777" w:rsidR="00DF4522" w:rsidRDefault="00DF4522" w:rsidP="00DF4522">
      <w:pPr>
        <w:jc w:val="both"/>
      </w:pPr>
    </w:p>
    <w:p w14:paraId="7A0D02F4" w14:textId="77777777" w:rsidR="00DF4522" w:rsidRDefault="00DF4522" w:rsidP="00DF4522">
      <w:pPr>
        <w:spacing w:line="360" w:lineRule="auto"/>
        <w:jc w:val="both"/>
        <w:rPr>
          <w:rFonts w:ascii="Cambria" w:hAnsi="Cambria"/>
        </w:rPr>
      </w:pPr>
    </w:p>
    <w:p w14:paraId="60373AA8" w14:textId="77777777" w:rsidR="00DF4522" w:rsidRPr="00531789" w:rsidRDefault="00DF4522" w:rsidP="00DF4522">
      <w:pPr>
        <w:spacing w:line="360" w:lineRule="auto"/>
        <w:jc w:val="both"/>
        <w:rPr>
          <w:rFonts w:ascii="Cambria" w:hAnsi="Cambria"/>
          <w:b/>
        </w:rPr>
      </w:pPr>
      <w:r w:rsidRPr="00531789">
        <w:rPr>
          <w:rFonts w:ascii="Cambria" w:hAnsi="Cambria"/>
          <w:b/>
        </w:rPr>
        <w:t>Growth and allocation</w:t>
      </w:r>
    </w:p>
    <w:p w14:paraId="41D22E26" w14:textId="77777777" w:rsidR="00DF4522" w:rsidRPr="00531789" w:rsidRDefault="00DF4522" w:rsidP="00DF4522">
      <w:pPr>
        <w:spacing w:line="360" w:lineRule="auto"/>
        <w:jc w:val="both"/>
        <w:rPr>
          <w:rFonts w:ascii="Cambria" w:hAnsi="Cambria"/>
        </w:rPr>
      </w:pPr>
    </w:p>
    <w:p w14:paraId="6F24F8E1" w14:textId="671D3857" w:rsidR="00DF4522" w:rsidRDefault="00DF4522" w:rsidP="00DF4522">
      <w:pPr>
        <w:spacing w:line="360" w:lineRule="auto"/>
        <w:jc w:val="both"/>
        <w:rPr>
          <w:rFonts w:ascii="Cambria" w:hAnsi="Cambria"/>
        </w:rPr>
      </w:pPr>
      <w:r w:rsidRPr="00531789">
        <w:rPr>
          <w:rFonts w:ascii="Cambria" w:hAnsi="Cambria"/>
        </w:rPr>
        <w:t>Relative growth rate (RGR)</w:t>
      </w:r>
      <w:r w:rsidR="008052F9" w:rsidRPr="00531789" w:rsidDel="008052F9">
        <w:rPr>
          <w:rFonts w:ascii="Cambria" w:hAnsi="Cambria"/>
        </w:rPr>
        <w:t xml:space="preserve"> </w:t>
      </w:r>
      <w:r w:rsidR="008052F9">
        <w:rPr>
          <w:rFonts w:ascii="Cambria" w:hAnsi="Cambria"/>
        </w:rPr>
        <w:t xml:space="preserve"> </w:t>
      </w:r>
      <w:r w:rsidRPr="00531789">
        <w:rPr>
          <w:rFonts w:ascii="Cambria" w:hAnsi="Cambria"/>
        </w:rPr>
        <w:t xml:space="preserve">is consistently higher </w:t>
      </w:r>
      <w:r w:rsidR="008052F9">
        <w:rPr>
          <w:rFonts w:ascii="Cambria" w:hAnsi="Cambria"/>
        </w:rPr>
        <w:t xml:space="preserve">in </w:t>
      </w:r>
      <w:r w:rsidRPr="00531789">
        <w:rPr>
          <w:rFonts w:ascii="Cambria" w:hAnsi="Cambria"/>
        </w:rPr>
        <w:t>annual than in perennial barley, supporting the hypothesis that the annual invests more resources in growth than the perennial, even at low nitrogen</w:t>
      </w:r>
      <w:r w:rsidR="008052F9">
        <w:rPr>
          <w:rFonts w:ascii="Cambria" w:hAnsi="Cambria"/>
        </w:rPr>
        <w:t xml:space="preserve"> (significant effect of species: F</w:t>
      </w:r>
      <w:r w:rsidR="008052F9" w:rsidRPr="00837CA5">
        <w:rPr>
          <w:rFonts w:ascii="Cambria" w:hAnsi="Cambria"/>
          <w:vertAlign w:val="subscript"/>
        </w:rPr>
        <w:t>(1,11)</w:t>
      </w:r>
      <w:r w:rsidR="008052F9">
        <w:rPr>
          <w:rFonts w:ascii="Cambria" w:hAnsi="Cambria"/>
        </w:rPr>
        <w:t xml:space="preserve"> = 0.0097, p&lt;0.01)</w:t>
      </w:r>
      <w:r w:rsidRPr="00531789">
        <w:rPr>
          <w:rFonts w:ascii="Cambria" w:hAnsi="Cambria"/>
        </w:rPr>
        <w:t xml:space="preserve">.  </w:t>
      </w:r>
      <w:r w:rsidR="008052F9">
        <w:rPr>
          <w:rFonts w:ascii="Cambria" w:hAnsi="Cambria"/>
        </w:rPr>
        <w:t xml:space="preserve">However, this effect decreases as nitrogen treatment increases.  </w:t>
      </w:r>
      <w:r w:rsidRPr="00531789">
        <w:rPr>
          <w:rFonts w:ascii="Cambria" w:hAnsi="Cambria"/>
        </w:rPr>
        <w:t xml:space="preserve">Peak RGR is </w:t>
      </w:r>
      <w:r w:rsidR="008052F9">
        <w:rPr>
          <w:rFonts w:ascii="Cambria" w:hAnsi="Cambria"/>
        </w:rPr>
        <w:t>375</w:t>
      </w:r>
      <w:r w:rsidRPr="00531789">
        <w:rPr>
          <w:rFonts w:ascii="Cambria" w:hAnsi="Cambria"/>
        </w:rPr>
        <w:t xml:space="preserve">% higher in the annual than in the perennial at 1% nitrogen, </w:t>
      </w:r>
      <w:r w:rsidR="008052F9">
        <w:rPr>
          <w:rFonts w:ascii="Cambria" w:hAnsi="Cambria"/>
        </w:rPr>
        <w:t>132</w:t>
      </w:r>
      <w:r w:rsidRPr="00531789">
        <w:rPr>
          <w:rFonts w:ascii="Cambria" w:hAnsi="Cambria"/>
        </w:rPr>
        <w:t xml:space="preserve">% higher at 20% nitrogen, and </w:t>
      </w:r>
      <w:r w:rsidR="008052F9">
        <w:rPr>
          <w:rFonts w:ascii="Cambria" w:hAnsi="Cambria"/>
        </w:rPr>
        <w:t>51</w:t>
      </w:r>
      <w:r w:rsidRPr="00531789">
        <w:rPr>
          <w:rFonts w:ascii="Cambria" w:hAnsi="Cambria"/>
        </w:rPr>
        <w:t>% higher at 100% nitrogen.  In accordance with the hypothesis that both species will show an increase in growth rate with increasing nitrogen treatment, RGR increases</w:t>
      </w:r>
      <w:r w:rsidR="008052F9">
        <w:rPr>
          <w:rFonts w:ascii="Cambria" w:hAnsi="Cambria"/>
        </w:rPr>
        <w:t xml:space="preserve"> significantly</w:t>
      </w:r>
      <w:r w:rsidRPr="00531789">
        <w:rPr>
          <w:rFonts w:ascii="Cambria" w:hAnsi="Cambria"/>
        </w:rPr>
        <w:t xml:space="preserve"> in annual and perennial barley when nitrogen treatment is</w:t>
      </w:r>
      <w:r w:rsidR="008052F9">
        <w:rPr>
          <w:rFonts w:ascii="Cambria" w:hAnsi="Cambria"/>
        </w:rPr>
        <w:t xml:space="preserve"> increased (F</w:t>
      </w:r>
      <w:r w:rsidR="008052F9" w:rsidRPr="00837CA5">
        <w:rPr>
          <w:rFonts w:ascii="Cambria" w:hAnsi="Cambria"/>
          <w:vertAlign w:val="subscript"/>
        </w:rPr>
        <w:t>(1,12)</w:t>
      </w:r>
      <w:r w:rsidR="008052F9">
        <w:rPr>
          <w:rFonts w:ascii="Cambria" w:hAnsi="Cambria"/>
        </w:rPr>
        <w:t xml:space="preserve"> = </w:t>
      </w:r>
      <w:r w:rsidR="008052F9" w:rsidRPr="00531789">
        <w:rPr>
          <w:rFonts w:ascii="Cambria" w:hAnsi="Cambria"/>
        </w:rPr>
        <w:t xml:space="preserve"> </w:t>
      </w:r>
      <w:r w:rsidR="008052F9">
        <w:rPr>
          <w:rFonts w:ascii="Cambria" w:hAnsi="Cambria"/>
        </w:rPr>
        <w:t xml:space="preserve">0.0072, p&lt;0.01).  However, </w:t>
      </w:r>
      <w:r w:rsidRPr="00531789">
        <w:rPr>
          <w:rFonts w:ascii="Cambria" w:hAnsi="Cambria"/>
        </w:rPr>
        <w:t xml:space="preserve">RGR shows a much greater relative increase in the perennial than the annual when nitrogen treatment is increased (Fig. 3): peak RGR in the perennial increases </w:t>
      </w:r>
      <w:r w:rsidR="008052F9">
        <w:rPr>
          <w:rFonts w:ascii="Cambria" w:hAnsi="Cambria"/>
        </w:rPr>
        <w:t>by 287</w:t>
      </w:r>
      <w:r w:rsidRPr="00531789">
        <w:rPr>
          <w:rFonts w:ascii="Cambria" w:hAnsi="Cambria"/>
        </w:rPr>
        <w:t xml:space="preserve">% between 1% and 20% nitrogen, </w:t>
      </w:r>
      <w:r w:rsidR="008052F9">
        <w:rPr>
          <w:rFonts w:ascii="Cambria" w:hAnsi="Cambria"/>
        </w:rPr>
        <w:t>and 77</w:t>
      </w:r>
      <w:r w:rsidRPr="00531789">
        <w:rPr>
          <w:rFonts w:ascii="Cambria" w:hAnsi="Cambria"/>
        </w:rPr>
        <w:t>% between 20% and 100% nitrogen, whereas peak RGR in the annual increases</w:t>
      </w:r>
      <w:r w:rsidR="008052F9">
        <w:rPr>
          <w:rFonts w:ascii="Cambria" w:hAnsi="Cambria"/>
        </w:rPr>
        <w:t xml:space="preserve"> by</w:t>
      </w:r>
      <w:r w:rsidRPr="00531789">
        <w:rPr>
          <w:rFonts w:ascii="Cambria" w:hAnsi="Cambria"/>
        </w:rPr>
        <w:t xml:space="preserve"> </w:t>
      </w:r>
      <w:r w:rsidR="008052F9">
        <w:rPr>
          <w:rFonts w:ascii="Cambria" w:hAnsi="Cambria"/>
        </w:rPr>
        <w:t>89</w:t>
      </w:r>
      <w:r w:rsidRPr="00531789">
        <w:rPr>
          <w:rFonts w:ascii="Cambria" w:hAnsi="Cambria"/>
        </w:rPr>
        <w:t xml:space="preserve">% between 1% and 20% nitrogen, </w:t>
      </w:r>
      <w:r w:rsidR="008052F9">
        <w:rPr>
          <w:rFonts w:ascii="Cambria" w:hAnsi="Cambria"/>
        </w:rPr>
        <w:t>and 15</w:t>
      </w:r>
      <w:r w:rsidRPr="00531789">
        <w:rPr>
          <w:rFonts w:ascii="Cambria" w:hAnsi="Cambria"/>
        </w:rPr>
        <w:t>% between 20% and 100% nitrogen</w:t>
      </w:r>
      <w:r w:rsidR="008052F9">
        <w:rPr>
          <w:rFonts w:ascii="Cambria" w:hAnsi="Cambria"/>
        </w:rPr>
        <w:t>.</w:t>
      </w:r>
    </w:p>
    <w:p w14:paraId="786CD1E3" w14:textId="77777777" w:rsidR="00DF4522" w:rsidRDefault="00DF4522" w:rsidP="00DF4522">
      <w:pPr>
        <w:spacing w:line="360" w:lineRule="auto"/>
        <w:jc w:val="both"/>
        <w:rPr>
          <w:rFonts w:ascii="Cambria" w:hAnsi="Cambria"/>
        </w:rPr>
      </w:pPr>
    </w:p>
    <w:p w14:paraId="01BCDEF0" w14:textId="77777777" w:rsidR="00DF4522" w:rsidRDefault="00DF4522" w:rsidP="00DF4522">
      <w:pPr>
        <w:spacing w:line="360" w:lineRule="auto"/>
        <w:jc w:val="both"/>
        <w:rPr>
          <w:rFonts w:ascii="Cambria" w:hAnsi="Cambria"/>
        </w:rPr>
      </w:pPr>
    </w:p>
    <w:p w14:paraId="45C15F33" w14:textId="77777777" w:rsidR="00DF4522" w:rsidRDefault="00DF4522" w:rsidP="00DF4522">
      <w:pPr>
        <w:spacing w:line="360" w:lineRule="auto"/>
        <w:jc w:val="both"/>
        <w:rPr>
          <w:rFonts w:ascii="Cambria" w:hAnsi="Cambria"/>
        </w:rPr>
      </w:pPr>
    </w:p>
    <w:p w14:paraId="266E0258" w14:textId="6707470E" w:rsidR="00DF4522" w:rsidRDefault="00DF4522" w:rsidP="00DF4522">
      <w:pPr>
        <w:spacing w:line="360" w:lineRule="auto"/>
        <w:jc w:val="both"/>
        <w:rPr>
          <w:rFonts w:ascii="Cambria" w:hAnsi="Cambria"/>
        </w:rPr>
      </w:pPr>
      <w:r>
        <w:rPr>
          <w:rFonts w:ascii="Cambria" w:hAnsi="Cambria"/>
        </w:rPr>
        <w:t xml:space="preserve">               </w:t>
      </w:r>
    </w:p>
    <w:p w14:paraId="655CBA24" w14:textId="1D3DE20B" w:rsidR="00DF4522" w:rsidRDefault="00DF4522" w:rsidP="00DF4522">
      <w:pPr>
        <w:spacing w:line="360" w:lineRule="auto"/>
        <w:jc w:val="both"/>
        <w:rPr>
          <w:rFonts w:ascii="Cambria" w:hAnsi="Cambria"/>
        </w:rPr>
      </w:pPr>
      <w:r>
        <w:rPr>
          <w:rFonts w:ascii="Cambria" w:hAnsi="Cambria"/>
        </w:rPr>
        <w:t xml:space="preserve">               </w:t>
      </w:r>
      <w:r w:rsidR="00197677" w:rsidRPr="005C037F">
        <w:rPr>
          <w:rFonts w:ascii="Cambria" w:hAnsi="Cambria"/>
          <w:noProof/>
          <w:lang w:val="en-US"/>
        </w:rPr>
        <w:drawing>
          <wp:inline distT="0" distB="0" distL="0" distR="0" wp14:anchorId="14252983" wp14:editId="65DFF7DD">
            <wp:extent cx="4179885" cy="3130843"/>
            <wp:effectExtent l="0" t="0" r="11430" b="0"/>
            <wp:docPr id="64" name="Picture 64" descr="Macintosh HD:Users:angie:Desktop:Nitrogen RG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gie:Desktop:Nitrogen RGR.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79971" cy="3130907"/>
                    </a:xfrm>
                    <a:prstGeom prst="rect">
                      <a:avLst/>
                    </a:prstGeom>
                    <a:noFill/>
                    <a:ln>
                      <a:noFill/>
                    </a:ln>
                  </pic:spPr>
                </pic:pic>
              </a:graphicData>
            </a:graphic>
          </wp:inline>
        </w:drawing>
      </w:r>
    </w:p>
    <w:p w14:paraId="315DDE8E" w14:textId="6A15806F" w:rsidR="00DF4522" w:rsidRDefault="00DF4522" w:rsidP="00DF4522">
      <w:pPr>
        <w:spacing w:line="360" w:lineRule="auto"/>
        <w:jc w:val="both"/>
        <w:rPr>
          <w:rFonts w:ascii="Cambria" w:hAnsi="Cambria"/>
        </w:rPr>
      </w:pPr>
      <w:r>
        <w:rPr>
          <w:rFonts w:ascii="Cambria" w:hAnsi="Cambria"/>
        </w:rPr>
        <w:t xml:space="preserve">               </w:t>
      </w:r>
    </w:p>
    <w:p w14:paraId="792FC181" w14:textId="00C91AF7" w:rsidR="00DF4522" w:rsidRPr="00045C6E" w:rsidRDefault="00DF4522" w:rsidP="00DF4522">
      <w:pPr>
        <w:tabs>
          <w:tab w:val="left" w:pos="1911"/>
          <w:tab w:val="left" w:pos="8080"/>
        </w:tabs>
        <w:jc w:val="both"/>
        <w:rPr>
          <w:sz w:val="20"/>
          <w:szCs w:val="20"/>
        </w:rPr>
      </w:pPr>
      <w:r w:rsidRPr="00045C6E">
        <w:rPr>
          <w:b/>
          <w:sz w:val="20"/>
          <w:szCs w:val="20"/>
        </w:rPr>
        <w:t xml:space="preserve">Figure 2.  </w:t>
      </w:r>
      <w:r w:rsidRPr="00045C6E">
        <w:rPr>
          <w:sz w:val="20"/>
          <w:szCs w:val="20"/>
        </w:rPr>
        <w:t>Relative growth rate (RGR, g g</w:t>
      </w:r>
      <w:r w:rsidRPr="00045C6E">
        <w:rPr>
          <w:sz w:val="20"/>
          <w:szCs w:val="20"/>
          <w:vertAlign w:val="superscript"/>
        </w:rPr>
        <w:t>-1</w:t>
      </w:r>
      <w:r w:rsidRPr="00045C6E">
        <w:rPr>
          <w:sz w:val="20"/>
          <w:szCs w:val="20"/>
        </w:rPr>
        <w:t xml:space="preserve"> day</w:t>
      </w:r>
      <w:r w:rsidRPr="00045C6E">
        <w:rPr>
          <w:sz w:val="20"/>
          <w:szCs w:val="20"/>
          <w:vertAlign w:val="superscript"/>
        </w:rPr>
        <w:t>-1</w:t>
      </w:r>
      <w:r w:rsidRPr="00045C6E">
        <w:rPr>
          <w:sz w:val="20"/>
          <w:szCs w:val="20"/>
        </w:rPr>
        <w:t>) is greater in annual (solid line) than perennial (dashed line) barley</w:t>
      </w:r>
      <w:r w:rsidR="008052F9">
        <w:rPr>
          <w:sz w:val="20"/>
          <w:szCs w:val="20"/>
        </w:rPr>
        <w:t xml:space="preserve"> and increases with nitrogen treatment</w:t>
      </w:r>
      <w:r w:rsidRPr="00045C6E">
        <w:rPr>
          <w:sz w:val="20"/>
          <w:szCs w:val="20"/>
        </w:rPr>
        <w:t>.</w:t>
      </w:r>
      <w:r w:rsidR="008052F9">
        <w:rPr>
          <w:sz w:val="20"/>
          <w:szCs w:val="20"/>
        </w:rPr>
        <w:t xml:space="preserve">  </w:t>
      </w:r>
      <w:r w:rsidR="00197677">
        <w:rPr>
          <w:sz w:val="20"/>
          <w:szCs w:val="20"/>
        </w:rPr>
        <w:t xml:space="preserve">Data are from plants harvested 28 and 42 days after germination.  Data show mean </w:t>
      </w:r>
      <w:r w:rsidR="00197677" w:rsidRPr="00CE384C">
        <w:rPr>
          <w:rFonts w:ascii="Cambria" w:hAnsi="Cambria" w:cs="font652"/>
          <w:sz w:val="20"/>
          <w:szCs w:val="20"/>
          <w:lang w:val="en-US"/>
        </w:rPr>
        <w:t xml:space="preserve">± </w:t>
      </w:r>
      <w:r w:rsidR="00197677">
        <w:rPr>
          <w:rFonts w:ascii="Cambria" w:hAnsi="Cambria" w:cs="font652"/>
          <w:sz w:val="20"/>
          <w:szCs w:val="20"/>
          <w:lang w:val="en-US"/>
        </w:rPr>
        <w:t xml:space="preserve"> SE (for annuals, n = 5, 6, 4, and for perennials, n = 1, 3 </w:t>
      </w:r>
      <w:proofErr w:type="spellStart"/>
      <w:r w:rsidR="00197677">
        <w:rPr>
          <w:rFonts w:ascii="Cambria" w:hAnsi="Cambria" w:cs="font652"/>
          <w:sz w:val="20"/>
          <w:szCs w:val="20"/>
          <w:lang w:val="en-US"/>
        </w:rPr>
        <w:t>3</w:t>
      </w:r>
      <w:proofErr w:type="spellEnd"/>
      <w:r w:rsidR="00197677">
        <w:rPr>
          <w:rFonts w:ascii="Cambria" w:hAnsi="Cambria" w:cs="font652"/>
          <w:sz w:val="20"/>
          <w:szCs w:val="20"/>
          <w:lang w:val="en-US"/>
        </w:rPr>
        <w:t xml:space="preserve"> at 1, 20 and 100% nitrogen respectively).</w:t>
      </w:r>
      <w:r w:rsidRPr="00045C6E">
        <w:rPr>
          <w:sz w:val="20"/>
          <w:szCs w:val="20"/>
        </w:rPr>
        <w:t xml:space="preserve">  </w:t>
      </w:r>
    </w:p>
    <w:p w14:paraId="0BB5EA48" w14:textId="77777777" w:rsidR="0052480D" w:rsidRDefault="0052480D" w:rsidP="00DF4522">
      <w:pPr>
        <w:spacing w:line="360" w:lineRule="auto"/>
        <w:jc w:val="both"/>
        <w:rPr>
          <w:rFonts w:ascii="Cambria" w:hAnsi="Cambria"/>
        </w:rPr>
      </w:pPr>
    </w:p>
    <w:p w14:paraId="5CE980C1" w14:textId="77777777" w:rsidR="0052480D" w:rsidRDefault="0052480D" w:rsidP="00DF4522">
      <w:pPr>
        <w:spacing w:line="360" w:lineRule="auto"/>
        <w:jc w:val="both"/>
        <w:rPr>
          <w:rFonts w:ascii="Cambria" w:hAnsi="Cambria"/>
        </w:rPr>
      </w:pPr>
    </w:p>
    <w:p w14:paraId="381F5C7D" w14:textId="79314D69" w:rsidR="00DF4522" w:rsidRDefault="0052480D" w:rsidP="00DF4522">
      <w:pPr>
        <w:spacing w:line="360" w:lineRule="auto"/>
        <w:jc w:val="both"/>
        <w:rPr>
          <w:rFonts w:ascii="Cambria" w:hAnsi="Cambria"/>
        </w:rPr>
      </w:pPr>
      <w:r w:rsidRPr="005C037F">
        <w:rPr>
          <w:rFonts w:ascii="Cambria" w:hAnsi="Cambria"/>
          <w:noProof/>
          <w:lang w:val="en-US"/>
        </w:rPr>
        <w:drawing>
          <wp:anchor distT="0" distB="0" distL="114300" distR="114300" simplePos="0" relativeHeight="251787264" behindDoc="0" locked="0" layoutInCell="1" allowOverlap="1" wp14:anchorId="7FA9E7A0" wp14:editId="7373C06F">
            <wp:simplePos x="0" y="0"/>
            <wp:positionH relativeFrom="column">
              <wp:posOffset>1257300</wp:posOffset>
            </wp:positionH>
            <wp:positionV relativeFrom="paragraph">
              <wp:posOffset>205740</wp:posOffset>
            </wp:positionV>
            <wp:extent cx="3039110" cy="3039110"/>
            <wp:effectExtent l="0" t="0" r="8890" b="8890"/>
            <wp:wrapThrough wrapText="bothSides">
              <wp:wrapPolygon edited="0">
                <wp:start x="0" y="0"/>
                <wp:lineTo x="0" y="21483"/>
                <wp:lineTo x="21483" y="21483"/>
                <wp:lineTo x="21483" y="0"/>
                <wp:lineTo x="0" y="0"/>
              </wp:wrapPolygon>
            </wp:wrapThrough>
            <wp:docPr id="65" name="Picture 65" descr="Macintosh HD:Users:angie:Desktop:Nitrogen RGR increas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gie:Desktop:Nitrogen RGR increases.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39110" cy="3039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2BED2C" w14:textId="77777777" w:rsidR="00DF4522" w:rsidRDefault="00DF4522" w:rsidP="00DF4522">
      <w:pPr>
        <w:spacing w:line="360" w:lineRule="auto"/>
        <w:jc w:val="both"/>
        <w:rPr>
          <w:rFonts w:ascii="Cambria" w:hAnsi="Cambria"/>
        </w:rPr>
      </w:pPr>
    </w:p>
    <w:p w14:paraId="7E366894" w14:textId="77777777" w:rsidR="00DF4522" w:rsidRDefault="00DF4522" w:rsidP="00DF4522">
      <w:pPr>
        <w:spacing w:line="360" w:lineRule="auto"/>
        <w:jc w:val="both"/>
        <w:rPr>
          <w:rFonts w:ascii="Cambria" w:hAnsi="Cambria"/>
        </w:rPr>
      </w:pPr>
    </w:p>
    <w:p w14:paraId="0856ED6E" w14:textId="77777777" w:rsidR="00DF4522" w:rsidRDefault="00DF4522" w:rsidP="00DF4522">
      <w:pPr>
        <w:spacing w:line="360" w:lineRule="auto"/>
        <w:jc w:val="both"/>
        <w:rPr>
          <w:rFonts w:ascii="Cambria" w:hAnsi="Cambria"/>
        </w:rPr>
      </w:pPr>
    </w:p>
    <w:p w14:paraId="09DF4B96" w14:textId="7354DD36" w:rsidR="00DF4522" w:rsidRDefault="00DF4522" w:rsidP="00DF4522">
      <w:pPr>
        <w:spacing w:line="360" w:lineRule="auto"/>
        <w:jc w:val="both"/>
        <w:rPr>
          <w:rFonts w:ascii="Cambria" w:hAnsi="Cambria"/>
        </w:rPr>
      </w:pPr>
    </w:p>
    <w:p w14:paraId="56637CED" w14:textId="77777777" w:rsidR="00DF4522" w:rsidRDefault="00DF4522" w:rsidP="00DF4522">
      <w:pPr>
        <w:spacing w:line="360" w:lineRule="auto"/>
        <w:jc w:val="both"/>
        <w:rPr>
          <w:rFonts w:ascii="Cambria" w:hAnsi="Cambria"/>
        </w:rPr>
      </w:pPr>
    </w:p>
    <w:p w14:paraId="41BC7C38" w14:textId="77777777" w:rsidR="00DF4522" w:rsidRDefault="00DF4522" w:rsidP="00DF4522">
      <w:pPr>
        <w:spacing w:line="360" w:lineRule="auto"/>
        <w:jc w:val="both"/>
        <w:rPr>
          <w:rFonts w:ascii="Cambria" w:hAnsi="Cambria"/>
        </w:rPr>
      </w:pPr>
    </w:p>
    <w:p w14:paraId="76F64E4D" w14:textId="77777777" w:rsidR="00DF4522" w:rsidRDefault="00DF4522" w:rsidP="00DF4522">
      <w:pPr>
        <w:spacing w:line="360" w:lineRule="auto"/>
        <w:jc w:val="both"/>
        <w:rPr>
          <w:rFonts w:ascii="Cambria" w:hAnsi="Cambria"/>
        </w:rPr>
      </w:pPr>
    </w:p>
    <w:p w14:paraId="6226D7A2" w14:textId="77777777" w:rsidR="00DF4522" w:rsidRDefault="00DF4522" w:rsidP="00DF4522">
      <w:pPr>
        <w:spacing w:line="360" w:lineRule="auto"/>
        <w:jc w:val="both"/>
        <w:rPr>
          <w:rFonts w:ascii="Cambria" w:hAnsi="Cambria"/>
        </w:rPr>
      </w:pPr>
    </w:p>
    <w:p w14:paraId="77747740" w14:textId="77777777" w:rsidR="00DF4522" w:rsidRDefault="00DF4522" w:rsidP="00DF4522">
      <w:pPr>
        <w:spacing w:line="360" w:lineRule="auto"/>
        <w:jc w:val="both"/>
        <w:rPr>
          <w:rFonts w:ascii="Cambria" w:hAnsi="Cambria"/>
        </w:rPr>
      </w:pPr>
    </w:p>
    <w:p w14:paraId="4A0FD693" w14:textId="77777777" w:rsidR="00DF4522" w:rsidRDefault="00DF4522" w:rsidP="00DF4522">
      <w:pPr>
        <w:spacing w:line="360" w:lineRule="auto"/>
        <w:jc w:val="both"/>
        <w:rPr>
          <w:rFonts w:ascii="Cambria" w:hAnsi="Cambria"/>
        </w:rPr>
      </w:pPr>
    </w:p>
    <w:p w14:paraId="5CA796D9" w14:textId="77777777" w:rsidR="00DF4522" w:rsidRDefault="00DF4522" w:rsidP="00DF4522">
      <w:pPr>
        <w:tabs>
          <w:tab w:val="left" w:pos="1911"/>
        </w:tabs>
        <w:jc w:val="both"/>
        <w:rPr>
          <w:b/>
          <w:sz w:val="20"/>
          <w:szCs w:val="20"/>
        </w:rPr>
      </w:pPr>
    </w:p>
    <w:p w14:paraId="3AAA55F0" w14:textId="77777777" w:rsidR="0052480D" w:rsidRDefault="0052480D" w:rsidP="00DF4522">
      <w:pPr>
        <w:tabs>
          <w:tab w:val="left" w:pos="1911"/>
        </w:tabs>
        <w:jc w:val="both"/>
        <w:rPr>
          <w:b/>
          <w:sz w:val="20"/>
          <w:szCs w:val="20"/>
        </w:rPr>
      </w:pPr>
    </w:p>
    <w:p w14:paraId="77DFF61B" w14:textId="77777777" w:rsidR="0052480D" w:rsidRDefault="0052480D" w:rsidP="00DF4522">
      <w:pPr>
        <w:tabs>
          <w:tab w:val="left" w:pos="1911"/>
        </w:tabs>
        <w:jc w:val="both"/>
        <w:rPr>
          <w:b/>
          <w:sz w:val="20"/>
          <w:szCs w:val="20"/>
        </w:rPr>
      </w:pPr>
    </w:p>
    <w:p w14:paraId="5092B11A" w14:textId="6F942D5B" w:rsidR="00DF4522" w:rsidRDefault="00DF4522" w:rsidP="00DF4522">
      <w:pPr>
        <w:tabs>
          <w:tab w:val="left" w:pos="1911"/>
        </w:tabs>
        <w:jc w:val="both"/>
        <w:rPr>
          <w:sz w:val="20"/>
          <w:szCs w:val="20"/>
        </w:rPr>
      </w:pPr>
      <w:r w:rsidRPr="00CE384C">
        <w:rPr>
          <w:b/>
          <w:sz w:val="20"/>
          <w:szCs w:val="20"/>
        </w:rPr>
        <w:t xml:space="preserve">Figure 3.  </w:t>
      </w:r>
      <w:r w:rsidRPr="00CE384C">
        <w:rPr>
          <w:sz w:val="20"/>
          <w:szCs w:val="20"/>
        </w:rPr>
        <w:t>Relative growth rate (RGR, g g</w:t>
      </w:r>
      <w:r w:rsidRPr="00CE384C">
        <w:rPr>
          <w:sz w:val="20"/>
          <w:szCs w:val="20"/>
          <w:vertAlign w:val="superscript"/>
        </w:rPr>
        <w:t>-1</w:t>
      </w:r>
      <w:r w:rsidRPr="00CE384C">
        <w:rPr>
          <w:sz w:val="20"/>
          <w:szCs w:val="20"/>
        </w:rPr>
        <w:t xml:space="preserve"> day</w:t>
      </w:r>
      <w:r w:rsidRPr="00CE384C">
        <w:rPr>
          <w:sz w:val="20"/>
          <w:szCs w:val="20"/>
          <w:vertAlign w:val="superscript"/>
        </w:rPr>
        <w:t>-1</w:t>
      </w:r>
      <w:r w:rsidRPr="00CE384C">
        <w:rPr>
          <w:sz w:val="20"/>
          <w:szCs w:val="20"/>
        </w:rPr>
        <w:t xml:space="preserve">) shows a much greater increase when nitrogen treatment is increased from 1% to 20%, than when nitrogen treatment is increased from 20% to 100%.  This increase is significantly higher for perennial (hollow bars) than annual (filled bars) barley.  Percentages are obtained from the mean RGR values shown in Fig. 2. </w:t>
      </w:r>
    </w:p>
    <w:p w14:paraId="26A108FD" w14:textId="77777777" w:rsidR="00DF4522" w:rsidRDefault="00DF4522" w:rsidP="00DF4522">
      <w:pPr>
        <w:tabs>
          <w:tab w:val="left" w:pos="1911"/>
        </w:tabs>
        <w:jc w:val="both"/>
        <w:rPr>
          <w:sz w:val="20"/>
          <w:szCs w:val="20"/>
        </w:rPr>
      </w:pPr>
    </w:p>
    <w:p w14:paraId="16811D0F" w14:textId="77777777" w:rsidR="0053120E" w:rsidRDefault="0053120E" w:rsidP="0053120E">
      <w:pPr>
        <w:spacing w:line="360" w:lineRule="auto"/>
        <w:jc w:val="both"/>
        <w:rPr>
          <w:rFonts w:ascii="Cambria" w:hAnsi="Cambria"/>
        </w:rPr>
      </w:pPr>
    </w:p>
    <w:p w14:paraId="72447CF9" w14:textId="77777777" w:rsidR="0053120E" w:rsidRDefault="0053120E" w:rsidP="0053120E">
      <w:pPr>
        <w:spacing w:line="360" w:lineRule="auto"/>
        <w:jc w:val="both"/>
        <w:rPr>
          <w:rFonts w:ascii="Cambria" w:hAnsi="Cambria"/>
        </w:rPr>
      </w:pPr>
    </w:p>
    <w:p w14:paraId="0AE2A3E3" w14:textId="77777777" w:rsidR="00DF4522" w:rsidRPr="00CE384C" w:rsidRDefault="00DF4522" w:rsidP="00DF4522">
      <w:pPr>
        <w:tabs>
          <w:tab w:val="left" w:pos="1911"/>
        </w:tabs>
        <w:jc w:val="both"/>
        <w:rPr>
          <w:sz w:val="20"/>
          <w:szCs w:val="20"/>
        </w:rPr>
      </w:pPr>
    </w:p>
    <w:p w14:paraId="33B5E401" w14:textId="77777777" w:rsidR="00DF4522" w:rsidRDefault="00DF4522" w:rsidP="00DF4522">
      <w:pPr>
        <w:spacing w:line="360" w:lineRule="auto"/>
        <w:jc w:val="both"/>
        <w:rPr>
          <w:rFonts w:ascii="Cambria" w:hAnsi="Cambria"/>
        </w:rPr>
      </w:pPr>
      <w:r w:rsidRPr="005A15DB">
        <w:rPr>
          <w:noProof/>
          <w:lang w:val="en-US"/>
        </w:rPr>
        <w:drawing>
          <wp:anchor distT="0" distB="0" distL="114300" distR="114300" simplePos="0" relativeHeight="251747328" behindDoc="0" locked="0" layoutInCell="1" allowOverlap="1" wp14:anchorId="6E4DB818" wp14:editId="369C6323">
            <wp:simplePos x="0" y="0"/>
            <wp:positionH relativeFrom="column">
              <wp:posOffset>914400</wp:posOffset>
            </wp:positionH>
            <wp:positionV relativeFrom="paragraph">
              <wp:posOffset>119380</wp:posOffset>
            </wp:positionV>
            <wp:extent cx="3538855" cy="2655570"/>
            <wp:effectExtent l="0" t="0" r="0" b="11430"/>
            <wp:wrapThrough wrapText="bothSides">
              <wp:wrapPolygon edited="0">
                <wp:start x="0" y="0"/>
                <wp:lineTo x="0" y="21486"/>
                <wp:lineTo x="21395" y="21486"/>
                <wp:lineTo x="21395" y="0"/>
                <wp:lineTo x="0" y="0"/>
              </wp:wrapPolygon>
            </wp:wrapThrough>
            <wp:docPr id="47" name="Picture 47" descr="Macintosh HD:Users:angelawhite:Desktop:Figure 4 Till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gelawhite:Desktop:Figure 4 Tillers.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38855" cy="2655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F8B81A" w14:textId="77777777" w:rsidR="00DF4522" w:rsidRDefault="00DF4522" w:rsidP="00DF4522">
      <w:pPr>
        <w:spacing w:line="360" w:lineRule="auto"/>
        <w:jc w:val="both"/>
        <w:rPr>
          <w:rFonts w:ascii="Cambria" w:hAnsi="Cambria"/>
        </w:rPr>
      </w:pPr>
    </w:p>
    <w:p w14:paraId="57BBB10F" w14:textId="77777777" w:rsidR="00DF4522" w:rsidRDefault="00DF4522" w:rsidP="00DF4522">
      <w:pPr>
        <w:spacing w:line="360" w:lineRule="auto"/>
        <w:jc w:val="both"/>
        <w:rPr>
          <w:rFonts w:ascii="Cambria" w:hAnsi="Cambria"/>
        </w:rPr>
      </w:pPr>
    </w:p>
    <w:p w14:paraId="568470B4" w14:textId="77777777" w:rsidR="00DF4522" w:rsidRDefault="00DF4522" w:rsidP="00DF4522">
      <w:pPr>
        <w:spacing w:line="360" w:lineRule="auto"/>
        <w:jc w:val="both"/>
        <w:rPr>
          <w:rFonts w:ascii="Cambria" w:hAnsi="Cambria"/>
        </w:rPr>
      </w:pPr>
    </w:p>
    <w:p w14:paraId="31E48494" w14:textId="77777777" w:rsidR="00DF4522" w:rsidRDefault="00DF4522" w:rsidP="00DF4522">
      <w:pPr>
        <w:spacing w:line="360" w:lineRule="auto"/>
        <w:jc w:val="both"/>
        <w:rPr>
          <w:rFonts w:ascii="Cambria" w:hAnsi="Cambria"/>
        </w:rPr>
      </w:pPr>
    </w:p>
    <w:p w14:paraId="26BEFDC8" w14:textId="77777777" w:rsidR="00DF4522" w:rsidRDefault="00DF4522" w:rsidP="00DF4522">
      <w:pPr>
        <w:spacing w:line="360" w:lineRule="auto"/>
        <w:jc w:val="both"/>
        <w:rPr>
          <w:rFonts w:ascii="Cambria" w:hAnsi="Cambria"/>
        </w:rPr>
      </w:pPr>
    </w:p>
    <w:p w14:paraId="081A973C" w14:textId="77777777" w:rsidR="00DF4522" w:rsidRDefault="00DF4522" w:rsidP="00DF4522">
      <w:pPr>
        <w:spacing w:line="360" w:lineRule="auto"/>
        <w:jc w:val="both"/>
        <w:rPr>
          <w:rFonts w:ascii="Cambria" w:hAnsi="Cambria"/>
        </w:rPr>
      </w:pPr>
    </w:p>
    <w:p w14:paraId="7F288766" w14:textId="77777777" w:rsidR="00DF4522" w:rsidRDefault="00DF4522" w:rsidP="00DF4522">
      <w:pPr>
        <w:spacing w:line="360" w:lineRule="auto"/>
        <w:jc w:val="both"/>
        <w:rPr>
          <w:rFonts w:ascii="Cambria" w:hAnsi="Cambria"/>
        </w:rPr>
      </w:pPr>
    </w:p>
    <w:p w14:paraId="50DF5382" w14:textId="77777777" w:rsidR="00DF4522" w:rsidRDefault="00DF4522" w:rsidP="00DF4522">
      <w:pPr>
        <w:spacing w:line="360" w:lineRule="auto"/>
        <w:jc w:val="both"/>
        <w:rPr>
          <w:rFonts w:ascii="Cambria" w:hAnsi="Cambria"/>
        </w:rPr>
      </w:pPr>
    </w:p>
    <w:p w14:paraId="22937B05" w14:textId="77777777" w:rsidR="00DF4522" w:rsidRDefault="00DF4522" w:rsidP="00DF4522">
      <w:pPr>
        <w:spacing w:line="360" w:lineRule="auto"/>
        <w:jc w:val="both"/>
        <w:rPr>
          <w:rFonts w:ascii="Cambria" w:hAnsi="Cambria"/>
        </w:rPr>
      </w:pPr>
    </w:p>
    <w:p w14:paraId="0EE32BA9" w14:textId="77777777" w:rsidR="00DF4522" w:rsidRDefault="00DF4522" w:rsidP="00DF4522">
      <w:pPr>
        <w:spacing w:line="360" w:lineRule="auto"/>
        <w:jc w:val="both"/>
        <w:rPr>
          <w:rFonts w:ascii="Cambria" w:hAnsi="Cambria"/>
        </w:rPr>
      </w:pPr>
    </w:p>
    <w:p w14:paraId="3C0EB8C1" w14:textId="77777777" w:rsidR="00DF4522" w:rsidRPr="00CE384C" w:rsidRDefault="00DF4522" w:rsidP="00DF4522">
      <w:pPr>
        <w:jc w:val="both"/>
        <w:rPr>
          <w:rFonts w:ascii="Cambria" w:hAnsi="Cambria" w:cs="font652"/>
          <w:sz w:val="20"/>
          <w:szCs w:val="20"/>
          <w:lang w:val="en-US"/>
        </w:rPr>
      </w:pPr>
      <w:r w:rsidRPr="00CE384C">
        <w:rPr>
          <w:b/>
          <w:sz w:val="20"/>
          <w:szCs w:val="20"/>
        </w:rPr>
        <w:t xml:space="preserve">Figure 4.  </w:t>
      </w:r>
      <w:r w:rsidRPr="00CE384C">
        <w:rPr>
          <w:sz w:val="20"/>
          <w:szCs w:val="20"/>
        </w:rPr>
        <w:t xml:space="preserve">Tillering increases with nitrogen treatment and this effect increases with age in both annual (filled circles, solid line) and perennial (hollow circles, dashed line) barley.  Data show </w:t>
      </w:r>
      <w:r w:rsidRPr="00CE384C">
        <w:rPr>
          <w:rFonts w:ascii="Cambria" w:hAnsi="Cambria"/>
          <w:sz w:val="20"/>
          <w:szCs w:val="20"/>
        </w:rPr>
        <w:t xml:space="preserve">mean </w:t>
      </w:r>
      <w:r w:rsidRPr="00CE384C">
        <w:rPr>
          <w:rFonts w:ascii="Cambria" w:hAnsi="Cambria" w:cs="font652"/>
          <w:sz w:val="20"/>
          <w:szCs w:val="20"/>
          <w:lang w:val="en-US"/>
        </w:rPr>
        <w:t>± SE (n=3), for plants harvested 14, 28 and 42 days after germination; at all three ages, plants at 1% nitrogen treatment have only one tiller.</w:t>
      </w:r>
    </w:p>
    <w:p w14:paraId="5DF8A40D" w14:textId="77777777" w:rsidR="00DF4522" w:rsidRDefault="00DF4522" w:rsidP="00DF4522">
      <w:pPr>
        <w:spacing w:line="360" w:lineRule="auto"/>
        <w:jc w:val="both"/>
        <w:rPr>
          <w:rFonts w:ascii="Cambria" w:hAnsi="Cambria"/>
        </w:rPr>
      </w:pPr>
    </w:p>
    <w:p w14:paraId="5641D252" w14:textId="77777777" w:rsidR="00DF4522" w:rsidRDefault="00DF4522" w:rsidP="00DF4522">
      <w:pPr>
        <w:tabs>
          <w:tab w:val="left" w:pos="1911"/>
          <w:tab w:val="left" w:pos="8080"/>
        </w:tabs>
        <w:jc w:val="both"/>
        <w:rPr>
          <w:b/>
          <w:sz w:val="20"/>
          <w:szCs w:val="20"/>
        </w:rPr>
      </w:pPr>
    </w:p>
    <w:p w14:paraId="77FEAEAE" w14:textId="77777777" w:rsidR="0053120E" w:rsidRPr="00531789" w:rsidRDefault="0053120E" w:rsidP="0053120E">
      <w:pPr>
        <w:spacing w:line="360" w:lineRule="auto"/>
        <w:jc w:val="both"/>
        <w:rPr>
          <w:rFonts w:ascii="Cambria" w:hAnsi="Cambria"/>
        </w:rPr>
      </w:pPr>
      <w:r w:rsidRPr="00531789">
        <w:rPr>
          <w:rFonts w:ascii="Cambria" w:hAnsi="Cambria"/>
        </w:rPr>
        <w:t>Partitioning of biomass is also affected by nitrogen treatment.  In accordance with the change in RGR, tillering increases dramatically with nitrogen treatment (Fig. 4), and this effect is greater as plants get older (significant nitrogen x age interaction for tillering: F</w:t>
      </w:r>
      <w:r w:rsidRPr="00531789">
        <w:rPr>
          <w:rFonts w:ascii="Cambria" w:hAnsi="Cambria"/>
          <w:vertAlign w:val="subscript"/>
        </w:rPr>
        <w:t>(2,40)</w:t>
      </w:r>
      <w:r>
        <w:rPr>
          <w:rFonts w:ascii="Cambria" w:hAnsi="Cambria"/>
        </w:rPr>
        <w:t xml:space="preserve"> = 10.9, p&lt;</w:t>
      </w:r>
      <w:r w:rsidRPr="00531789">
        <w:rPr>
          <w:rFonts w:ascii="Cambria" w:hAnsi="Cambria"/>
        </w:rPr>
        <w:t xml:space="preserve">0.001).  However, there is no difference between species </w:t>
      </w:r>
      <w:r>
        <w:rPr>
          <w:rFonts w:ascii="Cambria" w:hAnsi="Cambria"/>
        </w:rPr>
        <w:t>n</w:t>
      </w:r>
      <w:r w:rsidRPr="00531789">
        <w:rPr>
          <w:rFonts w:ascii="Cambria" w:hAnsi="Cambria"/>
        </w:rPr>
        <w:t>or</w:t>
      </w:r>
      <w:r>
        <w:rPr>
          <w:rFonts w:ascii="Cambria" w:hAnsi="Cambria"/>
        </w:rPr>
        <w:t xml:space="preserve"> a</w:t>
      </w:r>
      <w:r w:rsidRPr="00531789">
        <w:rPr>
          <w:rFonts w:ascii="Cambria" w:hAnsi="Cambria"/>
        </w:rPr>
        <w:t xml:space="preserve"> ni</w:t>
      </w:r>
      <w:r>
        <w:rPr>
          <w:rFonts w:ascii="Cambria" w:hAnsi="Cambria"/>
        </w:rPr>
        <w:t>trogen x species interaction (p</w:t>
      </w:r>
      <w:r w:rsidRPr="00531789">
        <w:rPr>
          <w:rFonts w:ascii="Cambria" w:hAnsi="Cambria"/>
        </w:rPr>
        <w:t xml:space="preserve">&gt;0.6 in each case).  Allocation to roots (Table 1) decreases at higher nitrogen supplies (for </w:t>
      </w:r>
      <w:proofErr w:type="spellStart"/>
      <w:r w:rsidRPr="00531789">
        <w:rPr>
          <w:rFonts w:ascii="Cambria" w:hAnsi="Cambria"/>
        </w:rPr>
        <w:t>root:shoot</w:t>
      </w:r>
      <w:proofErr w:type="spellEnd"/>
      <w:r w:rsidRPr="00531789">
        <w:rPr>
          <w:rFonts w:ascii="Cambria" w:hAnsi="Cambria"/>
        </w:rPr>
        <w:t xml:space="preserve"> ratio, F</w:t>
      </w:r>
      <w:r w:rsidRPr="00531789">
        <w:rPr>
          <w:rFonts w:ascii="Cambria" w:hAnsi="Cambria"/>
          <w:vertAlign w:val="subscript"/>
        </w:rPr>
        <w:t>(1,19)</w:t>
      </w:r>
      <w:r>
        <w:rPr>
          <w:rFonts w:ascii="Cambria" w:hAnsi="Cambria"/>
        </w:rPr>
        <w:t xml:space="preserve"> = 40.6, p</w:t>
      </w:r>
      <w:r w:rsidRPr="00531789">
        <w:rPr>
          <w:rFonts w:ascii="Cambria" w:hAnsi="Cambria"/>
        </w:rPr>
        <w:t>&lt;0.001; for root mass ratio, F</w:t>
      </w:r>
      <w:r w:rsidRPr="00531789">
        <w:rPr>
          <w:rFonts w:ascii="Cambria" w:hAnsi="Cambria"/>
          <w:vertAlign w:val="subscript"/>
        </w:rPr>
        <w:t>(1,19)</w:t>
      </w:r>
      <w:r>
        <w:rPr>
          <w:rFonts w:ascii="Cambria" w:hAnsi="Cambria"/>
        </w:rPr>
        <w:t xml:space="preserve"> = 38.9, p&lt;</w:t>
      </w:r>
      <w:r w:rsidRPr="00531789">
        <w:rPr>
          <w:rFonts w:ascii="Cambria" w:hAnsi="Cambria"/>
        </w:rPr>
        <w:t>0.001), but does not differ between species.  In both species, sheath mass ratio and leaf mass ratio (Table 1) increase with nitrogen treatment (for sheaths, F</w:t>
      </w:r>
      <w:r w:rsidRPr="00531789">
        <w:rPr>
          <w:rFonts w:ascii="Cambria" w:hAnsi="Cambria"/>
          <w:vertAlign w:val="subscript"/>
        </w:rPr>
        <w:t>(1,19)</w:t>
      </w:r>
      <w:r>
        <w:rPr>
          <w:rFonts w:ascii="Cambria" w:hAnsi="Cambria"/>
        </w:rPr>
        <w:t xml:space="preserve"> = 25.9, p&lt;</w:t>
      </w:r>
      <w:r w:rsidRPr="00531789">
        <w:rPr>
          <w:rFonts w:ascii="Cambria" w:hAnsi="Cambria"/>
        </w:rPr>
        <w:t>0.001; for leaves, F</w:t>
      </w:r>
      <w:r w:rsidRPr="00531789">
        <w:rPr>
          <w:rFonts w:ascii="Cambria" w:hAnsi="Cambria"/>
          <w:vertAlign w:val="subscript"/>
        </w:rPr>
        <w:t>(1,19)</w:t>
      </w:r>
      <w:r w:rsidRPr="00531789">
        <w:rPr>
          <w:rFonts w:ascii="Cambria" w:hAnsi="Cambria"/>
        </w:rPr>
        <w:t xml:space="preserve"> = 30.1, p&lt;0.001). The annual allocates more biomass to roots earlier in development and more to sheaths later in development whilst the opposite trend is seen in the perennial (significant species x age interactions: for shoot mass ratio, F</w:t>
      </w:r>
      <w:r w:rsidRPr="00531789">
        <w:rPr>
          <w:rFonts w:ascii="Cambria" w:hAnsi="Cambria"/>
          <w:vertAlign w:val="subscript"/>
        </w:rPr>
        <w:t>(1,19)</w:t>
      </w:r>
      <w:r>
        <w:rPr>
          <w:rFonts w:ascii="Cambria" w:hAnsi="Cambria"/>
        </w:rPr>
        <w:t xml:space="preserve"> = 16.8, p</w:t>
      </w:r>
      <w:r w:rsidRPr="00531789">
        <w:rPr>
          <w:rFonts w:ascii="Cambria" w:hAnsi="Cambria"/>
        </w:rPr>
        <w:t xml:space="preserve">&lt;0.001; for </w:t>
      </w:r>
      <w:proofErr w:type="spellStart"/>
      <w:r w:rsidRPr="00531789">
        <w:rPr>
          <w:rFonts w:ascii="Cambria" w:hAnsi="Cambria"/>
        </w:rPr>
        <w:t>root:shoot</w:t>
      </w:r>
      <w:proofErr w:type="spellEnd"/>
      <w:r w:rsidRPr="00531789">
        <w:rPr>
          <w:rFonts w:ascii="Cambria" w:hAnsi="Cambria"/>
        </w:rPr>
        <w:t xml:space="preserve"> ratio, F</w:t>
      </w:r>
      <w:r w:rsidRPr="00531789">
        <w:rPr>
          <w:rFonts w:ascii="Cambria" w:hAnsi="Cambria"/>
          <w:vertAlign w:val="subscript"/>
        </w:rPr>
        <w:t>(1,19)</w:t>
      </w:r>
      <w:r w:rsidRPr="00531789">
        <w:rPr>
          <w:rFonts w:ascii="Cambria" w:hAnsi="Cambria"/>
        </w:rPr>
        <w:t xml:space="preserve"> = 10.6, p&lt;0.01).  </w:t>
      </w:r>
    </w:p>
    <w:p w14:paraId="008040E0" w14:textId="77777777" w:rsidR="0053120E" w:rsidRDefault="0053120E" w:rsidP="00DF4522">
      <w:pPr>
        <w:tabs>
          <w:tab w:val="left" w:pos="1911"/>
          <w:tab w:val="left" w:pos="8080"/>
        </w:tabs>
        <w:jc w:val="both"/>
        <w:rPr>
          <w:b/>
          <w:sz w:val="20"/>
          <w:szCs w:val="20"/>
        </w:rPr>
      </w:pPr>
    </w:p>
    <w:p w14:paraId="01F29B18" w14:textId="77777777" w:rsidR="0053120E" w:rsidRDefault="0053120E" w:rsidP="00DF4522">
      <w:pPr>
        <w:tabs>
          <w:tab w:val="left" w:pos="1911"/>
          <w:tab w:val="left" w:pos="8080"/>
        </w:tabs>
        <w:jc w:val="both"/>
        <w:rPr>
          <w:b/>
          <w:sz w:val="20"/>
          <w:szCs w:val="20"/>
        </w:rPr>
      </w:pPr>
    </w:p>
    <w:p w14:paraId="362E72B9" w14:textId="77777777" w:rsidR="00DF4522" w:rsidRDefault="00DF4522" w:rsidP="00DF4522">
      <w:pPr>
        <w:tabs>
          <w:tab w:val="left" w:pos="1911"/>
          <w:tab w:val="left" w:pos="8080"/>
        </w:tabs>
        <w:jc w:val="both"/>
        <w:rPr>
          <w:rFonts w:ascii="Cambria" w:hAnsi="Cambria" w:cs="font652"/>
          <w:sz w:val="20"/>
          <w:szCs w:val="20"/>
          <w:lang w:val="en-US"/>
        </w:rPr>
      </w:pPr>
      <w:r w:rsidRPr="0093103B">
        <w:rPr>
          <w:b/>
          <w:sz w:val="20"/>
          <w:szCs w:val="20"/>
        </w:rPr>
        <w:t xml:space="preserve">Table 1.  </w:t>
      </w:r>
      <w:proofErr w:type="spellStart"/>
      <w:r w:rsidRPr="0093103B">
        <w:rPr>
          <w:sz w:val="20"/>
          <w:szCs w:val="20"/>
        </w:rPr>
        <w:t>Root:shoot</w:t>
      </w:r>
      <w:proofErr w:type="spellEnd"/>
      <w:r w:rsidRPr="0093103B">
        <w:rPr>
          <w:sz w:val="20"/>
          <w:szCs w:val="20"/>
        </w:rPr>
        <w:t xml:space="preserve"> and root mass ratios decrease and leaf and sheath mass ratios increase with increasing nitrogen treatment level in annual and perennial barley.  These data are obtained from the subset of additional plants harvested for biomass calibration.  For </w:t>
      </w:r>
      <w:proofErr w:type="spellStart"/>
      <w:r w:rsidRPr="0093103B">
        <w:rPr>
          <w:sz w:val="20"/>
          <w:szCs w:val="20"/>
        </w:rPr>
        <w:t>root:shoot</w:t>
      </w:r>
      <w:proofErr w:type="spellEnd"/>
      <w:r w:rsidRPr="0093103B">
        <w:rPr>
          <w:sz w:val="20"/>
          <w:szCs w:val="20"/>
        </w:rPr>
        <w:t xml:space="preserve"> ratio, root mass is divided by the sum of leaf and sheath mass for each individual and the results averaged.  For leaf, sheath and root mass ratios, the ratio is the dry mass of that organ divided by the dry mass of the whole plant.  18 annuals and 11 perennials were harvested at five </w:t>
      </w:r>
      <w:proofErr w:type="spellStart"/>
      <w:r w:rsidRPr="0093103B">
        <w:rPr>
          <w:sz w:val="20"/>
          <w:szCs w:val="20"/>
        </w:rPr>
        <w:t>timepoints</w:t>
      </w:r>
      <w:proofErr w:type="spellEnd"/>
      <w:r w:rsidRPr="0093103B">
        <w:rPr>
          <w:sz w:val="20"/>
          <w:szCs w:val="20"/>
        </w:rPr>
        <w:t xml:space="preserve">.  Data show </w:t>
      </w:r>
      <w:r w:rsidRPr="0093103B">
        <w:rPr>
          <w:rFonts w:ascii="Cambria" w:hAnsi="Cambria"/>
          <w:sz w:val="20"/>
          <w:szCs w:val="20"/>
        </w:rPr>
        <w:t xml:space="preserve">mean </w:t>
      </w:r>
      <w:r w:rsidRPr="0093103B">
        <w:rPr>
          <w:rFonts w:ascii="Cambria" w:hAnsi="Cambria" w:cs="font652"/>
          <w:sz w:val="20"/>
          <w:szCs w:val="20"/>
          <w:lang w:val="en-US"/>
        </w:rPr>
        <w:t>± SE (at 1, 20, 100% nitrogen, annual n = 6, 6, 5; perennial n = 4, 2, 5).  For brevity, age effects have not been included in this summary, but they are discussed elsewhere in the manuscript.</w:t>
      </w:r>
    </w:p>
    <w:p w14:paraId="2EF4025E" w14:textId="77777777" w:rsidR="00DF4522" w:rsidRDefault="00DF4522" w:rsidP="00DF4522">
      <w:pPr>
        <w:tabs>
          <w:tab w:val="left" w:pos="1911"/>
          <w:tab w:val="left" w:pos="8080"/>
        </w:tabs>
        <w:jc w:val="both"/>
      </w:pPr>
    </w:p>
    <w:tbl>
      <w:tblPr>
        <w:tblStyle w:val="TableGrid"/>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5"/>
        <w:gridCol w:w="1417"/>
        <w:gridCol w:w="1984"/>
        <w:gridCol w:w="2126"/>
        <w:gridCol w:w="1702"/>
      </w:tblGrid>
      <w:tr w:rsidR="00DF4522" w:rsidRPr="00982216" w14:paraId="17843347" w14:textId="77777777" w:rsidTr="00FB53C0">
        <w:tc>
          <w:tcPr>
            <w:tcW w:w="1985" w:type="dxa"/>
          </w:tcPr>
          <w:p w14:paraId="620B9DD9" w14:textId="77777777" w:rsidR="00DF4522" w:rsidRPr="00982216" w:rsidRDefault="00DF4522" w:rsidP="00FB53C0">
            <w:pPr>
              <w:tabs>
                <w:tab w:val="left" w:pos="1911"/>
                <w:tab w:val="left" w:pos="8080"/>
              </w:tabs>
              <w:spacing w:line="360" w:lineRule="auto"/>
              <w:jc w:val="center"/>
              <w:rPr>
                <w:rFonts w:ascii="Cambria" w:hAnsi="Cambria"/>
                <w:b/>
              </w:rPr>
            </w:pPr>
          </w:p>
        </w:tc>
        <w:tc>
          <w:tcPr>
            <w:tcW w:w="1417" w:type="dxa"/>
          </w:tcPr>
          <w:p w14:paraId="72B37588" w14:textId="77777777" w:rsidR="00DF4522" w:rsidRPr="00982216" w:rsidRDefault="00DF4522" w:rsidP="00FB53C0">
            <w:pPr>
              <w:tabs>
                <w:tab w:val="left" w:pos="1911"/>
                <w:tab w:val="left" w:pos="8080"/>
              </w:tabs>
              <w:spacing w:line="360" w:lineRule="auto"/>
              <w:rPr>
                <w:rFonts w:ascii="Cambria" w:hAnsi="Cambria"/>
                <w:b/>
              </w:rPr>
            </w:pPr>
            <w:r w:rsidRPr="00982216">
              <w:rPr>
                <w:rFonts w:ascii="Cambria" w:hAnsi="Cambria"/>
                <w:b/>
              </w:rPr>
              <w:t>Species</w:t>
            </w:r>
          </w:p>
        </w:tc>
        <w:tc>
          <w:tcPr>
            <w:tcW w:w="1984" w:type="dxa"/>
          </w:tcPr>
          <w:p w14:paraId="69B0CB3B" w14:textId="77777777" w:rsidR="00DF4522" w:rsidRPr="00982216" w:rsidRDefault="00DF4522" w:rsidP="00FB53C0">
            <w:pPr>
              <w:tabs>
                <w:tab w:val="left" w:pos="1911"/>
                <w:tab w:val="left" w:pos="8080"/>
              </w:tabs>
              <w:spacing w:line="360" w:lineRule="auto"/>
              <w:jc w:val="center"/>
              <w:rPr>
                <w:rFonts w:ascii="Cambria" w:hAnsi="Cambria"/>
                <w:b/>
              </w:rPr>
            </w:pPr>
            <w:r w:rsidRPr="00982216">
              <w:rPr>
                <w:rFonts w:ascii="Cambria" w:hAnsi="Cambria"/>
                <w:b/>
              </w:rPr>
              <w:t>1% nitrogen</w:t>
            </w:r>
          </w:p>
        </w:tc>
        <w:tc>
          <w:tcPr>
            <w:tcW w:w="2126" w:type="dxa"/>
          </w:tcPr>
          <w:p w14:paraId="3E7174C5" w14:textId="77777777" w:rsidR="00DF4522" w:rsidRPr="00982216" w:rsidRDefault="00DF4522" w:rsidP="00FB53C0">
            <w:pPr>
              <w:tabs>
                <w:tab w:val="left" w:pos="1911"/>
                <w:tab w:val="left" w:pos="8080"/>
              </w:tabs>
              <w:spacing w:line="360" w:lineRule="auto"/>
              <w:jc w:val="center"/>
              <w:rPr>
                <w:rFonts w:ascii="Cambria" w:hAnsi="Cambria"/>
                <w:b/>
              </w:rPr>
            </w:pPr>
            <w:r w:rsidRPr="00982216">
              <w:rPr>
                <w:rFonts w:ascii="Cambria" w:hAnsi="Cambria"/>
                <w:b/>
              </w:rPr>
              <w:t>20% nitrogen</w:t>
            </w:r>
          </w:p>
        </w:tc>
        <w:tc>
          <w:tcPr>
            <w:tcW w:w="1702" w:type="dxa"/>
          </w:tcPr>
          <w:p w14:paraId="21997758" w14:textId="77777777" w:rsidR="00DF4522" w:rsidRPr="00982216" w:rsidRDefault="00DF4522" w:rsidP="00FB53C0">
            <w:pPr>
              <w:tabs>
                <w:tab w:val="left" w:pos="1911"/>
                <w:tab w:val="left" w:pos="8080"/>
              </w:tabs>
              <w:spacing w:line="360" w:lineRule="auto"/>
              <w:jc w:val="center"/>
              <w:rPr>
                <w:rFonts w:ascii="Cambria" w:hAnsi="Cambria"/>
                <w:b/>
              </w:rPr>
            </w:pPr>
            <w:r w:rsidRPr="00982216">
              <w:rPr>
                <w:rFonts w:ascii="Cambria" w:hAnsi="Cambria"/>
                <w:b/>
              </w:rPr>
              <w:t>100% nitrogen</w:t>
            </w:r>
          </w:p>
        </w:tc>
      </w:tr>
      <w:tr w:rsidR="00DF4522" w:rsidRPr="00982216" w14:paraId="1178F582" w14:textId="77777777" w:rsidTr="00FB53C0">
        <w:tc>
          <w:tcPr>
            <w:tcW w:w="1985" w:type="dxa"/>
          </w:tcPr>
          <w:p w14:paraId="45AFE922" w14:textId="77777777" w:rsidR="00DF4522" w:rsidRPr="00982216" w:rsidRDefault="00DF4522" w:rsidP="00FB53C0">
            <w:pPr>
              <w:tabs>
                <w:tab w:val="left" w:pos="1911"/>
                <w:tab w:val="left" w:pos="8080"/>
              </w:tabs>
              <w:spacing w:line="276" w:lineRule="auto"/>
              <w:rPr>
                <w:rFonts w:ascii="Cambria" w:hAnsi="Cambria"/>
                <w:b/>
              </w:rPr>
            </w:pPr>
            <w:proofErr w:type="spellStart"/>
            <w:r w:rsidRPr="00982216">
              <w:rPr>
                <w:rFonts w:ascii="Cambria" w:hAnsi="Cambria"/>
                <w:b/>
              </w:rPr>
              <w:t>Root:shoot</w:t>
            </w:r>
            <w:proofErr w:type="spellEnd"/>
            <w:r w:rsidRPr="00982216">
              <w:rPr>
                <w:rFonts w:ascii="Cambria" w:hAnsi="Cambria"/>
                <w:b/>
              </w:rPr>
              <w:t xml:space="preserve"> ratio </w:t>
            </w:r>
          </w:p>
        </w:tc>
        <w:tc>
          <w:tcPr>
            <w:tcW w:w="1417" w:type="dxa"/>
          </w:tcPr>
          <w:p w14:paraId="088F9BFD"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Annual</w:t>
            </w:r>
          </w:p>
          <w:p w14:paraId="085FFC33"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Perennial</w:t>
            </w:r>
          </w:p>
        </w:tc>
        <w:tc>
          <w:tcPr>
            <w:tcW w:w="1984" w:type="dxa"/>
          </w:tcPr>
          <w:p w14:paraId="655AE859"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b/>
              </w:rPr>
              <w:t xml:space="preserve">1.60 </w:t>
            </w:r>
            <w:r w:rsidRPr="00982216">
              <w:rPr>
                <w:rFonts w:ascii="Cambria" w:hAnsi="Cambria" w:cs="font652"/>
                <w:lang w:val="en-US"/>
              </w:rPr>
              <w:t xml:space="preserve">± </w:t>
            </w:r>
            <w:r w:rsidRPr="00982216">
              <w:rPr>
                <w:rFonts w:ascii="Cambria" w:hAnsi="Cambria"/>
              </w:rPr>
              <w:t>0.213</w:t>
            </w:r>
          </w:p>
          <w:p w14:paraId="6B908488" w14:textId="77777777" w:rsidR="00DF4522" w:rsidRPr="00982216" w:rsidRDefault="00DF4522" w:rsidP="00FB53C0">
            <w:pPr>
              <w:tabs>
                <w:tab w:val="left" w:pos="1911"/>
                <w:tab w:val="left" w:pos="8080"/>
              </w:tabs>
              <w:spacing w:line="276" w:lineRule="auto"/>
              <w:jc w:val="center"/>
              <w:rPr>
                <w:rFonts w:ascii="Cambria" w:hAnsi="Cambria"/>
                <w:b/>
              </w:rPr>
            </w:pPr>
            <w:r w:rsidRPr="00982216">
              <w:rPr>
                <w:rFonts w:ascii="Cambria" w:hAnsi="Cambria"/>
                <w:b/>
              </w:rPr>
              <w:t xml:space="preserve">1.54 </w:t>
            </w:r>
            <w:r w:rsidRPr="00982216">
              <w:rPr>
                <w:rFonts w:ascii="Cambria" w:hAnsi="Cambria" w:cs="font652"/>
                <w:lang w:val="en-US"/>
              </w:rPr>
              <w:t xml:space="preserve">± </w:t>
            </w:r>
            <w:r w:rsidRPr="00982216">
              <w:rPr>
                <w:rFonts w:ascii="Cambria" w:hAnsi="Cambria"/>
              </w:rPr>
              <w:t>0.301</w:t>
            </w:r>
          </w:p>
        </w:tc>
        <w:tc>
          <w:tcPr>
            <w:tcW w:w="2126" w:type="dxa"/>
          </w:tcPr>
          <w:p w14:paraId="22394C52"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b/>
              </w:rPr>
              <w:t xml:space="preserve">0.80 </w:t>
            </w:r>
            <w:r w:rsidRPr="00982216">
              <w:rPr>
                <w:rFonts w:ascii="Cambria" w:hAnsi="Cambria" w:cs="font652"/>
                <w:lang w:val="en-US"/>
              </w:rPr>
              <w:t xml:space="preserve">± </w:t>
            </w:r>
            <w:r w:rsidRPr="00982216">
              <w:rPr>
                <w:rFonts w:ascii="Cambria" w:hAnsi="Cambria"/>
              </w:rPr>
              <w:t>0.219</w:t>
            </w:r>
          </w:p>
          <w:p w14:paraId="0B31A375" w14:textId="77777777" w:rsidR="00DF4522" w:rsidRPr="00982216" w:rsidRDefault="00DF4522" w:rsidP="00FB53C0">
            <w:pPr>
              <w:tabs>
                <w:tab w:val="left" w:pos="1911"/>
                <w:tab w:val="left" w:pos="8080"/>
              </w:tabs>
              <w:spacing w:line="276" w:lineRule="auto"/>
              <w:jc w:val="center"/>
              <w:rPr>
                <w:rFonts w:ascii="Cambria" w:hAnsi="Cambria"/>
                <w:b/>
              </w:rPr>
            </w:pPr>
            <w:r w:rsidRPr="00982216">
              <w:rPr>
                <w:rFonts w:ascii="Cambria" w:hAnsi="Cambria"/>
                <w:b/>
              </w:rPr>
              <w:t xml:space="preserve">0.83 </w:t>
            </w:r>
            <w:r w:rsidRPr="00982216">
              <w:rPr>
                <w:rFonts w:ascii="Cambria" w:hAnsi="Cambria" w:cs="font652"/>
                <w:lang w:val="en-US"/>
              </w:rPr>
              <w:t xml:space="preserve">± </w:t>
            </w:r>
            <w:r w:rsidRPr="00982216">
              <w:rPr>
                <w:rFonts w:ascii="Cambria" w:hAnsi="Cambria"/>
              </w:rPr>
              <w:t>0.176</w:t>
            </w:r>
          </w:p>
        </w:tc>
        <w:tc>
          <w:tcPr>
            <w:tcW w:w="1702" w:type="dxa"/>
          </w:tcPr>
          <w:p w14:paraId="0A5885CA"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b/>
              </w:rPr>
              <w:t xml:space="preserve">0.54 </w:t>
            </w:r>
            <w:r w:rsidRPr="00982216">
              <w:rPr>
                <w:rFonts w:ascii="Cambria" w:hAnsi="Cambria" w:cs="font652"/>
                <w:lang w:val="en-US"/>
              </w:rPr>
              <w:t xml:space="preserve">± </w:t>
            </w:r>
            <w:r w:rsidRPr="00982216">
              <w:rPr>
                <w:rFonts w:ascii="Cambria" w:hAnsi="Cambria"/>
              </w:rPr>
              <w:t>0.113</w:t>
            </w:r>
          </w:p>
          <w:p w14:paraId="01115866" w14:textId="77777777" w:rsidR="00DF4522" w:rsidRPr="00982216" w:rsidRDefault="00DF4522" w:rsidP="00FB53C0">
            <w:pPr>
              <w:tabs>
                <w:tab w:val="left" w:pos="1911"/>
                <w:tab w:val="left" w:pos="8080"/>
              </w:tabs>
              <w:spacing w:line="276" w:lineRule="auto"/>
              <w:jc w:val="center"/>
              <w:rPr>
                <w:rFonts w:ascii="Cambria" w:hAnsi="Cambria"/>
                <w:b/>
              </w:rPr>
            </w:pPr>
            <w:r w:rsidRPr="00982216">
              <w:rPr>
                <w:rFonts w:ascii="Cambria" w:hAnsi="Cambria"/>
                <w:b/>
              </w:rPr>
              <w:t xml:space="preserve">0.59 </w:t>
            </w:r>
            <w:r w:rsidRPr="00982216">
              <w:rPr>
                <w:rFonts w:ascii="Cambria" w:hAnsi="Cambria" w:cs="font652"/>
                <w:lang w:val="en-US"/>
              </w:rPr>
              <w:t xml:space="preserve">± </w:t>
            </w:r>
            <w:r w:rsidRPr="00982216">
              <w:rPr>
                <w:rFonts w:ascii="Cambria" w:hAnsi="Cambria"/>
              </w:rPr>
              <w:t>0.065</w:t>
            </w:r>
          </w:p>
        </w:tc>
      </w:tr>
      <w:tr w:rsidR="00DF4522" w:rsidRPr="00982216" w14:paraId="12C0CC36" w14:textId="77777777" w:rsidTr="00FB53C0">
        <w:tc>
          <w:tcPr>
            <w:tcW w:w="1985" w:type="dxa"/>
          </w:tcPr>
          <w:p w14:paraId="686F3565"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 xml:space="preserve">Leaf Mass Ratio </w:t>
            </w:r>
          </w:p>
          <w:p w14:paraId="0D605FBD" w14:textId="77777777" w:rsidR="00DF4522" w:rsidRPr="00982216" w:rsidRDefault="00DF4522" w:rsidP="00FB53C0">
            <w:pPr>
              <w:tabs>
                <w:tab w:val="left" w:pos="1911"/>
                <w:tab w:val="left" w:pos="8080"/>
              </w:tabs>
              <w:spacing w:line="276" w:lineRule="auto"/>
              <w:rPr>
                <w:rFonts w:ascii="Cambria" w:hAnsi="Cambria"/>
                <w:b/>
              </w:rPr>
            </w:pPr>
          </w:p>
        </w:tc>
        <w:tc>
          <w:tcPr>
            <w:tcW w:w="1417" w:type="dxa"/>
          </w:tcPr>
          <w:p w14:paraId="45459101"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Annual</w:t>
            </w:r>
          </w:p>
          <w:p w14:paraId="18D8A7CF"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Perennial</w:t>
            </w:r>
          </w:p>
        </w:tc>
        <w:tc>
          <w:tcPr>
            <w:tcW w:w="1984" w:type="dxa"/>
          </w:tcPr>
          <w:p w14:paraId="4AAA7EE0"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b/>
              </w:rPr>
              <w:t xml:space="preserve">0.33 </w:t>
            </w:r>
            <w:r w:rsidRPr="00982216">
              <w:rPr>
                <w:rFonts w:ascii="Cambria" w:hAnsi="Cambria" w:cs="font652"/>
                <w:lang w:val="en-US"/>
              </w:rPr>
              <w:t xml:space="preserve">± </w:t>
            </w:r>
            <w:r w:rsidRPr="00982216">
              <w:rPr>
                <w:rFonts w:ascii="Cambria" w:hAnsi="Cambria"/>
              </w:rPr>
              <w:t>0.027</w:t>
            </w:r>
          </w:p>
          <w:p w14:paraId="09D22694"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b/>
              </w:rPr>
              <w:t xml:space="preserve">0.27 </w:t>
            </w:r>
            <w:r w:rsidRPr="00982216">
              <w:rPr>
                <w:rFonts w:ascii="Cambria" w:hAnsi="Cambria" w:cs="font652"/>
                <w:lang w:val="en-US"/>
              </w:rPr>
              <w:t xml:space="preserve">± </w:t>
            </w:r>
            <w:r w:rsidRPr="00982216">
              <w:rPr>
                <w:rFonts w:ascii="Cambria" w:hAnsi="Cambria"/>
              </w:rPr>
              <w:t>0.014</w:t>
            </w:r>
          </w:p>
        </w:tc>
        <w:tc>
          <w:tcPr>
            <w:tcW w:w="2126" w:type="dxa"/>
          </w:tcPr>
          <w:p w14:paraId="5E1EAF04"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b/>
              </w:rPr>
              <w:t xml:space="preserve">0.42 </w:t>
            </w:r>
            <w:r w:rsidRPr="00982216">
              <w:rPr>
                <w:rFonts w:ascii="Cambria" w:hAnsi="Cambria" w:cs="font652"/>
                <w:lang w:val="en-US"/>
              </w:rPr>
              <w:t xml:space="preserve">± </w:t>
            </w:r>
            <w:r w:rsidRPr="00982216">
              <w:rPr>
                <w:rFonts w:ascii="Cambria" w:hAnsi="Cambria"/>
              </w:rPr>
              <w:t>0.030</w:t>
            </w:r>
          </w:p>
          <w:p w14:paraId="5A2D0F95"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b/>
              </w:rPr>
              <w:t xml:space="preserve">0.35 </w:t>
            </w:r>
            <w:r w:rsidRPr="00982216">
              <w:rPr>
                <w:rFonts w:ascii="Cambria" w:hAnsi="Cambria" w:cs="font652"/>
                <w:lang w:val="en-US"/>
              </w:rPr>
              <w:t xml:space="preserve">± </w:t>
            </w:r>
            <w:r w:rsidRPr="00982216">
              <w:rPr>
                <w:rFonts w:ascii="Cambria" w:hAnsi="Cambria"/>
              </w:rPr>
              <w:t>0.014</w:t>
            </w:r>
          </w:p>
        </w:tc>
        <w:tc>
          <w:tcPr>
            <w:tcW w:w="1702" w:type="dxa"/>
          </w:tcPr>
          <w:p w14:paraId="0DBBACE3"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b/>
              </w:rPr>
              <w:t xml:space="preserve">0.46 </w:t>
            </w:r>
            <w:r w:rsidRPr="00982216">
              <w:rPr>
                <w:rFonts w:ascii="Cambria" w:hAnsi="Cambria" w:cs="font652"/>
                <w:lang w:val="en-US"/>
              </w:rPr>
              <w:t xml:space="preserve">± </w:t>
            </w:r>
            <w:r w:rsidRPr="00982216">
              <w:rPr>
                <w:rFonts w:ascii="Cambria" w:hAnsi="Cambria"/>
              </w:rPr>
              <w:t>0.012</w:t>
            </w:r>
          </w:p>
          <w:p w14:paraId="73E42733"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b/>
              </w:rPr>
              <w:t xml:space="preserve">0.44 </w:t>
            </w:r>
            <w:r w:rsidRPr="00982216">
              <w:rPr>
                <w:rFonts w:ascii="Cambria" w:hAnsi="Cambria" w:cs="font652"/>
                <w:lang w:val="en-US"/>
              </w:rPr>
              <w:t xml:space="preserve">± </w:t>
            </w:r>
            <w:r w:rsidRPr="00982216">
              <w:rPr>
                <w:rFonts w:ascii="Cambria" w:hAnsi="Cambria"/>
              </w:rPr>
              <w:t>0.039</w:t>
            </w:r>
          </w:p>
        </w:tc>
      </w:tr>
      <w:tr w:rsidR="00DF4522" w:rsidRPr="00982216" w14:paraId="663C5454" w14:textId="77777777" w:rsidTr="00FB53C0">
        <w:tc>
          <w:tcPr>
            <w:tcW w:w="1985" w:type="dxa"/>
          </w:tcPr>
          <w:p w14:paraId="0966F0B0"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Sheath Mass Ratio</w:t>
            </w:r>
          </w:p>
        </w:tc>
        <w:tc>
          <w:tcPr>
            <w:tcW w:w="1417" w:type="dxa"/>
          </w:tcPr>
          <w:p w14:paraId="4D2C44D6"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Annual</w:t>
            </w:r>
          </w:p>
          <w:p w14:paraId="3659A8B9"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Perennial</w:t>
            </w:r>
          </w:p>
        </w:tc>
        <w:tc>
          <w:tcPr>
            <w:tcW w:w="1984" w:type="dxa"/>
          </w:tcPr>
          <w:p w14:paraId="28AA9906"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b/>
              </w:rPr>
              <w:t xml:space="preserve">0.07 </w:t>
            </w:r>
            <w:r w:rsidRPr="00982216">
              <w:rPr>
                <w:rFonts w:ascii="Cambria" w:hAnsi="Cambria" w:cs="font652"/>
                <w:lang w:val="en-US"/>
              </w:rPr>
              <w:t xml:space="preserve">± </w:t>
            </w:r>
            <w:r w:rsidRPr="00982216">
              <w:rPr>
                <w:rFonts w:ascii="Cambria" w:hAnsi="Cambria"/>
              </w:rPr>
              <w:t>0.004</w:t>
            </w:r>
          </w:p>
          <w:p w14:paraId="33BD5086"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b/>
              </w:rPr>
              <w:t xml:space="preserve">0.14 </w:t>
            </w:r>
            <w:r w:rsidRPr="00982216">
              <w:rPr>
                <w:rFonts w:ascii="Cambria" w:hAnsi="Cambria" w:cs="font652"/>
                <w:lang w:val="en-US"/>
              </w:rPr>
              <w:t xml:space="preserve">± </w:t>
            </w:r>
            <w:r w:rsidRPr="00982216">
              <w:rPr>
                <w:rFonts w:ascii="Cambria" w:hAnsi="Cambria"/>
              </w:rPr>
              <w:t>0.054</w:t>
            </w:r>
          </w:p>
        </w:tc>
        <w:tc>
          <w:tcPr>
            <w:tcW w:w="2126" w:type="dxa"/>
          </w:tcPr>
          <w:p w14:paraId="00C6FA41"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b/>
              </w:rPr>
              <w:t xml:space="preserve">0.17 </w:t>
            </w:r>
            <w:r w:rsidRPr="00982216">
              <w:rPr>
                <w:rFonts w:ascii="Cambria" w:hAnsi="Cambria" w:cs="font652"/>
                <w:lang w:val="en-US"/>
              </w:rPr>
              <w:t xml:space="preserve">± </w:t>
            </w:r>
            <w:r w:rsidRPr="00982216">
              <w:rPr>
                <w:rFonts w:ascii="Cambria" w:hAnsi="Cambria"/>
              </w:rPr>
              <w:t>0.029</w:t>
            </w:r>
          </w:p>
          <w:p w14:paraId="6C7B2D5C"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b/>
              </w:rPr>
              <w:t xml:space="preserve">0.20 </w:t>
            </w:r>
            <w:r w:rsidRPr="00982216">
              <w:rPr>
                <w:rFonts w:ascii="Cambria" w:hAnsi="Cambria" w:cs="font652"/>
                <w:lang w:val="en-US"/>
              </w:rPr>
              <w:t xml:space="preserve">± </w:t>
            </w:r>
            <w:r w:rsidRPr="00982216">
              <w:rPr>
                <w:rFonts w:ascii="Cambria" w:hAnsi="Cambria"/>
              </w:rPr>
              <w:t>0.067</w:t>
            </w:r>
          </w:p>
        </w:tc>
        <w:tc>
          <w:tcPr>
            <w:tcW w:w="1702" w:type="dxa"/>
          </w:tcPr>
          <w:p w14:paraId="4C880088"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b/>
              </w:rPr>
              <w:t xml:space="preserve">0.24 </w:t>
            </w:r>
            <w:r w:rsidRPr="00982216">
              <w:rPr>
                <w:rFonts w:ascii="Cambria" w:hAnsi="Cambria" w:cs="font652"/>
                <w:lang w:val="en-US"/>
              </w:rPr>
              <w:t xml:space="preserve">± </w:t>
            </w:r>
            <w:r w:rsidRPr="00982216">
              <w:rPr>
                <w:rFonts w:ascii="Cambria" w:hAnsi="Cambria"/>
              </w:rPr>
              <w:t>0.020</w:t>
            </w:r>
          </w:p>
          <w:p w14:paraId="18894C2F"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b/>
              </w:rPr>
              <w:t xml:space="preserve">0.19 </w:t>
            </w:r>
            <w:r w:rsidRPr="00982216">
              <w:rPr>
                <w:rFonts w:ascii="Cambria" w:hAnsi="Cambria" w:cs="font652"/>
                <w:lang w:val="en-US"/>
              </w:rPr>
              <w:t xml:space="preserve">± </w:t>
            </w:r>
            <w:r w:rsidRPr="00982216">
              <w:rPr>
                <w:rFonts w:ascii="Cambria" w:hAnsi="Cambria"/>
              </w:rPr>
              <w:t>0.018</w:t>
            </w:r>
          </w:p>
        </w:tc>
      </w:tr>
      <w:tr w:rsidR="00DF4522" w:rsidRPr="00982216" w14:paraId="03777367" w14:textId="77777777" w:rsidTr="00FB53C0">
        <w:tc>
          <w:tcPr>
            <w:tcW w:w="1985" w:type="dxa"/>
          </w:tcPr>
          <w:p w14:paraId="337C0FA1"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Root Mass Ratio</w:t>
            </w:r>
          </w:p>
          <w:p w14:paraId="397069A8" w14:textId="77777777" w:rsidR="00DF4522" w:rsidRPr="00982216" w:rsidRDefault="00DF4522" w:rsidP="00FB53C0">
            <w:pPr>
              <w:tabs>
                <w:tab w:val="left" w:pos="1911"/>
                <w:tab w:val="left" w:pos="8080"/>
              </w:tabs>
              <w:spacing w:line="276" w:lineRule="auto"/>
              <w:rPr>
                <w:rFonts w:ascii="Cambria" w:hAnsi="Cambria"/>
                <w:b/>
              </w:rPr>
            </w:pPr>
          </w:p>
        </w:tc>
        <w:tc>
          <w:tcPr>
            <w:tcW w:w="1417" w:type="dxa"/>
          </w:tcPr>
          <w:p w14:paraId="28922787"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Annual</w:t>
            </w:r>
          </w:p>
          <w:p w14:paraId="0A032330"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Perennial</w:t>
            </w:r>
          </w:p>
        </w:tc>
        <w:tc>
          <w:tcPr>
            <w:tcW w:w="1984" w:type="dxa"/>
          </w:tcPr>
          <w:p w14:paraId="3569A44E"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b/>
              </w:rPr>
              <w:t xml:space="preserve">0.60 </w:t>
            </w:r>
            <w:r w:rsidRPr="00982216">
              <w:rPr>
                <w:rFonts w:ascii="Cambria" w:hAnsi="Cambria" w:cs="font652"/>
                <w:lang w:val="en-US"/>
              </w:rPr>
              <w:t xml:space="preserve">± </w:t>
            </w:r>
            <w:r w:rsidRPr="00982216">
              <w:rPr>
                <w:rFonts w:ascii="Cambria" w:hAnsi="Cambria"/>
              </w:rPr>
              <w:t>0.031</w:t>
            </w:r>
          </w:p>
          <w:p w14:paraId="30D12332"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b/>
              </w:rPr>
              <w:t xml:space="preserve">0.59 </w:t>
            </w:r>
            <w:r w:rsidRPr="00982216">
              <w:rPr>
                <w:rFonts w:ascii="Cambria" w:hAnsi="Cambria" w:cs="font652"/>
                <w:lang w:val="en-US"/>
              </w:rPr>
              <w:t xml:space="preserve">± </w:t>
            </w:r>
            <w:r w:rsidRPr="00982216">
              <w:rPr>
                <w:rFonts w:ascii="Cambria" w:hAnsi="Cambria"/>
              </w:rPr>
              <w:t>0.054</w:t>
            </w:r>
          </w:p>
        </w:tc>
        <w:tc>
          <w:tcPr>
            <w:tcW w:w="2126" w:type="dxa"/>
          </w:tcPr>
          <w:p w14:paraId="62400D5A"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b/>
              </w:rPr>
              <w:t xml:space="preserve">0.41 </w:t>
            </w:r>
            <w:r w:rsidRPr="00982216">
              <w:rPr>
                <w:rFonts w:ascii="Cambria" w:hAnsi="Cambria" w:cs="font652"/>
                <w:lang w:val="en-US"/>
              </w:rPr>
              <w:t xml:space="preserve">± </w:t>
            </w:r>
            <w:r w:rsidRPr="00982216">
              <w:rPr>
                <w:rFonts w:ascii="Cambria" w:hAnsi="Cambria"/>
              </w:rPr>
              <w:t>0.055</w:t>
            </w:r>
          </w:p>
          <w:p w14:paraId="4E4D2DE1"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b/>
              </w:rPr>
              <w:t xml:space="preserve">0.45 </w:t>
            </w:r>
            <w:r w:rsidRPr="00982216">
              <w:rPr>
                <w:rFonts w:ascii="Cambria" w:hAnsi="Cambria" w:cs="font652"/>
                <w:lang w:val="en-US"/>
              </w:rPr>
              <w:t xml:space="preserve">± </w:t>
            </w:r>
            <w:r w:rsidRPr="00982216">
              <w:rPr>
                <w:rFonts w:ascii="Cambria" w:hAnsi="Cambria"/>
              </w:rPr>
              <w:t>0.053</w:t>
            </w:r>
          </w:p>
        </w:tc>
        <w:tc>
          <w:tcPr>
            <w:tcW w:w="1702" w:type="dxa"/>
          </w:tcPr>
          <w:p w14:paraId="01E5F812"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b/>
              </w:rPr>
              <w:t xml:space="preserve">0.30 </w:t>
            </w:r>
            <w:r w:rsidRPr="00982216">
              <w:rPr>
                <w:rFonts w:ascii="Cambria" w:hAnsi="Cambria" w:cs="font652"/>
                <w:lang w:val="en-US"/>
              </w:rPr>
              <w:t xml:space="preserve">± </w:t>
            </w:r>
            <w:r w:rsidRPr="00982216">
              <w:rPr>
                <w:rFonts w:ascii="Cambria" w:hAnsi="Cambria"/>
              </w:rPr>
              <w:t>0.014</w:t>
            </w:r>
          </w:p>
          <w:p w14:paraId="6E6A6A28"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b/>
              </w:rPr>
              <w:t xml:space="preserve">0.37 </w:t>
            </w:r>
            <w:r w:rsidRPr="00982216">
              <w:rPr>
                <w:rFonts w:ascii="Cambria" w:hAnsi="Cambria" w:cs="font652"/>
                <w:lang w:val="en-US"/>
              </w:rPr>
              <w:t xml:space="preserve">± </w:t>
            </w:r>
            <w:r w:rsidRPr="00982216">
              <w:rPr>
                <w:rFonts w:ascii="Cambria" w:hAnsi="Cambria"/>
              </w:rPr>
              <w:t>0.028</w:t>
            </w:r>
          </w:p>
        </w:tc>
      </w:tr>
    </w:tbl>
    <w:p w14:paraId="1892EBFF" w14:textId="77777777" w:rsidR="00DF4522" w:rsidRDefault="00DF4522" w:rsidP="00DF4522">
      <w:pPr>
        <w:spacing w:line="360" w:lineRule="auto"/>
        <w:jc w:val="both"/>
        <w:rPr>
          <w:rFonts w:ascii="Cambria" w:hAnsi="Cambria"/>
        </w:rPr>
      </w:pPr>
    </w:p>
    <w:p w14:paraId="5D4758F9" w14:textId="42FE15F8" w:rsidR="0053120E" w:rsidRDefault="00DF4522" w:rsidP="0053120E">
      <w:pPr>
        <w:spacing w:line="360" w:lineRule="auto"/>
        <w:jc w:val="both"/>
        <w:rPr>
          <w:b/>
          <w:sz w:val="20"/>
          <w:szCs w:val="20"/>
        </w:rPr>
      </w:pPr>
      <w:r w:rsidRPr="00531789">
        <w:rPr>
          <w:rFonts w:ascii="Cambria" w:hAnsi="Cambria"/>
        </w:rPr>
        <w:t>Leaf area ratio (LAR, m</w:t>
      </w:r>
      <w:r w:rsidRPr="00531789">
        <w:rPr>
          <w:rFonts w:ascii="Cambria" w:hAnsi="Cambria"/>
          <w:vertAlign w:val="superscript"/>
        </w:rPr>
        <w:t>2</w:t>
      </w:r>
      <w:r w:rsidRPr="00531789">
        <w:rPr>
          <w:rFonts w:ascii="Cambria" w:hAnsi="Cambria"/>
        </w:rPr>
        <w:t xml:space="preserve"> leaf kg</w:t>
      </w:r>
      <w:r w:rsidRPr="00531789">
        <w:rPr>
          <w:rFonts w:ascii="Cambria" w:hAnsi="Cambria"/>
          <w:vertAlign w:val="superscript"/>
        </w:rPr>
        <w:t>-1</w:t>
      </w:r>
      <w:r w:rsidRPr="00531789">
        <w:rPr>
          <w:rFonts w:ascii="Cambria" w:hAnsi="Cambria"/>
        </w:rPr>
        <w:t xml:space="preserve"> plant) is the product of specific leaf area (SLA, m</w:t>
      </w:r>
      <w:r w:rsidRPr="00531789">
        <w:rPr>
          <w:rFonts w:ascii="Cambria" w:hAnsi="Cambria"/>
          <w:vertAlign w:val="superscript"/>
        </w:rPr>
        <w:t>2</w:t>
      </w:r>
      <w:r w:rsidRPr="00531789">
        <w:rPr>
          <w:rFonts w:ascii="Cambria" w:hAnsi="Cambria"/>
        </w:rPr>
        <w:t xml:space="preserve"> leaf kg</w:t>
      </w:r>
      <w:r w:rsidRPr="00531789">
        <w:rPr>
          <w:rFonts w:ascii="Cambria" w:hAnsi="Cambria"/>
          <w:vertAlign w:val="superscript"/>
        </w:rPr>
        <w:t>-1</w:t>
      </w:r>
      <w:r w:rsidRPr="00531789">
        <w:rPr>
          <w:rFonts w:ascii="Cambria" w:hAnsi="Cambria"/>
        </w:rPr>
        <w:t xml:space="preserve"> leaf) and leaf mass ratio (LMR, kg leaf kg</w:t>
      </w:r>
      <w:r w:rsidRPr="00531789">
        <w:rPr>
          <w:rFonts w:ascii="Cambria" w:hAnsi="Cambria"/>
          <w:vertAlign w:val="superscript"/>
        </w:rPr>
        <w:t>-1</w:t>
      </w:r>
      <w:r w:rsidRPr="00531789">
        <w:rPr>
          <w:rFonts w:ascii="Cambria" w:hAnsi="Cambria"/>
        </w:rPr>
        <w:t xml:space="preserve"> plant).  Although LMR is slightly higher in the annual, SLA is slightly higher in the perennial (F</w:t>
      </w:r>
      <w:r w:rsidRPr="00531789">
        <w:rPr>
          <w:rFonts w:ascii="Cambria" w:hAnsi="Cambria"/>
          <w:vertAlign w:val="subscript"/>
        </w:rPr>
        <w:t>(1,45)</w:t>
      </w:r>
      <w:r w:rsidRPr="00531789">
        <w:rPr>
          <w:rFonts w:ascii="Cambria" w:hAnsi="Cambria"/>
        </w:rPr>
        <w:t xml:space="preserve"> = 5.97, p&lt;0.05), meaning that LAR is the same in both species (Table 2).  LAR and SLA decrease with age in both species (LAR: F</w:t>
      </w:r>
      <w:r w:rsidRPr="00531789">
        <w:rPr>
          <w:rFonts w:ascii="Cambria" w:hAnsi="Cambria"/>
          <w:vertAlign w:val="subscript"/>
        </w:rPr>
        <w:t>(1,45)</w:t>
      </w:r>
      <w:r w:rsidRPr="00531789">
        <w:rPr>
          <w:rFonts w:ascii="Cambria" w:hAnsi="Cambria"/>
        </w:rPr>
        <w:t xml:space="preserve"> = 34.6, p&lt;0.001; SLA: F</w:t>
      </w:r>
      <w:r w:rsidRPr="00531789">
        <w:rPr>
          <w:rFonts w:ascii="Cambria" w:hAnsi="Cambria"/>
          <w:vertAlign w:val="subscript"/>
        </w:rPr>
        <w:t>(1,45)</w:t>
      </w:r>
      <w:r w:rsidRPr="00531789">
        <w:rPr>
          <w:rFonts w:ascii="Cambria" w:hAnsi="Cambria"/>
        </w:rPr>
        <w:t xml:space="preserve"> = 42.2, p&lt;0.001), whereas LAR increases with nitrogen treatment (F</w:t>
      </w:r>
      <w:r w:rsidRPr="00531789">
        <w:rPr>
          <w:rFonts w:ascii="Cambria" w:hAnsi="Cambria"/>
          <w:vertAlign w:val="subscript"/>
        </w:rPr>
        <w:t>(1,45)</w:t>
      </w:r>
      <w:r w:rsidRPr="00531789">
        <w:rPr>
          <w:rFonts w:ascii="Cambria" w:hAnsi="Cambria"/>
        </w:rPr>
        <w:t xml:space="preserve"> = 56.6, p&lt;0.001), in addition to the increase in LMR documented above (Table 1).  Thus at higher nitrogen treatment levels, proportionately more biomass is allocated to leaves and there is also more leaf area per unit biomass.</w:t>
      </w:r>
    </w:p>
    <w:p w14:paraId="3AC343DD" w14:textId="77777777" w:rsidR="0053120E" w:rsidRDefault="0053120E" w:rsidP="00DF4522">
      <w:pPr>
        <w:tabs>
          <w:tab w:val="left" w:pos="1911"/>
          <w:tab w:val="left" w:pos="8080"/>
        </w:tabs>
        <w:jc w:val="both"/>
        <w:rPr>
          <w:b/>
          <w:sz w:val="20"/>
          <w:szCs w:val="20"/>
        </w:rPr>
      </w:pPr>
    </w:p>
    <w:p w14:paraId="7664D461" w14:textId="77777777" w:rsidR="00DF4522" w:rsidRDefault="00DF4522" w:rsidP="00DF4522">
      <w:pPr>
        <w:tabs>
          <w:tab w:val="left" w:pos="1911"/>
          <w:tab w:val="left" w:pos="8080"/>
        </w:tabs>
        <w:jc w:val="both"/>
        <w:rPr>
          <w:b/>
          <w:sz w:val="20"/>
          <w:szCs w:val="20"/>
        </w:rPr>
      </w:pPr>
    </w:p>
    <w:p w14:paraId="1534747E" w14:textId="7CAB59DF" w:rsidR="00DF4522" w:rsidRPr="0093103B" w:rsidRDefault="00DF4522" w:rsidP="00DF4522">
      <w:pPr>
        <w:tabs>
          <w:tab w:val="left" w:pos="1911"/>
          <w:tab w:val="left" w:pos="8080"/>
        </w:tabs>
        <w:jc w:val="both"/>
        <w:rPr>
          <w:color w:val="FF0000"/>
          <w:sz w:val="20"/>
          <w:szCs w:val="20"/>
        </w:rPr>
      </w:pPr>
      <w:r w:rsidRPr="0093103B">
        <w:rPr>
          <w:b/>
          <w:sz w:val="20"/>
          <w:szCs w:val="20"/>
        </w:rPr>
        <w:t xml:space="preserve">Table 2.  </w:t>
      </w:r>
      <w:r w:rsidRPr="0093103B">
        <w:rPr>
          <w:sz w:val="20"/>
          <w:szCs w:val="20"/>
        </w:rPr>
        <w:t>Leaf area ratio (LAR, expressed here as m</w:t>
      </w:r>
      <w:r w:rsidRPr="0093103B">
        <w:rPr>
          <w:sz w:val="20"/>
          <w:szCs w:val="20"/>
          <w:vertAlign w:val="superscript"/>
        </w:rPr>
        <w:t>2</w:t>
      </w:r>
      <w:r w:rsidRPr="0093103B">
        <w:rPr>
          <w:sz w:val="20"/>
          <w:szCs w:val="20"/>
        </w:rPr>
        <w:t xml:space="preserve"> leaf kg</w:t>
      </w:r>
      <w:r w:rsidRPr="0093103B">
        <w:rPr>
          <w:sz w:val="20"/>
          <w:szCs w:val="20"/>
          <w:vertAlign w:val="superscript"/>
        </w:rPr>
        <w:t>-1</w:t>
      </w:r>
      <w:r w:rsidRPr="0093103B">
        <w:rPr>
          <w:sz w:val="20"/>
          <w:szCs w:val="20"/>
        </w:rPr>
        <w:t xml:space="preserve"> plant) and specific leaf area (SLA, expressed here as m</w:t>
      </w:r>
      <w:r w:rsidRPr="0093103B">
        <w:rPr>
          <w:sz w:val="20"/>
          <w:szCs w:val="20"/>
          <w:vertAlign w:val="superscript"/>
        </w:rPr>
        <w:t>2</w:t>
      </w:r>
      <w:r w:rsidRPr="0093103B">
        <w:rPr>
          <w:sz w:val="20"/>
          <w:szCs w:val="20"/>
        </w:rPr>
        <w:t xml:space="preserve"> leaf kg</w:t>
      </w:r>
      <w:r w:rsidRPr="0093103B">
        <w:rPr>
          <w:sz w:val="20"/>
          <w:szCs w:val="20"/>
          <w:vertAlign w:val="superscript"/>
        </w:rPr>
        <w:t>-1</w:t>
      </w:r>
      <w:r w:rsidRPr="0093103B">
        <w:rPr>
          <w:sz w:val="20"/>
          <w:szCs w:val="20"/>
        </w:rPr>
        <w:t xml:space="preserve"> leaf) decrease with age, and LAR increases with nitrogen treatment, in annual and perennial barley harvested 14, 28 and 42 days after germination.  SLA is higher in perennial than annual barley overall, whilst LAR does not differ </w:t>
      </w:r>
      <w:r w:rsidR="009B41AA">
        <w:rPr>
          <w:sz w:val="20"/>
          <w:szCs w:val="20"/>
        </w:rPr>
        <w:t xml:space="preserve">between </w:t>
      </w:r>
      <w:r w:rsidRPr="0093103B">
        <w:rPr>
          <w:sz w:val="20"/>
          <w:szCs w:val="20"/>
        </w:rPr>
        <w:t xml:space="preserve">species.  LAR is the product of SLA (measured on all plants in the main study at the time of metabolite harvest) and LMR (from the subset of plants harvested for biomass calibration; see Table 1). </w:t>
      </w:r>
      <w:r w:rsidRPr="0093103B">
        <w:rPr>
          <w:color w:val="FF0000"/>
          <w:sz w:val="20"/>
          <w:szCs w:val="20"/>
        </w:rPr>
        <w:t xml:space="preserve"> </w:t>
      </w:r>
      <w:r w:rsidRPr="0093103B">
        <w:rPr>
          <w:sz w:val="20"/>
          <w:szCs w:val="20"/>
        </w:rPr>
        <w:t xml:space="preserve">Data show </w:t>
      </w:r>
      <w:r w:rsidRPr="0093103B">
        <w:rPr>
          <w:rFonts w:ascii="Cambria" w:hAnsi="Cambria"/>
          <w:sz w:val="20"/>
          <w:szCs w:val="20"/>
        </w:rPr>
        <w:t xml:space="preserve">mean </w:t>
      </w:r>
      <w:r w:rsidRPr="0093103B">
        <w:rPr>
          <w:rFonts w:ascii="Cambria" w:hAnsi="Cambria" w:cs="font652"/>
          <w:sz w:val="20"/>
          <w:szCs w:val="20"/>
          <w:lang w:val="en-US"/>
        </w:rPr>
        <w:t xml:space="preserve">± SE (n=3). </w:t>
      </w:r>
    </w:p>
    <w:p w14:paraId="1865C4F1" w14:textId="77777777" w:rsidR="00DF4522" w:rsidRPr="0093103B" w:rsidRDefault="00DF4522" w:rsidP="00DF4522">
      <w:pPr>
        <w:tabs>
          <w:tab w:val="left" w:pos="1911"/>
          <w:tab w:val="left" w:pos="8080"/>
        </w:tabs>
        <w:jc w:val="both"/>
        <w:rPr>
          <w:sz w:val="20"/>
          <w:szCs w:val="20"/>
        </w:rPr>
      </w:pPr>
    </w:p>
    <w:tbl>
      <w:tblPr>
        <w:tblStyle w:val="TableGrid"/>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5"/>
        <w:gridCol w:w="1417"/>
        <w:gridCol w:w="1984"/>
        <w:gridCol w:w="2126"/>
        <w:gridCol w:w="1702"/>
      </w:tblGrid>
      <w:tr w:rsidR="00DF4522" w:rsidRPr="00982216" w14:paraId="732E1775" w14:textId="77777777" w:rsidTr="00FB53C0">
        <w:tc>
          <w:tcPr>
            <w:tcW w:w="1985" w:type="dxa"/>
          </w:tcPr>
          <w:p w14:paraId="134109C0" w14:textId="77777777" w:rsidR="00DF4522" w:rsidRPr="00982216" w:rsidRDefault="00DF4522" w:rsidP="00FB53C0">
            <w:pPr>
              <w:tabs>
                <w:tab w:val="left" w:pos="1911"/>
                <w:tab w:val="left" w:pos="8080"/>
              </w:tabs>
              <w:spacing w:line="360" w:lineRule="auto"/>
              <w:jc w:val="center"/>
              <w:rPr>
                <w:rFonts w:ascii="Cambria" w:hAnsi="Cambria"/>
                <w:b/>
              </w:rPr>
            </w:pPr>
          </w:p>
        </w:tc>
        <w:tc>
          <w:tcPr>
            <w:tcW w:w="1417" w:type="dxa"/>
          </w:tcPr>
          <w:p w14:paraId="411FC711" w14:textId="77777777" w:rsidR="00DF4522" w:rsidRPr="00982216" w:rsidRDefault="00DF4522" w:rsidP="00FB53C0">
            <w:pPr>
              <w:tabs>
                <w:tab w:val="left" w:pos="1911"/>
                <w:tab w:val="left" w:pos="8080"/>
              </w:tabs>
              <w:spacing w:line="360" w:lineRule="auto"/>
              <w:rPr>
                <w:rFonts w:ascii="Cambria" w:hAnsi="Cambria"/>
                <w:b/>
              </w:rPr>
            </w:pPr>
            <w:r w:rsidRPr="00982216">
              <w:rPr>
                <w:rFonts w:ascii="Cambria" w:hAnsi="Cambria"/>
                <w:b/>
              </w:rPr>
              <w:t>Species</w:t>
            </w:r>
          </w:p>
        </w:tc>
        <w:tc>
          <w:tcPr>
            <w:tcW w:w="1984" w:type="dxa"/>
          </w:tcPr>
          <w:p w14:paraId="7B24B97A" w14:textId="77777777" w:rsidR="00DF4522" w:rsidRPr="00982216" w:rsidRDefault="00DF4522" w:rsidP="00FB53C0">
            <w:pPr>
              <w:tabs>
                <w:tab w:val="left" w:pos="1911"/>
                <w:tab w:val="left" w:pos="8080"/>
              </w:tabs>
              <w:spacing w:line="360" w:lineRule="auto"/>
              <w:jc w:val="center"/>
              <w:rPr>
                <w:rFonts w:ascii="Cambria" w:hAnsi="Cambria"/>
                <w:b/>
              </w:rPr>
            </w:pPr>
            <w:r w:rsidRPr="00982216">
              <w:rPr>
                <w:rFonts w:ascii="Cambria" w:hAnsi="Cambria"/>
                <w:b/>
              </w:rPr>
              <w:t>1% nitrogen</w:t>
            </w:r>
          </w:p>
        </w:tc>
        <w:tc>
          <w:tcPr>
            <w:tcW w:w="2126" w:type="dxa"/>
          </w:tcPr>
          <w:p w14:paraId="4AEC8983" w14:textId="77777777" w:rsidR="00DF4522" w:rsidRPr="00982216" w:rsidRDefault="00DF4522" w:rsidP="00FB53C0">
            <w:pPr>
              <w:tabs>
                <w:tab w:val="left" w:pos="1911"/>
                <w:tab w:val="left" w:pos="8080"/>
              </w:tabs>
              <w:spacing w:line="360" w:lineRule="auto"/>
              <w:jc w:val="center"/>
              <w:rPr>
                <w:rFonts w:ascii="Cambria" w:hAnsi="Cambria"/>
                <w:b/>
              </w:rPr>
            </w:pPr>
            <w:r w:rsidRPr="00982216">
              <w:rPr>
                <w:rFonts w:ascii="Cambria" w:hAnsi="Cambria"/>
                <w:b/>
              </w:rPr>
              <w:t>20% nitrogen</w:t>
            </w:r>
          </w:p>
        </w:tc>
        <w:tc>
          <w:tcPr>
            <w:tcW w:w="1702" w:type="dxa"/>
          </w:tcPr>
          <w:p w14:paraId="6F643ABB" w14:textId="77777777" w:rsidR="00DF4522" w:rsidRPr="00982216" w:rsidRDefault="00DF4522" w:rsidP="00FB53C0">
            <w:pPr>
              <w:tabs>
                <w:tab w:val="left" w:pos="1911"/>
                <w:tab w:val="left" w:pos="8080"/>
              </w:tabs>
              <w:spacing w:line="360" w:lineRule="auto"/>
              <w:jc w:val="center"/>
              <w:rPr>
                <w:rFonts w:ascii="Cambria" w:hAnsi="Cambria"/>
                <w:b/>
              </w:rPr>
            </w:pPr>
            <w:r w:rsidRPr="00982216">
              <w:rPr>
                <w:rFonts w:ascii="Cambria" w:hAnsi="Cambria"/>
                <w:b/>
              </w:rPr>
              <w:t>100% nitrogen</w:t>
            </w:r>
          </w:p>
        </w:tc>
      </w:tr>
      <w:tr w:rsidR="00DF4522" w:rsidRPr="00982216" w14:paraId="3482C7E3" w14:textId="77777777" w:rsidTr="00FB53C0">
        <w:tc>
          <w:tcPr>
            <w:tcW w:w="1985" w:type="dxa"/>
          </w:tcPr>
          <w:p w14:paraId="4A46E9B3"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LAR, 14 days</w:t>
            </w:r>
          </w:p>
        </w:tc>
        <w:tc>
          <w:tcPr>
            <w:tcW w:w="1417" w:type="dxa"/>
          </w:tcPr>
          <w:p w14:paraId="1D805E28"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Annual</w:t>
            </w:r>
          </w:p>
          <w:p w14:paraId="60A8EE1C"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Perennial</w:t>
            </w:r>
          </w:p>
        </w:tc>
        <w:tc>
          <w:tcPr>
            <w:tcW w:w="1984" w:type="dxa"/>
          </w:tcPr>
          <w:p w14:paraId="4BC3903F" w14:textId="77777777" w:rsidR="00DF4522" w:rsidRPr="00982216" w:rsidRDefault="00DF4522" w:rsidP="00FB53C0">
            <w:pPr>
              <w:jc w:val="center"/>
              <w:rPr>
                <w:rFonts w:ascii="Cambria" w:hAnsi="Cambria"/>
                <w:color w:val="000000"/>
              </w:rPr>
            </w:pPr>
            <w:r w:rsidRPr="00982216">
              <w:rPr>
                <w:rFonts w:ascii="Cambria" w:hAnsi="Cambria"/>
                <w:b/>
                <w:color w:val="000000"/>
              </w:rPr>
              <w:t xml:space="preserve">11.3 </w:t>
            </w:r>
            <w:r w:rsidRPr="00982216">
              <w:rPr>
                <w:rFonts w:ascii="Cambria" w:hAnsi="Cambria" w:cs="font652"/>
                <w:lang w:val="en-US"/>
              </w:rPr>
              <w:t xml:space="preserve">± </w:t>
            </w:r>
            <w:r w:rsidRPr="00982216">
              <w:rPr>
                <w:rFonts w:ascii="Cambria" w:hAnsi="Cambria"/>
                <w:color w:val="000000"/>
              </w:rPr>
              <w:t>0.476</w:t>
            </w:r>
          </w:p>
          <w:p w14:paraId="2881A631" w14:textId="77777777" w:rsidR="00DF4522" w:rsidRPr="00982216" w:rsidRDefault="00DF4522" w:rsidP="00FB53C0">
            <w:pPr>
              <w:jc w:val="center"/>
              <w:rPr>
                <w:rFonts w:ascii="Cambria" w:hAnsi="Cambria"/>
                <w:color w:val="000000"/>
              </w:rPr>
            </w:pPr>
            <w:r w:rsidRPr="00982216">
              <w:rPr>
                <w:rFonts w:ascii="Cambria" w:hAnsi="Cambria"/>
                <w:b/>
                <w:color w:val="000000"/>
              </w:rPr>
              <w:t>9.5</w:t>
            </w:r>
            <w:r w:rsidRPr="00982216">
              <w:rPr>
                <w:rFonts w:ascii="Cambria" w:hAnsi="Cambria"/>
                <w:color w:val="000000"/>
              </w:rPr>
              <w:t xml:space="preserve"> </w:t>
            </w:r>
            <w:r w:rsidRPr="00982216">
              <w:rPr>
                <w:rFonts w:ascii="Cambria" w:hAnsi="Cambria" w:cs="font652"/>
                <w:lang w:val="en-US"/>
              </w:rPr>
              <w:t xml:space="preserve">± </w:t>
            </w:r>
            <w:r w:rsidRPr="00982216">
              <w:rPr>
                <w:rFonts w:ascii="Cambria" w:hAnsi="Cambria"/>
                <w:color w:val="000000"/>
              </w:rPr>
              <w:t>0.773</w:t>
            </w:r>
          </w:p>
        </w:tc>
        <w:tc>
          <w:tcPr>
            <w:tcW w:w="2126" w:type="dxa"/>
          </w:tcPr>
          <w:p w14:paraId="10D16F75" w14:textId="77777777" w:rsidR="00DF4522" w:rsidRPr="00982216" w:rsidRDefault="00DF4522" w:rsidP="00FB53C0">
            <w:pPr>
              <w:jc w:val="center"/>
              <w:rPr>
                <w:rFonts w:ascii="Cambria" w:hAnsi="Cambria"/>
                <w:color w:val="000000"/>
              </w:rPr>
            </w:pPr>
            <w:r w:rsidRPr="00982216">
              <w:rPr>
                <w:rFonts w:ascii="Cambria" w:hAnsi="Cambria"/>
                <w:b/>
                <w:color w:val="000000"/>
              </w:rPr>
              <w:t>14.7</w:t>
            </w:r>
            <w:r w:rsidRPr="00982216">
              <w:rPr>
                <w:rFonts w:ascii="Cambria" w:hAnsi="Cambria"/>
                <w:color w:val="000000"/>
              </w:rPr>
              <w:t xml:space="preserve"> </w:t>
            </w:r>
            <w:r w:rsidRPr="00982216">
              <w:rPr>
                <w:rFonts w:ascii="Cambria" w:hAnsi="Cambria" w:cs="font652"/>
                <w:lang w:val="en-US"/>
              </w:rPr>
              <w:t xml:space="preserve">± </w:t>
            </w:r>
            <w:r w:rsidRPr="00982216">
              <w:rPr>
                <w:rFonts w:ascii="Cambria" w:hAnsi="Cambria"/>
                <w:color w:val="000000"/>
              </w:rPr>
              <w:t>1.138</w:t>
            </w:r>
          </w:p>
          <w:p w14:paraId="4DADA42F" w14:textId="77777777" w:rsidR="00DF4522" w:rsidRPr="00982216" w:rsidRDefault="00DF4522" w:rsidP="00FB53C0">
            <w:pPr>
              <w:tabs>
                <w:tab w:val="left" w:pos="1911"/>
                <w:tab w:val="left" w:pos="8080"/>
              </w:tabs>
              <w:spacing w:line="276" w:lineRule="auto"/>
              <w:jc w:val="center"/>
              <w:rPr>
                <w:rFonts w:ascii="Cambria" w:hAnsi="Cambria"/>
                <w:b/>
              </w:rPr>
            </w:pPr>
            <w:r w:rsidRPr="00982216">
              <w:rPr>
                <w:rFonts w:ascii="Cambria" w:hAnsi="Cambria" w:cs="font652"/>
                <w:b/>
                <w:lang w:val="en-US"/>
              </w:rPr>
              <w:t>16.1</w:t>
            </w:r>
            <w:r w:rsidRPr="00982216">
              <w:rPr>
                <w:rFonts w:ascii="Cambria" w:hAnsi="Cambria" w:cs="font652"/>
                <w:lang w:val="en-US"/>
              </w:rPr>
              <w:t xml:space="preserve"> ± 0.678</w:t>
            </w:r>
          </w:p>
        </w:tc>
        <w:tc>
          <w:tcPr>
            <w:tcW w:w="1702" w:type="dxa"/>
          </w:tcPr>
          <w:p w14:paraId="19808042" w14:textId="77777777" w:rsidR="00DF4522" w:rsidRPr="00982216" w:rsidRDefault="00DF4522" w:rsidP="00FB53C0">
            <w:pPr>
              <w:jc w:val="center"/>
              <w:rPr>
                <w:rFonts w:ascii="Cambria" w:hAnsi="Cambria"/>
                <w:color w:val="000000"/>
              </w:rPr>
            </w:pPr>
            <w:r w:rsidRPr="00982216">
              <w:rPr>
                <w:rFonts w:ascii="Cambria" w:hAnsi="Cambria"/>
                <w:b/>
                <w:color w:val="000000"/>
              </w:rPr>
              <w:t>20.0</w:t>
            </w:r>
            <w:r w:rsidRPr="00982216">
              <w:rPr>
                <w:rFonts w:ascii="Cambria" w:hAnsi="Cambria"/>
                <w:color w:val="000000"/>
              </w:rPr>
              <w:t xml:space="preserve"> </w:t>
            </w:r>
            <w:r w:rsidRPr="00982216">
              <w:rPr>
                <w:rFonts w:ascii="Cambria" w:hAnsi="Cambria" w:cs="font652"/>
                <w:lang w:val="en-US"/>
              </w:rPr>
              <w:t xml:space="preserve">± </w:t>
            </w:r>
            <w:r w:rsidRPr="00982216">
              <w:rPr>
                <w:rFonts w:ascii="Cambria" w:hAnsi="Cambria"/>
                <w:color w:val="000000"/>
              </w:rPr>
              <w:t>2.237</w:t>
            </w:r>
          </w:p>
          <w:p w14:paraId="71C52E01" w14:textId="77777777" w:rsidR="00DF4522" w:rsidRPr="00982216" w:rsidRDefault="00DF4522" w:rsidP="00FB53C0">
            <w:pPr>
              <w:tabs>
                <w:tab w:val="left" w:pos="712"/>
                <w:tab w:val="center" w:pos="955"/>
                <w:tab w:val="left" w:pos="1911"/>
                <w:tab w:val="left" w:pos="8080"/>
              </w:tabs>
              <w:spacing w:line="276" w:lineRule="auto"/>
              <w:jc w:val="center"/>
              <w:rPr>
                <w:rFonts w:ascii="Cambria" w:hAnsi="Cambria"/>
                <w:b/>
              </w:rPr>
            </w:pPr>
            <w:r w:rsidRPr="00982216">
              <w:rPr>
                <w:rFonts w:ascii="Cambria" w:hAnsi="Cambria" w:cs="font652"/>
                <w:b/>
                <w:lang w:val="en-US"/>
              </w:rPr>
              <w:t>19.9</w:t>
            </w:r>
            <w:r w:rsidRPr="00982216">
              <w:rPr>
                <w:rFonts w:ascii="Cambria" w:hAnsi="Cambria" w:cs="font652"/>
                <w:lang w:val="en-US"/>
              </w:rPr>
              <w:t xml:space="preserve"> ± 1.676</w:t>
            </w:r>
          </w:p>
        </w:tc>
      </w:tr>
      <w:tr w:rsidR="00DF4522" w:rsidRPr="00982216" w14:paraId="21E61376" w14:textId="77777777" w:rsidTr="00FB53C0">
        <w:tc>
          <w:tcPr>
            <w:tcW w:w="1985" w:type="dxa"/>
          </w:tcPr>
          <w:p w14:paraId="183B1C1F"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 xml:space="preserve">LAR, 28 days </w:t>
            </w:r>
          </w:p>
        </w:tc>
        <w:tc>
          <w:tcPr>
            <w:tcW w:w="1417" w:type="dxa"/>
          </w:tcPr>
          <w:p w14:paraId="2EB27DC5"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Annual</w:t>
            </w:r>
          </w:p>
          <w:p w14:paraId="108FC45D"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Perennial</w:t>
            </w:r>
          </w:p>
        </w:tc>
        <w:tc>
          <w:tcPr>
            <w:tcW w:w="1984" w:type="dxa"/>
          </w:tcPr>
          <w:p w14:paraId="766CD66F" w14:textId="77777777" w:rsidR="00DF4522" w:rsidRPr="00982216" w:rsidRDefault="00DF4522" w:rsidP="00FB53C0">
            <w:pPr>
              <w:jc w:val="center"/>
              <w:rPr>
                <w:rFonts w:ascii="Cambria" w:hAnsi="Cambria"/>
                <w:color w:val="000000"/>
              </w:rPr>
            </w:pPr>
            <w:r w:rsidRPr="00982216">
              <w:rPr>
                <w:rFonts w:ascii="Cambria" w:hAnsi="Cambria"/>
                <w:b/>
                <w:color w:val="000000"/>
              </w:rPr>
              <w:t>12.0</w:t>
            </w:r>
            <w:r w:rsidRPr="00982216">
              <w:rPr>
                <w:rFonts w:ascii="Cambria" w:hAnsi="Cambria"/>
                <w:color w:val="000000"/>
              </w:rPr>
              <w:t xml:space="preserve"> </w:t>
            </w:r>
            <w:r w:rsidRPr="00982216">
              <w:rPr>
                <w:rFonts w:ascii="Cambria" w:hAnsi="Cambria" w:cs="font652"/>
                <w:lang w:val="en-US"/>
              </w:rPr>
              <w:t xml:space="preserve">± </w:t>
            </w:r>
            <w:r w:rsidRPr="00982216">
              <w:rPr>
                <w:rFonts w:ascii="Cambria" w:hAnsi="Cambria"/>
                <w:color w:val="000000"/>
              </w:rPr>
              <w:t>0.227</w:t>
            </w:r>
          </w:p>
          <w:p w14:paraId="486B586F" w14:textId="77777777" w:rsidR="00DF4522" w:rsidRPr="00982216" w:rsidRDefault="00DF4522" w:rsidP="00FB53C0">
            <w:pPr>
              <w:jc w:val="center"/>
              <w:rPr>
                <w:rFonts w:ascii="Cambria" w:hAnsi="Cambria"/>
                <w:color w:val="000000"/>
              </w:rPr>
            </w:pPr>
            <w:r w:rsidRPr="00982216">
              <w:rPr>
                <w:rFonts w:ascii="Cambria" w:hAnsi="Cambria"/>
                <w:b/>
                <w:color w:val="000000"/>
              </w:rPr>
              <w:t>12.3</w:t>
            </w:r>
            <w:r w:rsidRPr="00982216">
              <w:rPr>
                <w:rFonts w:ascii="Cambria" w:hAnsi="Cambria"/>
                <w:color w:val="000000"/>
              </w:rPr>
              <w:t xml:space="preserve"> </w:t>
            </w:r>
            <w:r w:rsidRPr="00982216">
              <w:rPr>
                <w:rFonts w:ascii="Cambria" w:hAnsi="Cambria" w:cs="font652"/>
                <w:lang w:val="en-US"/>
              </w:rPr>
              <w:t>±</w:t>
            </w:r>
            <w:r w:rsidRPr="00982216">
              <w:rPr>
                <w:rFonts w:ascii="Cambria" w:hAnsi="Cambria"/>
                <w:color w:val="000000"/>
              </w:rPr>
              <w:t xml:space="preserve"> 3.202</w:t>
            </w:r>
          </w:p>
        </w:tc>
        <w:tc>
          <w:tcPr>
            <w:tcW w:w="2126" w:type="dxa"/>
          </w:tcPr>
          <w:p w14:paraId="592C7AC1" w14:textId="77777777" w:rsidR="00DF4522" w:rsidRPr="00982216" w:rsidRDefault="00DF4522" w:rsidP="00FB53C0">
            <w:pPr>
              <w:tabs>
                <w:tab w:val="left" w:pos="777"/>
                <w:tab w:val="center" w:pos="955"/>
                <w:tab w:val="left" w:pos="1911"/>
                <w:tab w:val="left" w:pos="8080"/>
              </w:tabs>
              <w:spacing w:line="276" w:lineRule="auto"/>
              <w:jc w:val="center"/>
              <w:rPr>
                <w:rFonts w:ascii="Cambria" w:hAnsi="Cambria" w:cs="font652"/>
                <w:lang w:val="en-US"/>
              </w:rPr>
            </w:pPr>
            <w:r w:rsidRPr="00982216">
              <w:rPr>
                <w:rFonts w:ascii="Cambria" w:hAnsi="Cambria"/>
                <w:b/>
                <w:color w:val="000000"/>
              </w:rPr>
              <w:t>13.7</w:t>
            </w:r>
            <w:r w:rsidRPr="00982216">
              <w:rPr>
                <w:rFonts w:ascii="Cambria" w:hAnsi="Cambria" w:cs="font652"/>
                <w:lang w:val="en-US"/>
              </w:rPr>
              <w:t xml:space="preserve"> ± </w:t>
            </w:r>
            <w:r w:rsidRPr="00982216">
              <w:rPr>
                <w:rFonts w:ascii="Cambria" w:hAnsi="Cambria"/>
                <w:color w:val="000000"/>
              </w:rPr>
              <w:t>0.543</w:t>
            </w:r>
          </w:p>
          <w:p w14:paraId="1A6E358D"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cs="font652"/>
                <w:b/>
                <w:lang w:val="en-US"/>
              </w:rPr>
              <w:t>13.6</w:t>
            </w:r>
            <w:r w:rsidRPr="00982216">
              <w:rPr>
                <w:rFonts w:ascii="Cambria" w:hAnsi="Cambria" w:cs="font652"/>
                <w:lang w:val="en-US"/>
              </w:rPr>
              <w:t xml:space="preserve"> ± 1.079</w:t>
            </w:r>
          </w:p>
        </w:tc>
        <w:tc>
          <w:tcPr>
            <w:tcW w:w="1702" w:type="dxa"/>
          </w:tcPr>
          <w:p w14:paraId="11092A3B" w14:textId="77777777" w:rsidR="00DF4522" w:rsidRPr="00982216" w:rsidRDefault="00DF4522" w:rsidP="00FB53C0">
            <w:pPr>
              <w:jc w:val="center"/>
              <w:rPr>
                <w:rFonts w:ascii="Cambria" w:hAnsi="Cambria"/>
                <w:color w:val="000000"/>
              </w:rPr>
            </w:pPr>
            <w:r w:rsidRPr="00982216">
              <w:rPr>
                <w:rFonts w:ascii="Cambria" w:hAnsi="Cambria"/>
                <w:b/>
                <w:color w:val="000000"/>
              </w:rPr>
              <w:t>17.3</w:t>
            </w:r>
            <w:r w:rsidRPr="00982216">
              <w:rPr>
                <w:rFonts w:ascii="Cambria" w:hAnsi="Cambria"/>
                <w:color w:val="000000"/>
              </w:rPr>
              <w:t xml:space="preserve"> </w:t>
            </w:r>
            <w:r w:rsidRPr="00982216">
              <w:rPr>
                <w:rFonts w:ascii="Cambria" w:hAnsi="Cambria" w:cs="font652"/>
                <w:lang w:val="en-US"/>
              </w:rPr>
              <w:t xml:space="preserve">± </w:t>
            </w:r>
            <w:r w:rsidRPr="00982216">
              <w:rPr>
                <w:rFonts w:ascii="Cambria" w:hAnsi="Cambria"/>
                <w:color w:val="000000"/>
              </w:rPr>
              <w:t>1.137</w:t>
            </w:r>
          </w:p>
          <w:p w14:paraId="27A5E244"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cs="font652"/>
                <w:b/>
                <w:lang w:val="en-US"/>
              </w:rPr>
              <w:t>16.1</w:t>
            </w:r>
            <w:r w:rsidRPr="00982216">
              <w:rPr>
                <w:rFonts w:ascii="Cambria" w:hAnsi="Cambria" w:cs="font652"/>
                <w:lang w:val="en-US"/>
              </w:rPr>
              <w:t xml:space="preserve"> ± 1.842</w:t>
            </w:r>
          </w:p>
        </w:tc>
      </w:tr>
      <w:tr w:rsidR="00DF4522" w:rsidRPr="00982216" w14:paraId="26EB365B" w14:textId="77777777" w:rsidTr="00FB53C0">
        <w:tc>
          <w:tcPr>
            <w:tcW w:w="1985" w:type="dxa"/>
          </w:tcPr>
          <w:p w14:paraId="128557A8"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LAR, 42 days</w:t>
            </w:r>
          </w:p>
        </w:tc>
        <w:tc>
          <w:tcPr>
            <w:tcW w:w="1417" w:type="dxa"/>
          </w:tcPr>
          <w:p w14:paraId="20808DF1"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Annual</w:t>
            </w:r>
          </w:p>
          <w:p w14:paraId="7ED21C15"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Perennial</w:t>
            </w:r>
          </w:p>
        </w:tc>
        <w:tc>
          <w:tcPr>
            <w:tcW w:w="1984" w:type="dxa"/>
          </w:tcPr>
          <w:p w14:paraId="5D8C410C" w14:textId="77777777" w:rsidR="00DF4522" w:rsidRPr="00982216" w:rsidRDefault="00DF4522" w:rsidP="00FB53C0">
            <w:pPr>
              <w:tabs>
                <w:tab w:val="left" w:pos="781"/>
                <w:tab w:val="center" w:pos="884"/>
                <w:tab w:val="left" w:pos="1911"/>
                <w:tab w:val="left" w:pos="8080"/>
              </w:tabs>
              <w:spacing w:line="276" w:lineRule="auto"/>
              <w:jc w:val="center"/>
              <w:rPr>
                <w:rFonts w:ascii="Cambria" w:hAnsi="Cambria" w:cs="font652"/>
                <w:lang w:val="en-US"/>
              </w:rPr>
            </w:pPr>
            <w:r w:rsidRPr="00982216">
              <w:rPr>
                <w:rFonts w:ascii="Cambria" w:hAnsi="Cambria"/>
                <w:b/>
                <w:color w:val="000000"/>
              </w:rPr>
              <w:t>9.8</w:t>
            </w:r>
            <w:r w:rsidRPr="00982216">
              <w:rPr>
                <w:rFonts w:ascii="Cambria" w:hAnsi="Cambria" w:cs="font652"/>
                <w:lang w:val="en-US"/>
              </w:rPr>
              <w:t xml:space="preserve"> ± </w:t>
            </w:r>
            <w:r w:rsidRPr="00982216">
              <w:rPr>
                <w:rFonts w:ascii="Cambria" w:hAnsi="Cambria"/>
                <w:color w:val="000000"/>
              </w:rPr>
              <w:t>0.105</w:t>
            </w:r>
          </w:p>
          <w:p w14:paraId="68A84718" w14:textId="77777777" w:rsidR="00DF4522" w:rsidRPr="00982216" w:rsidRDefault="00DF4522" w:rsidP="00FB53C0">
            <w:pPr>
              <w:jc w:val="center"/>
              <w:rPr>
                <w:rFonts w:ascii="Cambria" w:hAnsi="Cambria"/>
                <w:color w:val="000000"/>
              </w:rPr>
            </w:pPr>
            <w:r w:rsidRPr="00982216">
              <w:rPr>
                <w:rFonts w:ascii="Cambria" w:hAnsi="Cambria"/>
                <w:b/>
                <w:color w:val="000000"/>
              </w:rPr>
              <w:t>7.7</w:t>
            </w:r>
            <w:r w:rsidRPr="00982216">
              <w:rPr>
                <w:rFonts w:ascii="Cambria" w:hAnsi="Cambria"/>
                <w:color w:val="000000"/>
              </w:rPr>
              <w:t xml:space="preserve"> </w:t>
            </w:r>
            <w:r w:rsidRPr="00982216">
              <w:rPr>
                <w:rFonts w:ascii="Cambria" w:hAnsi="Cambria" w:cs="font652"/>
                <w:lang w:val="en-US"/>
              </w:rPr>
              <w:t>±</w:t>
            </w:r>
            <w:r w:rsidRPr="00982216">
              <w:rPr>
                <w:rFonts w:ascii="Cambria" w:hAnsi="Cambria"/>
                <w:color w:val="000000"/>
              </w:rPr>
              <w:t xml:space="preserve"> 0.396</w:t>
            </w:r>
          </w:p>
        </w:tc>
        <w:tc>
          <w:tcPr>
            <w:tcW w:w="2126" w:type="dxa"/>
          </w:tcPr>
          <w:p w14:paraId="1ABC467A" w14:textId="77777777" w:rsidR="00DF4522" w:rsidRPr="00982216" w:rsidRDefault="00DF4522" w:rsidP="00FB53C0">
            <w:pPr>
              <w:jc w:val="center"/>
              <w:rPr>
                <w:rFonts w:ascii="Cambria" w:hAnsi="Cambria"/>
                <w:color w:val="000000"/>
              </w:rPr>
            </w:pPr>
            <w:r w:rsidRPr="00982216">
              <w:rPr>
                <w:rFonts w:ascii="Cambria" w:hAnsi="Cambria"/>
                <w:b/>
                <w:color w:val="000000"/>
              </w:rPr>
              <w:t>10.3</w:t>
            </w:r>
            <w:r w:rsidRPr="00982216">
              <w:rPr>
                <w:rFonts w:ascii="Cambria" w:hAnsi="Cambria"/>
                <w:color w:val="000000"/>
              </w:rPr>
              <w:t xml:space="preserve"> </w:t>
            </w:r>
            <w:r w:rsidRPr="00982216">
              <w:rPr>
                <w:rFonts w:ascii="Cambria" w:hAnsi="Cambria" w:cs="font652"/>
                <w:lang w:val="en-US"/>
              </w:rPr>
              <w:t xml:space="preserve">± </w:t>
            </w:r>
            <w:r w:rsidRPr="00982216">
              <w:rPr>
                <w:rFonts w:ascii="Cambria" w:hAnsi="Cambria"/>
                <w:color w:val="000000"/>
              </w:rPr>
              <w:t>0.575</w:t>
            </w:r>
          </w:p>
          <w:p w14:paraId="43E8793B"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cs="font652"/>
                <w:b/>
                <w:lang w:val="en-US"/>
              </w:rPr>
              <w:t>10.6</w:t>
            </w:r>
            <w:r w:rsidRPr="00982216">
              <w:rPr>
                <w:rFonts w:ascii="Cambria" w:hAnsi="Cambria" w:cs="font652"/>
                <w:lang w:val="en-US"/>
              </w:rPr>
              <w:t xml:space="preserve"> ± 1.210</w:t>
            </w:r>
          </w:p>
        </w:tc>
        <w:tc>
          <w:tcPr>
            <w:tcW w:w="1702" w:type="dxa"/>
          </w:tcPr>
          <w:p w14:paraId="487FAE24" w14:textId="77777777" w:rsidR="00DF4522" w:rsidRPr="00982216" w:rsidRDefault="00DF4522" w:rsidP="00FB53C0">
            <w:pPr>
              <w:jc w:val="center"/>
              <w:rPr>
                <w:rFonts w:ascii="Cambria" w:hAnsi="Cambria"/>
                <w:color w:val="000000"/>
              </w:rPr>
            </w:pPr>
            <w:r w:rsidRPr="00982216">
              <w:rPr>
                <w:rFonts w:ascii="Cambria" w:hAnsi="Cambria"/>
                <w:b/>
                <w:color w:val="000000"/>
              </w:rPr>
              <w:t>12.3</w:t>
            </w:r>
            <w:r w:rsidRPr="00982216">
              <w:rPr>
                <w:rFonts w:ascii="Cambria" w:hAnsi="Cambria"/>
                <w:color w:val="000000"/>
              </w:rPr>
              <w:t xml:space="preserve"> </w:t>
            </w:r>
            <w:r w:rsidRPr="00982216">
              <w:rPr>
                <w:rFonts w:ascii="Cambria" w:hAnsi="Cambria" w:cs="font652"/>
                <w:lang w:val="en-US"/>
              </w:rPr>
              <w:t xml:space="preserve">± </w:t>
            </w:r>
            <w:r w:rsidRPr="00982216">
              <w:rPr>
                <w:rFonts w:ascii="Cambria" w:hAnsi="Cambria"/>
                <w:color w:val="000000"/>
              </w:rPr>
              <w:t>0.163</w:t>
            </w:r>
          </w:p>
          <w:p w14:paraId="65486F85"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cs="font652"/>
                <w:b/>
                <w:lang w:val="en-US"/>
              </w:rPr>
              <w:t>13.2</w:t>
            </w:r>
            <w:r w:rsidRPr="00982216">
              <w:rPr>
                <w:rFonts w:ascii="Cambria" w:hAnsi="Cambria" w:cs="font652"/>
                <w:lang w:val="en-US"/>
              </w:rPr>
              <w:t xml:space="preserve"> ± 0.288</w:t>
            </w:r>
          </w:p>
        </w:tc>
      </w:tr>
      <w:tr w:rsidR="00DF4522" w:rsidRPr="00982216" w14:paraId="7917D3EC" w14:textId="77777777" w:rsidTr="00FB53C0">
        <w:tc>
          <w:tcPr>
            <w:tcW w:w="1985" w:type="dxa"/>
          </w:tcPr>
          <w:p w14:paraId="28911042"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SLA, 14 days</w:t>
            </w:r>
          </w:p>
          <w:p w14:paraId="60298D97" w14:textId="77777777" w:rsidR="00DF4522" w:rsidRPr="00982216" w:rsidRDefault="00DF4522" w:rsidP="00FB53C0">
            <w:pPr>
              <w:tabs>
                <w:tab w:val="left" w:pos="1911"/>
                <w:tab w:val="left" w:pos="8080"/>
              </w:tabs>
              <w:spacing w:line="276" w:lineRule="auto"/>
              <w:rPr>
                <w:rFonts w:ascii="Cambria" w:hAnsi="Cambria"/>
                <w:b/>
              </w:rPr>
            </w:pPr>
          </w:p>
        </w:tc>
        <w:tc>
          <w:tcPr>
            <w:tcW w:w="1417" w:type="dxa"/>
          </w:tcPr>
          <w:p w14:paraId="3529BCFD"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Annual</w:t>
            </w:r>
          </w:p>
          <w:p w14:paraId="1D43F54D"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Perennial</w:t>
            </w:r>
          </w:p>
        </w:tc>
        <w:tc>
          <w:tcPr>
            <w:tcW w:w="1984" w:type="dxa"/>
          </w:tcPr>
          <w:p w14:paraId="53265813"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cs="font652"/>
                <w:b/>
                <w:lang w:val="en-US"/>
              </w:rPr>
              <w:t xml:space="preserve">34.3 </w:t>
            </w:r>
            <w:r w:rsidRPr="00982216">
              <w:rPr>
                <w:rFonts w:ascii="Cambria" w:hAnsi="Cambria" w:cs="font652"/>
                <w:lang w:val="en-US"/>
              </w:rPr>
              <w:t xml:space="preserve">± 1.44 </w:t>
            </w:r>
          </w:p>
          <w:p w14:paraId="010DA739"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cs="font652"/>
                <w:b/>
                <w:lang w:val="en-US"/>
              </w:rPr>
              <w:t xml:space="preserve">35.1 </w:t>
            </w:r>
            <w:r w:rsidRPr="00982216">
              <w:rPr>
                <w:rFonts w:ascii="Cambria" w:hAnsi="Cambria" w:cs="font652"/>
                <w:lang w:val="en-US"/>
              </w:rPr>
              <w:t>± 2.86</w:t>
            </w:r>
          </w:p>
        </w:tc>
        <w:tc>
          <w:tcPr>
            <w:tcW w:w="2126" w:type="dxa"/>
          </w:tcPr>
          <w:p w14:paraId="03D4F2C7" w14:textId="77777777" w:rsidR="00DF4522" w:rsidRPr="00982216" w:rsidRDefault="00DF4522" w:rsidP="00FB53C0">
            <w:pPr>
              <w:tabs>
                <w:tab w:val="left" w:pos="728"/>
                <w:tab w:val="center" w:pos="955"/>
                <w:tab w:val="left" w:pos="1911"/>
                <w:tab w:val="left" w:pos="8080"/>
              </w:tabs>
              <w:spacing w:line="276" w:lineRule="auto"/>
              <w:jc w:val="center"/>
              <w:rPr>
                <w:rFonts w:ascii="Cambria" w:hAnsi="Cambria"/>
              </w:rPr>
            </w:pPr>
            <w:r w:rsidRPr="00982216">
              <w:rPr>
                <w:rFonts w:ascii="Cambria" w:hAnsi="Cambria" w:cs="font652"/>
                <w:b/>
                <w:lang w:val="en-US"/>
              </w:rPr>
              <w:t xml:space="preserve">35.0 </w:t>
            </w:r>
            <w:r w:rsidRPr="00982216">
              <w:rPr>
                <w:rFonts w:ascii="Cambria" w:hAnsi="Cambria" w:cs="font652"/>
                <w:lang w:val="en-US"/>
              </w:rPr>
              <w:t>± 2.71</w:t>
            </w:r>
          </w:p>
          <w:p w14:paraId="1B727132"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cs="font652"/>
                <w:b/>
                <w:lang w:val="en-US"/>
              </w:rPr>
              <w:t xml:space="preserve">46.1 </w:t>
            </w:r>
            <w:r w:rsidRPr="00982216">
              <w:rPr>
                <w:rFonts w:ascii="Cambria" w:hAnsi="Cambria" w:cs="font652"/>
                <w:lang w:val="en-US"/>
              </w:rPr>
              <w:t>± 1.94</w:t>
            </w:r>
          </w:p>
        </w:tc>
        <w:tc>
          <w:tcPr>
            <w:tcW w:w="1702" w:type="dxa"/>
          </w:tcPr>
          <w:p w14:paraId="106D5348"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cs="font652"/>
                <w:b/>
                <w:lang w:val="en-US"/>
              </w:rPr>
              <w:t>43.4</w:t>
            </w:r>
            <w:r w:rsidRPr="00982216">
              <w:rPr>
                <w:rFonts w:ascii="Cambria" w:hAnsi="Cambria" w:cs="font652"/>
                <w:lang w:val="en-US"/>
              </w:rPr>
              <w:t xml:space="preserve"> ± 4.86 </w:t>
            </w:r>
          </w:p>
          <w:p w14:paraId="4D20A99D" w14:textId="77777777" w:rsidR="00DF4522" w:rsidRPr="00982216" w:rsidRDefault="00DF4522" w:rsidP="00FB53C0">
            <w:pPr>
              <w:tabs>
                <w:tab w:val="left" w:pos="1911"/>
                <w:tab w:val="left" w:pos="8080"/>
              </w:tabs>
              <w:spacing w:line="276" w:lineRule="auto"/>
              <w:jc w:val="center"/>
              <w:rPr>
                <w:rFonts w:ascii="Cambria" w:hAnsi="Cambria"/>
                <w:b/>
              </w:rPr>
            </w:pPr>
            <w:r w:rsidRPr="00982216">
              <w:rPr>
                <w:rFonts w:ascii="Cambria" w:hAnsi="Cambria" w:cs="font652"/>
                <w:b/>
                <w:lang w:val="en-US"/>
              </w:rPr>
              <w:t xml:space="preserve">45.3 </w:t>
            </w:r>
            <w:r w:rsidRPr="00982216">
              <w:rPr>
                <w:rFonts w:ascii="Cambria" w:hAnsi="Cambria" w:cs="font652"/>
                <w:lang w:val="en-US"/>
              </w:rPr>
              <w:t>±</w:t>
            </w:r>
            <w:r w:rsidRPr="00982216">
              <w:rPr>
                <w:rFonts w:ascii="Cambria" w:hAnsi="Cambria" w:cs="font652"/>
                <w:b/>
                <w:lang w:val="en-US"/>
              </w:rPr>
              <w:t xml:space="preserve"> </w:t>
            </w:r>
            <w:r w:rsidRPr="00982216">
              <w:rPr>
                <w:rFonts w:ascii="Cambria" w:hAnsi="Cambria" w:cs="font652"/>
                <w:lang w:val="en-US"/>
              </w:rPr>
              <w:t>3.81</w:t>
            </w:r>
          </w:p>
        </w:tc>
      </w:tr>
      <w:tr w:rsidR="00DF4522" w:rsidRPr="00982216" w14:paraId="3D40AA9A" w14:textId="77777777" w:rsidTr="00FB53C0">
        <w:tc>
          <w:tcPr>
            <w:tcW w:w="1985" w:type="dxa"/>
          </w:tcPr>
          <w:p w14:paraId="2229EBD6"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SLA, 28 days</w:t>
            </w:r>
          </w:p>
        </w:tc>
        <w:tc>
          <w:tcPr>
            <w:tcW w:w="1417" w:type="dxa"/>
          </w:tcPr>
          <w:p w14:paraId="3D49482F"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Annual</w:t>
            </w:r>
          </w:p>
          <w:p w14:paraId="3F630BF1"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Perennial</w:t>
            </w:r>
          </w:p>
        </w:tc>
        <w:tc>
          <w:tcPr>
            <w:tcW w:w="1984" w:type="dxa"/>
          </w:tcPr>
          <w:p w14:paraId="55CDE05C"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cs="font652"/>
                <w:b/>
                <w:lang w:val="en-US"/>
              </w:rPr>
              <w:t xml:space="preserve">36.5 </w:t>
            </w:r>
            <w:r w:rsidRPr="00982216">
              <w:rPr>
                <w:rFonts w:ascii="Cambria" w:hAnsi="Cambria" w:cs="font652"/>
                <w:lang w:val="en-US"/>
              </w:rPr>
              <w:t xml:space="preserve">± 0.69 </w:t>
            </w:r>
          </w:p>
          <w:p w14:paraId="56251205" w14:textId="77777777" w:rsidR="00DF4522" w:rsidRPr="00982216" w:rsidRDefault="00DF4522" w:rsidP="00FB53C0">
            <w:pPr>
              <w:tabs>
                <w:tab w:val="left" w:pos="1911"/>
                <w:tab w:val="left" w:pos="8080"/>
              </w:tabs>
              <w:spacing w:line="276" w:lineRule="auto"/>
              <w:jc w:val="center"/>
              <w:rPr>
                <w:rFonts w:ascii="Cambria" w:hAnsi="Cambria"/>
                <w:b/>
              </w:rPr>
            </w:pPr>
            <w:r w:rsidRPr="00982216">
              <w:rPr>
                <w:rFonts w:ascii="Cambria" w:hAnsi="Cambria" w:cs="font652"/>
                <w:b/>
                <w:lang w:val="en-US"/>
              </w:rPr>
              <w:t xml:space="preserve">45.7 </w:t>
            </w:r>
            <w:r w:rsidRPr="00982216">
              <w:rPr>
                <w:rFonts w:ascii="Cambria" w:hAnsi="Cambria" w:cs="font652"/>
                <w:lang w:val="en-US"/>
              </w:rPr>
              <w:t>± 11.86</w:t>
            </w:r>
          </w:p>
        </w:tc>
        <w:tc>
          <w:tcPr>
            <w:tcW w:w="2126" w:type="dxa"/>
          </w:tcPr>
          <w:p w14:paraId="67313988"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cs="font652"/>
                <w:b/>
                <w:lang w:val="en-US"/>
              </w:rPr>
              <w:t xml:space="preserve">32.6 </w:t>
            </w:r>
            <w:r w:rsidRPr="00982216">
              <w:rPr>
                <w:rFonts w:ascii="Cambria" w:hAnsi="Cambria" w:cs="font652"/>
                <w:lang w:val="en-US"/>
              </w:rPr>
              <w:t xml:space="preserve">± 1.29 </w:t>
            </w:r>
          </w:p>
          <w:p w14:paraId="66790FF0" w14:textId="77777777" w:rsidR="00DF4522" w:rsidRPr="00982216" w:rsidRDefault="00DF4522" w:rsidP="00FB53C0">
            <w:pPr>
              <w:tabs>
                <w:tab w:val="left" w:pos="1911"/>
                <w:tab w:val="left" w:pos="8080"/>
              </w:tabs>
              <w:spacing w:line="276" w:lineRule="auto"/>
              <w:jc w:val="center"/>
              <w:rPr>
                <w:rFonts w:ascii="Cambria" w:hAnsi="Cambria"/>
                <w:b/>
              </w:rPr>
            </w:pPr>
            <w:r w:rsidRPr="00982216">
              <w:rPr>
                <w:rFonts w:ascii="Cambria" w:hAnsi="Cambria" w:cs="font652"/>
                <w:b/>
                <w:lang w:val="en-US"/>
              </w:rPr>
              <w:t xml:space="preserve">38.9 </w:t>
            </w:r>
            <w:r w:rsidRPr="00982216">
              <w:rPr>
                <w:rFonts w:ascii="Cambria" w:hAnsi="Cambria" w:cs="font652"/>
                <w:lang w:val="en-US"/>
              </w:rPr>
              <w:t>± 3.08</w:t>
            </w:r>
          </w:p>
        </w:tc>
        <w:tc>
          <w:tcPr>
            <w:tcW w:w="1702" w:type="dxa"/>
          </w:tcPr>
          <w:p w14:paraId="4D655BDA"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cs="font652"/>
                <w:b/>
                <w:lang w:val="en-US"/>
              </w:rPr>
              <w:t>37.6</w:t>
            </w:r>
            <w:r w:rsidRPr="00982216">
              <w:rPr>
                <w:rFonts w:ascii="Cambria" w:hAnsi="Cambria" w:cs="font652"/>
                <w:lang w:val="en-US"/>
              </w:rPr>
              <w:t xml:space="preserve"> ± 2.47 </w:t>
            </w:r>
          </w:p>
          <w:p w14:paraId="4481A917" w14:textId="77777777" w:rsidR="00DF4522" w:rsidRPr="00982216" w:rsidRDefault="00DF4522" w:rsidP="00FB53C0">
            <w:pPr>
              <w:tabs>
                <w:tab w:val="left" w:pos="1911"/>
                <w:tab w:val="left" w:pos="8080"/>
              </w:tabs>
              <w:spacing w:line="276" w:lineRule="auto"/>
              <w:jc w:val="center"/>
              <w:rPr>
                <w:rFonts w:ascii="Cambria" w:hAnsi="Cambria"/>
                <w:b/>
              </w:rPr>
            </w:pPr>
            <w:r w:rsidRPr="00982216">
              <w:rPr>
                <w:rFonts w:ascii="Cambria" w:hAnsi="Cambria" w:cs="font652"/>
                <w:b/>
                <w:lang w:val="en-US"/>
              </w:rPr>
              <w:t xml:space="preserve">36.6 </w:t>
            </w:r>
            <w:r w:rsidRPr="00982216">
              <w:rPr>
                <w:rFonts w:ascii="Cambria" w:hAnsi="Cambria" w:cs="font652"/>
                <w:lang w:val="en-US"/>
              </w:rPr>
              <w:t>± 4.19</w:t>
            </w:r>
          </w:p>
        </w:tc>
      </w:tr>
      <w:tr w:rsidR="00DF4522" w:rsidRPr="00982216" w14:paraId="248C42E2" w14:textId="77777777" w:rsidTr="00FB53C0">
        <w:tc>
          <w:tcPr>
            <w:tcW w:w="1985" w:type="dxa"/>
          </w:tcPr>
          <w:p w14:paraId="74DDA837"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SLA, 42 days</w:t>
            </w:r>
          </w:p>
        </w:tc>
        <w:tc>
          <w:tcPr>
            <w:tcW w:w="1417" w:type="dxa"/>
          </w:tcPr>
          <w:p w14:paraId="768B30C0"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Annual</w:t>
            </w:r>
          </w:p>
          <w:p w14:paraId="54DA2FCF" w14:textId="77777777" w:rsidR="00DF4522" w:rsidRPr="00982216" w:rsidRDefault="00DF4522" w:rsidP="00FB53C0">
            <w:pPr>
              <w:tabs>
                <w:tab w:val="left" w:pos="1911"/>
                <w:tab w:val="left" w:pos="8080"/>
              </w:tabs>
              <w:spacing w:line="276" w:lineRule="auto"/>
              <w:rPr>
                <w:rFonts w:ascii="Cambria" w:hAnsi="Cambria"/>
                <w:b/>
              </w:rPr>
            </w:pPr>
            <w:r w:rsidRPr="00982216">
              <w:rPr>
                <w:rFonts w:ascii="Cambria" w:hAnsi="Cambria"/>
                <w:b/>
              </w:rPr>
              <w:t>Perennial</w:t>
            </w:r>
          </w:p>
        </w:tc>
        <w:tc>
          <w:tcPr>
            <w:tcW w:w="1984" w:type="dxa"/>
          </w:tcPr>
          <w:p w14:paraId="5168EDFE"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cs="font652"/>
                <w:b/>
                <w:lang w:val="en-US"/>
              </w:rPr>
              <w:t xml:space="preserve">29.6 </w:t>
            </w:r>
            <w:r w:rsidRPr="00982216">
              <w:rPr>
                <w:rFonts w:ascii="Cambria" w:hAnsi="Cambria" w:cs="font652"/>
                <w:lang w:val="en-US"/>
              </w:rPr>
              <w:t>± 0.32</w:t>
            </w:r>
          </w:p>
          <w:p w14:paraId="417F024A" w14:textId="77777777" w:rsidR="00DF4522" w:rsidRPr="00982216" w:rsidRDefault="00DF4522" w:rsidP="00FB53C0">
            <w:pPr>
              <w:tabs>
                <w:tab w:val="left" w:pos="1911"/>
                <w:tab w:val="left" w:pos="8080"/>
              </w:tabs>
              <w:spacing w:line="276" w:lineRule="auto"/>
              <w:jc w:val="center"/>
              <w:rPr>
                <w:rFonts w:ascii="Cambria" w:hAnsi="Cambria"/>
                <w:b/>
              </w:rPr>
            </w:pPr>
            <w:r w:rsidRPr="00982216">
              <w:rPr>
                <w:rFonts w:ascii="Cambria" w:hAnsi="Cambria" w:cs="font652"/>
                <w:b/>
                <w:lang w:val="en-US"/>
              </w:rPr>
              <w:t xml:space="preserve">28.6 </w:t>
            </w:r>
            <w:r w:rsidRPr="00982216">
              <w:rPr>
                <w:rFonts w:ascii="Cambria" w:hAnsi="Cambria" w:cs="font652"/>
                <w:lang w:val="en-US"/>
              </w:rPr>
              <w:t>± 1.47</w:t>
            </w:r>
          </w:p>
        </w:tc>
        <w:tc>
          <w:tcPr>
            <w:tcW w:w="2126" w:type="dxa"/>
          </w:tcPr>
          <w:p w14:paraId="4087A2A1"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cs="font652"/>
                <w:b/>
                <w:lang w:val="en-US"/>
              </w:rPr>
              <w:t xml:space="preserve">24.6 </w:t>
            </w:r>
            <w:r w:rsidRPr="00982216">
              <w:rPr>
                <w:rFonts w:ascii="Cambria" w:hAnsi="Cambria" w:cs="font652"/>
                <w:lang w:val="en-US"/>
              </w:rPr>
              <w:t xml:space="preserve">± 1.37 </w:t>
            </w:r>
          </w:p>
          <w:p w14:paraId="2E76DAD9" w14:textId="77777777" w:rsidR="00DF4522" w:rsidRPr="00982216" w:rsidRDefault="00DF4522" w:rsidP="00FB53C0">
            <w:pPr>
              <w:tabs>
                <w:tab w:val="left" w:pos="1911"/>
                <w:tab w:val="left" w:pos="8080"/>
              </w:tabs>
              <w:spacing w:line="276" w:lineRule="auto"/>
              <w:jc w:val="center"/>
              <w:rPr>
                <w:rFonts w:ascii="Cambria" w:hAnsi="Cambria"/>
                <w:b/>
              </w:rPr>
            </w:pPr>
            <w:r w:rsidRPr="00982216">
              <w:rPr>
                <w:rFonts w:ascii="Cambria" w:hAnsi="Cambria" w:cs="font652"/>
                <w:b/>
                <w:lang w:val="en-US"/>
              </w:rPr>
              <w:t xml:space="preserve">30.3 </w:t>
            </w:r>
            <w:r w:rsidRPr="00982216">
              <w:rPr>
                <w:rFonts w:ascii="Cambria" w:hAnsi="Cambria" w:cs="font652"/>
                <w:lang w:val="en-US"/>
              </w:rPr>
              <w:t>± 3.46</w:t>
            </w:r>
          </w:p>
        </w:tc>
        <w:tc>
          <w:tcPr>
            <w:tcW w:w="1702" w:type="dxa"/>
          </w:tcPr>
          <w:p w14:paraId="20B680F0" w14:textId="77777777" w:rsidR="00DF4522" w:rsidRPr="00982216" w:rsidRDefault="00DF4522" w:rsidP="00FB53C0">
            <w:pPr>
              <w:tabs>
                <w:tab w:val="left" w:pos="1911"/>
                <w:tab w:val="left" w:pos="8080"/>
              </w:tabs>
              <w:spacing w:line="276" w:lineRule="auto"/>
              <w:jc w:val="center"/>
              <w:rPr>
                <w:rFonts w:ascii="Cambria" w:hAnsi="Cambria"/>
              </w:rPr>
            </w:pPr>
            <w:r w:rsidRPr="00982216">
              <w:rPr>
                <w:rFonts w:ascii="Cambria" w:hAnsi="Cambria" w:cs="font652"/>
                <w:b/>
                <w:lang w:val="en-US"/>
              </w:rPr>
              <w:t xml:space="preserve">26.8 </w:t>
            </w:r>
            <w:r w:rsidRPr="00982216">
              <w:rPr>
                <w:rFonts w:ascii="Cambria" w:hAnsi="Cambria" w:cs="font652"/>
                <w:lang w:val="en-US"/>
              </w:rPr>
              <w:t xml:space="preserve">± 0.35 </w:t>
            </w:r>
          </w:p>
          <w:p w14:paraId="147D4351" w14:textId="77777777" w:rsidR="00DF4522" w:rsidRPr="00982216" w:rsidRDefault="00DF4522" w:rsidP="00FB53C0">
            <w:pPr>
              <w:tabs>
                <w:tab w:val="left" w:pos="1911"/>
                <w:tab w:val="left" w:pos="8080"/>
              </w:tabs>
              <w:spacing w:line="276" w:lineRule="auto"/>
              <w:jc w:val="center"/>
              <w:rPr>
                <w:rFonts w:ascii="Cambria" w:hAnsi="Cambria"/>
                <w:b/>
              </w:rPr>
            </w:pPr>
            <w:r w:rsidRPr="00982216">
              <w:rPr>
                <w:rFonts w:ascii="Cambria" w:hAnsi="Cambria" w:cs="font652"/>
                <w:b/>
                <w:lang w:val="en-US"/>
              </w:rPr>
              <w:t xml:space="preserve">30.1 </w:t>
            </w:r>
            <w:r w:rsidRPr="00982216">
              <w:rPr>
                <w:rFonts w:ascii="Cambria" w:hAnsi="Cambria" w:cs="font652"/>
                <w:lang w:val="en-US"/>
              </w:rPr>
              <w:t>± 0.65</w:t>
            </w:r>
          </w:p>
        </w:tc>
      </w:tr>
    </w:tbl>
    <w:p w14:paraId="33EEA461" w14:textId="77777777" w:rsidR="00DF4522" w:rsidRDefault="00DF4522" w:rsidP="00DF4522">
      <w:pPr>
        <w:spacing w:line="360" w:lineRule="auto"/>
        <w:jc w:val="both"/>
        <w:rPr>
          <w:rFonts w:ascii="Cambria" w:hAnsi="Cambria"/>
        </w:rPr>
      </w:pPr>
    </w:p>
    <w:p w14:paraId="7349B425" w14:textId="77777777" w:rsidR="0053120E" w:rsidRPr="00982216" w:rsidRDefault="0053120E" w:rsidP="00DF4522">
      <w:pPr>
        <w:spacing w:line="360" w:lineRule="auto"/>
        <w:jc w:val="both"/>
        <w:rPr>
          <w:rFonts w:ascii="Cambria" w:hAnsi="Cambria"/>
        </w:rPr>
      </w:pPr>
    </w:p>
    <w:p w14:paraId="55A351E3" w14:textId="77777777" w:rsidR="00DF4522" w:rsidRPr="00531789" w:rsidRDefault="00DF4522" w:rsidP="00DF4522">
      <w:pPr>
        <w:spacing w:line="360" w:lineRule="auto"/>
        <w:jc w:val="both"/>
        <w:rPr>
          <w:rFonts w:ascii="Cambria" w:hAnsi="Cambria"/>
          <w:b/>
        </w:rPr>
      </w:pPr>
      <w:r w:rsidRPr="00531789">
        <w:rPr>
          <w:rFonts w:ascii="Cambria" w:hAnsi="Cambria"/>
          <w:b/>
        </w:rPr>
        <w:t>Nitrogen and carbon metabolites</w:t>
      </w:r>
    </w:p>
    <w:p w14:paraId="7589489A" w14:textId="77777777" w:rsidR="00DF4522" w:rsidRPr="00531789" w:rsidRDefault="00DF4522" w:rsidP="00DF4522">
      <w:pPr>
        <w:spacing w:line="360" w:lineRule="auto"/>
        <w:jc w:val="both"/>
        <w:rPr>
          <w:rFonts w:ascii="Cambria" w:hAnsi="Cambria"/>
        </w:rPr>
      </w:pPr>
    </w:p>
    <w:p w14:paraId="742D2FAB" w14:textId="6BB81DF8" w:rsidR="0053120E" w:rsidRPr="0053120E" w:rsidRDefault="00DF4522" w:rsidP="0053120E">
      <w:pPr>
        <w:spacing w:line="360" w:lineRule="auto"/>
        <w:jc w:val="both"/>
        <w:rPr>
          <w:rFonts w:ascii="Cambria" w:hAnsi="Cambria"/>
        </w:rPr>
      </w:pPr>
      <w:r w:rsidRPr="00531789">
        <w:rPr>
          <w:rFonts w:ascii="Cambria" w:hAnsi="Cambria"/>
        </w:rPr>
        <w:t>Overall, an increase in nitrogen treatment leads to an increase in plant nitrogen concentration and a decrease in plant carbon concentration (Figs. 5-8).  The concentration of nitrogen metabolites in leaves, leaf sheaths and roots of annual and perennial barley increases when nitrogen treatment is increased from 1% to 20%, consistent with the hypothesis that both species will show an increase in nitrogen storage as nitrogen treatment increases, yet shows a comparatively smaller change when nitrogen treatment is increased further to 100% (Fig. 5), similar to the response of RGR to nitrogen treatment (Figs. 2, 3).  Nitrate shows a particularly strong response to nitrogen treatment, especially in young leaves and roots (Fig. 5A,F).  The nitrogen treatment has a significant effect on nitrate concentration in leaf (F</w:t>
      </w:r>
      <w:r w:rsidRPr="00531789">
        <w:rPr>
          <w:rFonts w:ascii="Cambria" w:hAnsi="Cambria"/>
          <w:vertAlign w:val="subscript"/>
        </w:rPr>
        <w:t>(1,28)</w:t>
      </w:r>
      <w:r>
        <w:rPr>
          <w:rFonts w:ascii="Cambria" w:hAnsi="Cambria"/>
        </w:rPr>
        <w:t xml:space="preserve"> = 21.7, p</w:t>
      </w:r>
      <w:r w:rsidRPr="00531789">
        <w:rPr>
          <w:rFonts w:ascii="Cambria" w:hAnsi="Cambria"/>
        </w:rPr>
        <w:t>&lt;0.001), leaf sheath (F</w:t>
      </w:r>
      <w:r w:rsidRPr="00531789">
        <w:rPr>
          <w:rFonts w:ascii="Cambria" w:hAnsi="Cambria"/>
          <w:vertAlign w:val="subscript"/>
        </w:rPr>
        <w:t>(1,11)</w:t>
      </w:r>
      <w:r>
        <w:rPr>
          <w:rFonts w:ascii="Cambria" w:hAnsi="Cambria"/>
        </w:rPr>
        <w:t xml:space="preserve"> = 17.9, p</w:t>
      </w:r>
      <w:r w:rsidRPr="00531789">
        <w:rPr>
          <w:rFonts w:ascii="Cambria" w:hAnsi="Cambria"/>
        </w:rPr>
        <w:t>&lt;0.01) and root (F</w:t>
      </w:r>
      <w:r w:rsidRPr="00531789">
        <w:rPr>
          <w:rFonts w:ascii="Cambria" w:hAnsi="Cambria"/>
          <w:vertAlign w:val="subscript"/>
        </w:rPr>
        <w:t>(1,29)</w:t>
      </w:r>
      <w:r>
        <w:rPr>
          <w:rFonts w:ascii="Cambria" w:hAnsi="Cambria"/>
        </w:rPr>
        <w:t xml:space="preserve"> = 36.1, p</w:t>
      </w:r>
      <w:r w:rsidRPr="00531789">
        <w:rPr>
          <w:rFonts w:ascii="Cambria" w:hAnsi="Cambria"/>
        </w:rPr>
        <w:t>&lt;0.001).  Nitrate in the sheath tissue is also significantly higher in the annual (F</w:t>
      </w:r>
      <w:r w:rsidRPr="00531789">
        <w:rPr>
          <w:rFonts w:ascii="Cambria" w:hAnsi="Cambria"/>
          <w:vertAlign w:val="subscript"/>
        </w:rPr>
        <w:t>(1,11)</w:t>
      </w:r>
      <w:r w:rsidRPr="00531789">
        <w:rPr>
          <w:rFonts w:ascii="Cambria" w:hAnsi="Cambria"/>
        </w:rPr>
        <w:t xml:space="preserve"> = 45.9, p&lt;0.001).  Amino acid concentration increases with age (Fig. 5), and this age effect is significant in the sheath (Fig. 5D,E; F</w:t>
      </w:r>
      <w:r w:rsidRPr="00531789">
        <w:rPr>
          <w:rFonts w:ascii="Cambria" w:hAnsi="Cambria"/>
          <w:vertAlign w:val="subscript"/>
        </w:rPr>
        <w:t>(1,11)</w:t>
      </w:r>
      <w:r w:rsidRPr="00531789">
        <w:rPr>
          <w:rFonts w:ascii="Cambria" w:hAnsi="Cambria"/>
        </w:rPr>
        <w:t xml:space="preserve"> = 20.8, p&lt;0.001).  In leaf and root, amino acids increase with nitrogen treatment (leaf: F</w:t>
      </w:r>
      <w:r w:rsidRPr="00531789">
        <w:rPr>
          <w:rFonts w:ascii="Cambria" w:hAnsi="Cambria"/>
          <w:vertAlign w:val="subscript"/>
        </w:rPr>
        <w:t>(1,28)</w:t>
      </w:r>
      <w:r w:rsidRPr="00531789">
        <w:rPr>
          <w:rFonts w:ascii="Cambria" w:hAnsi="Cambria"/>
        </w:rPr>
        <w:t xml:space="preserve"> = 8.4, p</w:t>
      </w:r>
      <w:r>
        <w:rPr>
          <w:rFonts w:ascii="Cambria" w:hAnsi="Cambria"/>
        </w:rPr>
        <w:t>&lt;</w:t>
      </w:r>
      <w:r w:rsidRPr="00531789">
        <w:rPr>
          <w:rFonts w:ascii="Cambria" w:hAnsi="Cambria"/>
        </w:rPr>
        <w:t>0.001; root: F</w:t>
      </w:r>
      <w:r w:rsidRPr="00531789">
        <w:rPr>
          <w:rFonts w:ascii="Cambria" w:hAnsi="Cambria"/>
          <w:vertAlign w:val="subscript"/>
        </w:rPr>
        <w:t>(1,29)</w:t>
      </w:r>
      <w:r w:rsidRPr="00531789">
        <w:rPr>
          <w:rFonts w:ascii="Cambria" w:hAnsi="Cambria"/>
        </w:rPr>
        <w:t xml:space="preserve"> = 13.5, p&lt;0.001).  However, the protein concentration remains fairly constant at all nitrogen treatment levels (Fig. 5), increasing with nitrogen treatment level in the leaf (F</w:t>
      </w:r>
      <w:r w:rsidRPr="00531789">
        <w:rPr>
          <w:rFonts w:ascii="Cambria" w:hAnsi="Cambria"/>
          <w:vertAlign w:val="subscript"/>
        </w:rPr>
        <w:t>(1,28)</w:t>
      </w:r>
      <w:r>
        <w:rPr>
          <w:rFonts w:ascii="Cambria" w:hAnsi="Cambria"/>
        </w:rPr>
        <w:t xml:space="preserve"> = 25.4, p</w:t>
      </w:r>
      <w:r w:rsidRPr="00531789">
        <w:rPr>
          <w:rFonts w:ascii="Cambria" w:hAnsi="Cambria"/>
        </w:rPr>
        <w:t>&lt;0.001), but otherwise showing no significant change.</w:t>
      </w:r>
    </w:p>
    <w:p w14:paraId="39476C0B" w14:textId="77777777" w:rsidR="00DF4522" w:rsidRDefault="00DF4522" w:rsidP="00DF4522">
      <w:pPr>
        <w:jc w:val="both"/>
        <w:rPr>
          <w:rFonts w:ascii="Cambria" w:hAnsi="Cambria" w:cs="font652"/>
          <w:lang w:val="en-US"/>
        </w:rPr>
      </w:pPr>
      <w:r w:rsidRPr="00B50EBB">
        <w:rPr>
          <w:b/>
          <w:noProof/>
          <w:sz w:val="16"/>
          <w:szCs w:val="16"/>
          <w:lang w:val="en-US"/>
        </w:rPr>
        <w:drawing>
          <wp:anchor distT="0" distB="0" distL="114300" distR="114300" simplePos="0" relativeHeight="251750400" behindDoc="0" locked="0" layoutInCell="1" allowOverlap="1" wp14:anchorId="2893F747" wp14:editId="4F823629">
            <wp:simplePos x="0" y="0"/>
            <wp:positionH relativeFrom="column">
              <wp:posOffset>3771900</wp:posOffset>
            </wp:positionH>
            <wp:positionV relativeFrom="paragraph">
              <wp:posOffset>220980</wp:posOffset>
            </wp:positionV>
            <wp:extent cx="1978660" cy="1483360"/>
            <wp:effectExtent l="0" t="0" r="2540" b="0"/>
            <wp:wrapThrough wrapText="bothSides">
              <wp:wrapPolygon edited="0">
                <wp:start x="0" y="0"/>
                <wp:lineTo x="0" y="21082"/>
                <wp:lineTo x="21350" y="21082"/>
                <wp:lineTo x="21350" y="0"/>
                <wp:lineTo x="0" y="0"/>
              </wp:wrapPolygon>
            </wp:wrapThrough>
            <wp:docPr id="50" name="Picture 50" descr="Macintosh HD:Users:angelawhite:Desktop:N leaf 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gelawhite:Desktop:N leaf t3.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78660" cy="14833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cs="font652"/>
          <w:noProof/>
          <w:lang w:val="en-US"/>
        </w:rPr>
        <w:drawing>
          <wp:anchor distT="0" distB="0" distL="114300" distR="114300" simplePos="0" relativeHeight="251749376" behindDoc="0" locked="0" layoutInCell="1" allowOverlap="1" wp14:anchorId="516494CA" wp14:editId="1AACF7AE">
            <wp:simplePos x="0" y="0"/>
            <wp:positionH relativeFrom="column">
              <wp:posOffset>1828800</wp:posOffset>
            </wp:positionH>
            <wp:positionV relativeFrom="paragraph">
              <wp:posOffset>220980</wp:posOffset>
            </wp:positionV>
            <wp:extent cx="1960880" cy="1470660"/>
            <wp:effectExtent l="0" t="0" r="0" b="2540"/>
            <wp:wrapThrough wrapText="bothSides">
              <wp:wrapPolygon edited="0">
                <wp:start x="0" y="0"/>
                <wp:lineTo x="0" y="21264"/>
                <wp:lineTo x="21264" y="21264"/>
                <wp:lineTo x="21264" y="0"/>
                <wp:lineTo x="0" y="0"/>
              </wp:wrapPolygon>
            </wp:wrapThrough>
            <wp:docPr id="49" name="Picture 49" descr="Macintosh HD:Users:angelawhite:Desktop:N leaf 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gelawhite:Desktop:N leaf t2.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60880" cy="1470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0EBB">
        <w:rPr>
          <w:rFonts w:ascii="Cambria" w:hAnsi="Cambria" w:cs="font652"/>
          <w:noProof/>
          <w:sz w:val="16"/>
          <w:szCs w:val="16"/>
          <w:lang w:val="en-US"/>
        </w:rPr>
        <w:drawing>
          <wp:anchor distT="0" distB="0" distL="114300" distR="114300" simplePos="0" relativeHeight="251748352" behindDoc="0" locked="0" layoutInCell="1" allowOverlap="1" wp14:anchorId="78A69012" wp14:editId="28F1F5C8">
            <wp:simplePos x="0" y="0"/>
            <wp:positionH relativeFrom="column">
              <wp:posOffset>-121920</wp:posOffset>
            </wp:positionH>
            <wp:positionV relativeFrom="paragraph">
              <wp:posOffset>220980</wp:posOffset>
            </wp:positionV>
            <wp:extent cx="1950720" cy="1463040"/>
            <wp:effectExtent l="0" t="0" r="5080" b="10160"/>
            <wp:wrapThrough wrapText="bothSides">
              <wp:wrapPolygon edited="0">
                <wp:start x="0" y="0"/>
                <wp:lineTo x="0" y="21375"/>
                <wp:lineTo x="21375" y="21375"/>
                <wp:lineTo x="21375" y="0"/>
                <wp:lineTo x="0" y="0"/>
              </wp:wrapPolygon>
            </wp:wrapThrough>
            <wp:docPr id="48" name="Picture 48" descr="Macintosh HD:Users:angelawhite:Desktop:N leaf 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gelawhite:Desktop:N leaf t1.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50720" cy="1463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08A164" w14:textId="77777777" w:rsidR="00DF4522" w:rsidRPr="00B50EBB" w:rsidRDefault="00DF4522" w:rsidP="00DF4522">
      <w:pPr>
        <w:jc w:val="both"/>
        <w:rPr>
          <w:rFonts w:ascii="Cambria" w:hAnsi="Cambria" w:cs="font652"/>
          <w:sz w:val="16"/>
          <w:szCs w:val="16"/>
          <w:lang w:val="en-US"/>
        </w:rPr>
      </w:pPr>
      <w:r>
        <w:rPr>
          <w:b/>
          <w:noProof/>
          <w:lang w:val="en-US"/>
        </w:rPr>
        <w:drawing>
          <wp:anchor distT="0" distB="0" distL="114300" distR="114300" simplePos="0" relativeHeight="251752448" behindDoc="0" locked="0" layoutInCell="1" allowOverlap="1" wp14:anchorId="656EBB37" wp14:editId="64112AB5">
            <wp:simplePos x="0" y="0"/>
            <wp:positionH relativeFrom="column">
              <wp:posOffset>3771900</wp:posOffset>
            </wp:positionH>
            <wp:positionV relativeFrom="paragraph">
              <wp:posOffset>207645</wp:posOffset>
            </wp:positionV>
            <wp:extent cx="1978025" cy="1483360"/>
            <wp:effectExtent l="0" t="0" r="3175" b="0"/>
            <wp:wrapThrough wrapText="bothSides">
              <wp:wrapPolygon edited="0">
                <wp:start x="0" y="0"/>
                <wp:lineTo x="0" y="21082"/>
                <wp:lineTo x="21357" y="21082"/>
                <wp:lineTo x="21357" y="0"/>
                <wp:lineTo x="0" y="0"/>
              </wp:wrapPolygon>
            </wp:wrapThrough>
            <wp:docPr id="52" name="Picture 52" descr="Macintosh HD:Users:angelawhite:Desktop:N sheath 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gelawhite:Desktop:N sheath t3.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78025" cy="1483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242011" w14:textId="77777777" w:rsidR="00DF4522" w:rsidRDefault="00DF4522" w:rsidP="00DF4522">
      <w:pPr>
        <w:jc w:val="both"/>
        <w:rPr>
          <w:rFonts w:ascii="Cambria" w:hAnsi="Cambria" w:cs="font652"/>
          <w:lang w:val="en-US"/>
        </w:rPr>
      </w:pPr>
      <w:r>
        <w:rPr>
          <w:rFonts w:ascii="Helvetica" w:hAnsi="Helvetica"/>
          <w:noProof/>
          <w:sz w:val="28"/>
          <w:szCs w:val="28"/>
          <w:lang w:val="en-US"/>
        </w:rPr>
        <w:drawing>
          <wp:anchor distT="0" distB="0" distL="114300" distR="114300" simplePos="0" relativeHeight="251756544" behindDoc="0" locked="0" layoutInCell="1" allowOverlap="1" wp14:anchorId="01A05A05" wp14:editId="7FAA1361">
            <wp:simplePos x="0" y="0"/>
            <wp:positionH relativeFrom="column">
              <wp:posOffset>0</wp:posOffset>
            </wp:positionH>
            <wp:positionV relativeFrom="paragraph">
              <wp:posOffset>1117600</wp:posOffset>
            </wp:positionV>
            <wp:extent cx="1485265" cy="472440"/>
            <wp:effectExtent l="0" t="0" r="0" b="10160"/>
            <wp:wrapThrough wrapText="bothSides">
              <wp:wrapPolygon edited="0">
                <wp:start x="0" y="0"/>
                <wp:lineTo x="0" y="20903"/>
                <wp:lineTo x="21055" y="20903"/>
                <wp:lineTo x="21055" y="0"/>
                <wp:lineTo x="0" y="0"/>
              </wp:wrapPolygon>
            </wp:wrapThrough>
            <wp:docPr id="85" name="Picture 85" descr="Macintosh HD:Users:angelawhite:Desktop:Screen Shot 2016-04-07 at 19.0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gelawhite:Desktop:Screen Shot 2016-04-07 at 19.06.29.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85265" cy="47244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val="en-US"/>
        </w:rPr>
        <w:drawing>
          <wp:anchor distT="0" distB="0" distL="114300" distR="114300" simplePos="0" relativeHeight="251751424" behindDoc="0" locked="0" layoutInCell="1" allowOverlap="1" wp14:anchorId="3AB67ED4" wp14:editId="062C6383">
            <wp:simplePos x="0" y="0"/>
            <wp:positionH relativeFrom="column">
              <wp:posOffset>1828800</wp:posOffset>
            </wp:positionH>
            <wp:positionV relativeFrom="paragraph">
              <wp:posOffset>88900</wp:posOffset>
            </wp:positionV>
            <wp:extent cx="1981200" cy="1485900"/>
            <wp:effectExtent l="0" t="0" r="0" b="12700"/>
            <wp:wrapThrough wrapText="bothSides">
              <wp:wrapPolygon edited="0">
                <wp:start x="0" y="0"/>
                <wp:lineTo x="0" y="21415"/>
                <wp:lineTo x="21323" y="21415"/>
                <wp:lineTo x="21323" y="0"/>
                <wp:lineTo x="0" y="0"/>
              </wp:wrapPolygon>
            </wp:wrapThrough>
            <wp:docPr id="51" name="Picture 51" descr="Macintosh HD:Users:angelawhite:Desktop:N sheath 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gelawhite:Desktop:N sheath t2.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EF027E" w14:textId="77777777" w:rsidR="00DF4522" w:rsidRDefault="00DF4522" w:rsidP="00DF4522">
      <w:pPr>
        <w:jc w:val="both"/>
        <w:rPr>
          <w:b/>
        </w:rPr>
      </w:pPr>
    </w:p>
    <w:tbl>
      <w:tblPr>
        <w:tblStyle w:val="TableGrid"/>
        <w:tblpPr w:leftFromText="180" w:rightFromText="180" w:vertAnchor="text" w:horzAnchor="page" w:tblpX="2377" w:tblpY="-287"/>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none" w:sz="0" w:space="0" w:color="auto"/>
          <w:insideV w:val="none" w:sz="0" w:space="0" w:color="auto"/>
        </w:tblBorders>
        <w:tblLook w:val="04A0" w:firstRow="1" w:lastRow="0" w:firstColumn="1" w:lastColumn="0" w:noHBand="0" w:noVBand="1"/>
      </w:tblPr>
      <w:tblGrid>
        <w:gridCol w:w="861"/>
        <w:gridCol w:w="1456"/>
      </w:tblGrid>
      <w:tr w:rsidR="00DF4522" w:rsidRPr="00E32FB2" w14:paraId="2FD4C026" w14:textId="77777777" w:rsidTr="00FB53C0">
        <w:trPr>
          <w:trHeight w:val="309"/>
        </w:trPr>
        <w:tc>
          <w:tcPr>
            <w:tcW w:w="861" w:type="dxa"/>
            <w:tcBorders>
              <w:top w:val="single" w:sz="24" w:space="0" w:color="auto"/>
              <w:left w:val="single" w:sz="24" w:space="0" w:color="auto"/>
            </w:tcBorders>
          </w:tcPr>
          <w:p w14:paraId="0A3F7F35" w14:textId="77777777" w:rsidR="00DF4522" w:rsidRPr="00E32FB2" w:rsidRDefault="00DF4522" w:rsidP="00FB53C0">
            <w:pPr>
              <w:rPr>
                <w:rFonts w:ascii="Helvetica" w:hAnsi="Helvetica"/>
                <w:sz w:val="32"/>
                <w:szCs w:val="32"/>
              </w:rPr>
            </w:pPr>
            <w:r w:rsidRPr="00E32FB2">
              <w:rPr>
                <w:rFonts w:ascii="Helvetica" w:hAnsi="Helvetica"/>
                <w:noProof/>
                <w:sz w:val="32"/>
                <w:szCs w:val="32"/>
                <w:lang w:val="en-US"/>
              </w:rPr>
              <w:drawing>
                <wp:inline distT="0" distB="0" distL="0" distR="0" wp14:anchorId="6FF2398E" wp14:editId="3A96F9CB">
                  <wp:extent cx="210009" cy="120235"/>
                  <wp:effectExtent l="0" t="0" r="0" b="6985"/>
                  <wp:docPr id="82" name="Picture 82" descr="Macintosh HD:Users:angelawhite:Desktop:Screen Shot 2016-04-07 at 19.18.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gelawhite:Desktop:Screen Shot 2016-04-07 at 19.18.45.png"/>
                          <pic:cNvPicPr>
                            <a:picLocks noChangeAspect="1" noChangeArrowheads="1"/>
                          </pic:cNvPicPr>
                        </pic:nvPicPr>
                        <pic:blipFill rotWithShape="1">
                          <a:blip r:embed="rId66">
                            <a:extLst>
                              <a:ext uri="{28A0092B-C50C-407E-A947-70E740481C1C}">
                                <a14:useLocalDpi xmlns:a14="http://schemas.microsoft.com/office/drawing/2010/main" val="0"/>
                              </a:ext>
                            </a:extLst>
                          </a:blip>
                          <a:srcRect l="21652" t="26642" b="25758"/>
                          <a:stretch/>
                        </pic:blipFill>
                        <pic:spPr bwMode="auto">
                          <a:xfrm>
                            <a:off x="0" y="0"/>
                            <a:ext cx="210562" cy="1205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56" w:type="dxa"/>
            <w:tcBorders>
              <w:top w:val="single" w:sz="24" w:space="0" w:color="auto"/>
              <w:right w:val="single" w:sz="24" w:space="0" w:color="auto"/>
            </w:tcBorders>
          </w:tcPr>
          <w:p w14:paraId="40FFC927" w14:textId="77777777" w:rsidR="00DF4522" w:rsidRPr="00B50EBB" w:rsidRDefault="00DF4522" w:rsidP="00FB53C0">
            <w:pPr>
              <w:rPr>
                <w:rFonts w:ascii="Helvetica" w:hAnsi="Helvetica"/>
                <w:sz w:val="24"/>
                <w:szCs w:val="24"/>
              </w:rPr>
            </w:pPr>
            <w:r w:rsidRPr="00B50EBB">
              <w:rPr>
                <w:rFonts w:ascii="Helvetica" w:hAnsi="Helvetica"/>
                <w:sz w:val="24"/>
                <w:szCs w:val="24"/>
              </w:rPr>
              <w:t>Protein</w:t>
            </w:r>
          </w:p>
        </w:tc>
      </w:tr>
      <w:tr w:rsidR="00DF4522" w:rsidRPr="00E32FB2" w14:paraId="75529760" w14:textId="77777777" w:rsidTr="00FB53C0">
        <w:trPr>
          <w:trHeight w:val="335"/>
        </w:trPr>
        <w:tc>
          <w:tcPr>
            <w:tcW w:w="861" w:type="dxa"/>
            <w:tcBorders>
              <w:left w:val="single" w:sz="24" w:space="0" w:color="auto"/>
            </w:tcBorders>
          </w:tcPr>
          <w:p w14:paraId="0FDC49A0" w14:textId="77777777" w:rsidR="00DF4522" w:rsidRPr="00E32FB2" w:rsidRDefault="00DF4522" w:rsidP="00FB53C0">
            <w:pPr>
              <w:rPr>
                <w:rFonts w:ascii="Helvetica" w:hAnsi="Helvetica"/>
                <w:sz w:val="32"/>
                <w:szCs w:val="32"/>
              </w:rPr>
            </w:pPr>
            <w:r w:rsidRPr="00E32FB2">
              <w:rPr>
                <w:rFonts w:ascii="Helvetica" w:hAnsi="Helvetica"/>
                <w:noProof/>
                <w:sz w:val="32"/>
                <w:szCs w:val="32"/>
                <w:lang w:val="en-US"/>
              </w:rPr>
              <w:drawing>
                <wp:inline distT="0" distB="0" distL="0" distR="0" wp14:anchorId="4CF9A84D" wp14:editId="20BA7DB9">
                  <wp:extent cx="158817" cy="140371"/>
                  <wp:effectExtent l="0" t="0" r="0" b="12065"/>
                  <wp:docPr id="83" name="Picture 83" descr="Macintosh HD:Users:angelawhite:Desktop:Screen Shot 2016-04-07 at 19.1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gelawhite:Desktop:Screen Shot 2016-04-07 at 19.19.15.png"/>
                          <pic:cNvPicPr>
                            <a:picLocks noChangeAspect="1" noChangeArrowheads="1"/>
                          </pic:cNvPicPr>
                        </pic:nvPicPr>
                        <pic:blipFill rotWithShape="1">
                          <a:blip r:embed="rId67">
                            <a:extLst>
                              <a:ext uri="{28A0092B-C50C-407E-A947-70E740481C1C}">
                                <a14:useLocalDpi xmlns:a14="http://schemas.microsoft.com/office/drawing/2010/main" val="0"/>
                              </a:ext>
                            </a:extLst>
                          </a:blip>
                          <a:srcRect l="-766" t="4055" r="766" b="11146"/>
                          <a:stretch/>
                        </pic:blipFill>
                        <pic:spPr bwMode="auto">
                          <a:xfrm>
                            <a:off x="0" y="0"/>
                            <a:ext cx="161757" cy="1429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56" w:type="dxa"/>
            <w:tcBorders>
              <w:right w:val="single" w:sz="24" w:space="0" w:color="auto"/>
            </w:tcBorders>
          </w:tcPr>
          <w:p w14:paraId="11012E1C" w14:textId="77777777" w:rsidR="00DF4522" w:rsidRPr="00B50EBB" w:rsidRDefault="00DF4522" w:rsidP="00FB53C0">
            <w:pPr>
              <w:rPr>
                <w:rFonts w:ascii="Helvetica" w:hAnsi="Helvetica"/>
                <w:sz w:val="24"/>
                <w:szCs w:val="24"/>
              </w:rPr>
            </w:pPr>
            <w:r w:rsidRPr="00B50EBB">
              <w:rPr>
                <w:rFonts w:ascii="Helvetica" w:hAnsi="Helvetica"/>
                <w:sz w:val="24"/>
                <w:szCs w:val="24"/>
              </w:rPr>
              <w:t>Nitrate</w:t>
            </w:r>
          </w:p>
        </w:tc>
      </w:tr>
      <w:tr w:rsidR="00DF4522" w:rsidRPr="00E32FB2" w14:paraId="003AFA3C" w14:textId="77777777" w:rsidTr="00FB53C0">
        <w:trPr>
          <w:trHeight w:val="551"/>
        </w:trPr>
        <w:tc>
          <w:tcPr>
            <w:tcW w:w="861" w:type="dxa"/>
            <w:tcBorders>
              <w:left w:val="single" w:sz="24" w:space="0" w:color="auto"/>
              <w:bottom w:val="single" w:sz="24" w:space="0" w:color="auto"/>
            </w:tcBorders>
          </w:tcPr>
          <w:p w14:paraId="7C862858" w14:textId="77777777" w:rsidR="00DF4522" w:rsidRPr="00E32FB2" w:rsidRDefault="00DF4522" w:rsidP="00FB53C0">
            <w:pPr>
              <w:rPr>
                <w:rFonts w:ascii="Helvetica" w:hAnsi="Helvetica"/>
                <w:sz w:val="32"/>
                <w:szCs w:val="32"/>
              </w:rPr>
            </w:pPr>
            <w:r w:rsidRPr="00E32FB2">
              <w:rPr>
                <w:rFonts w:ascii="Helvetica" w:hAnsi="Helvetica"/>
                <w:noProof/>
                <w:sz w:val="32"/>
                <w:szCs w:val="32"/>
                <w:lang w:val="en-US"/>
              </w:rPr>
              <w:drawing>
                <wp:inline distT="0" distB="0" distL="0" distR="0" wp14:anchorId="2D75DD54" wp14:editId="1DB89F0F">
                  <wp:extent cx="158817" cy="152910"/>
                  <wp:effectExtent l="0" t="0" r="0" b="0"/>
                  <wp:docPr id="84" name="Picture 84" descr="Macintosh HD:Users:angelawhite:Desktop:Screen Shot 2016-04-07 at 19.1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gelawhite:Desktop:Screen Shot 2016-04-07 at 19.19.02.png"/>
                          <pic:cNvPicPr>
                            <a:picLocks noChangeAspect="1" noChangeArrowheads="1"/>
                          </pic:cNvPicPr>
                        </pic:nvPicPr>
                        <pic:blipFill rotWithShape="1">
                          <a:blip r:embed="rId68">
                            <a:extLst>
                              <a:ext uri="{28A0092B-C50C-407E-A947-70E740481C1C}">
                                <a14:useLocalDpi xmlns:a14="http://schemas.microsoft.com/office/drawing/2010/main" val="0"/>
                              </a:ext>
                            </a:extLst>
                          </a:blip>
                          <a:srcRect l="5666" t="14442" b="-1"/>
                          <a:stretch/>
                        </pic:blipFill>
                        <pic:spPr bwMode="auto">
                          <a:xfrm>
                            <a:off x="0" y="0"/>
                            <a:ext cx="159737" cy="1537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56" w:type="dxa"/>
            <w:tcBorders>
              <w:bottom w:val="single" w:sz="24" w:space="0" w:color="auto"/>
              <w:right w:val="single" w:sz="24" w:space="0" w:color="auto"/>
            </w:tcBorders>
          </w:tcPr>
          <w:p w14:paraId="41C6BC84" w14:textId="77777777" w:rsidR="00DF4522" w:rsidRPr="00B50EBB" w:rsidRDefault="00DF4522" w:rsidP="00FB53C0">
            <w:pPr>
              <w:rPr>
                <w:rFonts w:ascii="Helvetica" w:hAnsi="Helvetica"/>
                <w:sz w:val="24"/>
                <w:szCs w:val="24"/>
              </w:rPr>
            </w:pPr>
            <w:r w:rsidRPr="00B50EBB">
              <w:rPr>
                <w:rFonts w:ascii="Helvetica" w:hAnsi="Helvetica"/>
                <w:sz w:val="24"/>
                <w:szCs w:val="24"/>
              </w:rPr>
              <w:t>Amino acids</w:t>
            </w:r>
          </w:p>
        </w:tc>
      </w:tr>
    </w:tbl>
    <w:p w14:paraId="719E80F2" w14:textId="77777777" w:rsidR="00DF4522" w:rsidRDefault="00DF4522" w:rsidP="00DF4522">
      <w:pPr>
        <w:jc w:val="both"/>
        <w:rPr>
          <w:b/>
        </w:rPr>
      </w:pPr>
      <w:r w:rsidRPr="00D117F9">
        <w:rPr>
          <w:b/>
          <w:noProof/>
          <w:lang w:val="en-US"/>
        </w:rPr>
        <w:drawing>
          <wp:anchor distT="0" distB="0" distL="114300" distR="114300" simplePos="0" relativeHeight="251753472" behindDoc="0" locked="0" layoutInCell="1" allowOverlap="1" wp14:anchorId="4EBAB720" wp14:editId="6C1014B3">
            <wp:simplePos x="0" y="0"/>
            <wp:positionH relativeFrom="column">
              <wp:posOffset>-149860</wp:posOffset>
            </wp:positionH>
            <wp:positionV relativeFrom="paragraph">
              <wp:posOffset>302895</wp:posOffset>
            </wp:positionV>
            <wp:extent cx="1978660" cy="1483995"/>
            <wp:effectExtent l="0" t="0" r="2540" b="0"/>
            <wp:wrapThrough wrapText="bothSides">
              <wp:wrapPolygon edited="0">
                <wp:start x="0" y="0"/>
                <wp:lineTo x="0" y="21073"/>
                <wp:lineTo x="21350" y="21073"/>
                <wp:lineTo x="21350" y="0"/>
                <wp:lineTo x="0" y="0"/>
              </wp:wrapPolygon>
            </wp:wrapThrough>
            <wp:docPr id="53" name="Picture 53" descr="Macintosh HD:Users:angelawhite:Desktop:N root 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gelawhite:Desktop:N root t1.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78660" cy="1483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C5CA1C" w14:textId="77777777" w:rsidR="00DF4522" w:rsidRDefault="00DF4522" w:rsidP="00DF4522">
      <w:pPr>
        <w:jc w:val="both"/>
        <w:rPr>
          <w:b/>
          <w:sz w:val="20"/>
          <w:szCs w:val="20"/>
        </w:rPr>
      </w:pPr>
      <w:r>
        <w:rPr>
          <w:b/>
          <w:noProof/>
          <w:lang w:val="en-US"/>
        </w:rPr>
        <w:drawing>
          <wp:anchor distT="0" distB="0" distL="114300" distR="114300" simplePos="0" relativeHeight="251754496" behindDoc="0" locked="0" layoutInCell="1" allowOverlap="1" wp14:anchorId="3FF6FB35" wp14:editId="010FF48D">
            <wp:simplePos x="0" y="0"/>
            <wp:positionH relativeFrom="column">
              <wp:posOffset>1852295</wp:posOffset>
            </wp:positionH>
            <wp:positionV relativeFrom="paragraph">
              <wp:posOffset>106045</wp:posOffset>
            </wp:positionV>
            <wp:extent cx="1976120" cy="1482090"/>
            <wp:effectExtent l="0" t="0" r="5080" b="0"/>
            <wp:wrapThrough wrapText="bothSides">
              <wp:wrapPolygon edited="0">
                <wp:start x="0" y="0"/>
                <wp:lineTo x="0" y="21100"/>
                <wp:lineTo x="21378" y="21100"/>
                <wp:lineTo x="21378" y="0"/>
                <wp:lineTo x="0" y="0"/>
              </wp:wrapPolygon>
            </wp:wrapThrough>
            <wp:docPr id="55" name="Picture 55" descr="Macintosh HD:Users:angelawhite:Desktop:N root 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gelawhite:Desktop:N root t3.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76120" cy="148209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val="en-US"/>
        </w:rPr>
        <w:drawing>
          <wp:anchor distT="0" distB="0" distL="114300" distR="114300" simplePos="0" relativeHeight="251755520" behindDoc="0" locked="0" layoutInCell="1" allowOverlap="1" wp14:anchorId="5C2585F6" wp14:editId="269105D0">
            <wp:simplePos x="0" y="0"/>
            <wp:positionH relativeFrom="column">
              <wp:posOffset>-90805</wp:posOffset>
            </wp:positionH>
            <wp:positionV relativeFrom="paragraph">
              <wp:posOffset>106045</wp:posOffset>
            </wp:positionV>
            <wp:extent cx="1978660" cy="1483995"/>
            <wp:effectExtent l="0" t="0" r="2540" b="0"/>
            <wp:wrapThrough wrapText="bothSides">
              <wp:wrapPolygon edited="0">
                <wp:start x="0" y="0"/>
                <wp:lineTo x="0" y="21073"/>
                <wp:lineTo x="21350" y="21073"/>
                <wp:lineTo x="21350" y="0"/>
                <wp:lineTo x="0" y="0"/>
              </wp:wrapPolygon>
            </wp:wrapThrough>
            <wp:docPr id="54" name="Picture 54" descr="Macintosh HD:Users:angelawhite:Desktop:N root 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gelawhite:Desktop:N root t2.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78660" cy="1483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738CB8" w14:textId="77777777" w:rsidR="00DF4522" w:rsidRDefault="00DF4522" w:rsidP="00DF4522">
      <w:pPr>
        <w:jc w:val="both"/>
        <w:rPr>
          <w:b/>
          <w:sz w:val="20"/>
          <w:szCs w:val="20"/>
        </w:rPr>
      </w:pPr>
    </w:p>
    <w:p w14:paraId="2216B362" w14:textId="0B3C6ADF" w:rsidR="00DF4522" w:rsidRDefault="00DF4522" w:rsidP="000055CC">
      <w:pPr>
        <w:jc w:val="both"/>
        <w:rPr>
          <w:rFonts w:ascii="Cambria" w:hAnsi="Cambria" w:cs="font652"/>
          <w:sz w:val="20"/>
          <w:szCs w:val="20"/>
          <w:lang w:val="en-US"/>
        </w:rPr>
      </w:pPr>
      <w:r w:rsidRPr="001238D2">
        <w:rPr>
          <w:b/>
          <w:sz w:val="20"/>
          <w:szCs w:val="20"/>
        </w:rPr>
        <w:t xml:space="preserve">Figure 5.  </w:t>
      </w:r>
      <w:r w:rsidRPr="001238D2">
        <w:rPr>
          <w:sz w:val="20"/>
          <w:szCs w:val="20"/>
        </w:rPr>
        <w:t>Partitioning of nitrogen resources in annual (filled symbols, solid line) and perennial (hollow symbols, dashed line) barley.  Panel shows allocation of nitrogen to protein (filled and hollow circles), free nitrate (filled and hollow squares), and free amino acids (filled and hollow triangles).  All data are expressed in mmol N g</w:t>
      </w:r>
      <w:r w:rsidRPr="001238D2">
        <w:rPr>
          <w:sz w:val="20"/>
          <w:szCs w:val="20"/>
          <w:vertAlign w:val="superscript"/>
        </w:rPr>
        <w:t>-1</w:t>
      </w:r>
      <w:r w:rsidRPr="001238D2">
        <w:rPr>
          <w:sz w:val="20"/>
          <w:szCs w:val="20"/>
        </w:rPr>
        <w:t xml:space="preserve"> carbohydrate-corrected dry weight (CCDW).  A, leaf 14 days after germination; B, leaf 28 days; C, leaf 42 days; D, leaf sheath 28 days; E, leaf sheath 42 days; F, root 14 days; G, root 28 days; H, root 42 days.  Leaf and leaf sheath tissues were pooled for the harvests at 14 days.  Data show </w:t>
      </w:r>
      <w:r w:rsidRPr="001238D2">
        <w:rPr>
          <w:rFonts w:ascii="Cambria" w:hAnsi="Cambria"/>
          <w:sz w:val="20"/>
          <w:szCs w:val="20"/>
        </w:rPr>
        <w:t xml:space="preserve">mean </w:t>
      </w:r>
      <w:r w:rsidRPr="001238D2">
        <w:rPr>
          <w:rFonts w:ascii="Cambria" w:hAnsi="Cambria" w:cs="font652"/>
          <w:sz w:val="20"/>
          <w:szCs w:val="20"/>
          <w:lang w:val="en-US"/>
        </w:rPr>
        <w:t>± SE (n=3).</w:t>
      </w:r>
    </w:p>
    <w:p w14:paraId="5BEC765D" w14:textId="77777777" w:rsidR="00DF4522" w:rsidRDefault="00DF4522" w:rsidP="00DF4522">
      <w:pPr>
        <w:spacing w:line="360" w:lineRule="auto"/>
        <w:jc w:val="both"/>
        <w:rPr>
          <w:rFonts w:ascii="Cambria" w:hAnsi="Cambria"/>
        </w:rPr>
      </w:pPr>
      <w:r w:rsidRPr="00531789">
        <w:rPr>
          <w:rFonts w:ascii="Cambria" w:hAnsi="Cambria"/>
        </w:rPr>
        <w:t xml:space="preserve">In contrast to nitrogen metabolites, the storage of carbon metabolites decreases when nitrogen treatment is increased from 1% to 20% but, as for RGR and nitrogen metabolites, this storage shows relatively little change when nitrogen treatment is increased to 100% (Fig. 6).  </w:t>
      </w:r>
    </w:p>
    <w:p w14:paraId="1985BDBB" w14:textId="77777777" w:rsidR="00DF4522" w:rsidRDefault="00DF4522" w:rsidP="00DF4522">
      <w:pPr>
        <w:spacing w:line="360" w:lineRule="auto"/>
        <w:jc w:val="both"/>
        <w:rPr>
          <w:rFonts w:ascii="Cambria" w:hAnsi="Cambria"/>
        </w:rPr>
      </w:pPr>
    </w:p>
    <w:p w14:paraId="3ACC70A5" w14:textId="77777777" w:rsidR="00DF4522" w:rsidRDefault="00DF4522" w:rsidP="00DF4522">
      <w:pPr>
        <w:jc w:val="both"/>
        <w:rPr>
          <w:rFonts w:ascii="Cambria" w:hAnsi="Cambria" w:cs="font652"/>
          <w:lang w:val="en-US"/>
        </w:rPr>
      </w:pPr>
      <w:r>
        <w:rPr>
          <w:noProof/>
          <w:lang w:val="en-US"/>
        </w:rPr>
        <w:drawing>
          <wp:anchor distT="0" distB="0" distL="114300" distR="114300" simplePos="0" relativeHeight="251759616" behindDoc="0" locked="0" layoutInCell="1" allowOverlap="1" wp14:anchorId="2498BA88" wp14:editId="1238AF34">
            <wp:simplePos x="0" y="0"/>
            <wp:positionH relativeFrom="column">
              <wp:posOffset>3891915</wp:posOffset>
            </wp:positionH>
            <wp:positionV relativeFrom="paragraph">
              <wp:posOffset>312420</wp:posOffset>
            </wp:positionV>
            <wp:extent cx="1979930" cy="1484630"/>
            <wp:effectExtent l="0" t="0" r="1270" b="0"/>
            <wp:wrapThrough wrapText="bothSides">
              <wp:wrapPolygon edited="0">
                <wp:start x="0" y="0"/>
                <wp:lineTo x="0" y="21064"/>
                <wp:lineTo x="21337" y="21064"/>
                <wp:lineTo x="21337" y="0"/>
                <wp:lineTo x="0" y="0"/>
              </wp:wrapPolygon>
            </wp:wrapThrough>
            <wp:docPr id="58" name="Picture 58" descr="Macintosh HD:Users:angelawhite:Desktop:C leaf 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angelawhite:Desktop:C leaf t3.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79930" cy="1484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6CF8">
        <w:rPr>
          <w:rFonts w:ascii="Cambria" w:hAnsi="Cambria" w:cs="font652"/>
          <w:noProof/>
          <w:lang w:val="en-US"/>
        </w:rPr>
        <w:drawing>
          <wp:anchor distT="0" distB="0" distL="114300" distR="114300" simplePos="0" relativeHeight="251757568" behindDoc="0" locked="0" layoutInCell="1" allowOverlap="1" wp14:anchorId="23A60F6C" wp14:editId="34AA582F">
            <wp:simplePos x="0" y="0"/>
            <wp:positionH relativeFrom="column">
              <wp:posOffset>-226695</wp:posOffset>
            </wp:positionH>
            <wp:positionV relativeFrom="paragraph">
              <wp:posOffset>338455</wp:posOffset>
            </wp:positionV>
            <wp:extent cx="1956435" cy="1467485"/>
            <wp:effectExtent l="0" t="0" r="0" b="5715"/>
            <wp:wrapThrough wrapText="bothSides">
              <wp:wrapPolygon edited="0">
                <wp:start x="0" y="0"/>
                <wp:lineTo x="0" y="21310"/>
                <wp:lineTo x="21313" y="21310"/>
                <wp:lineTo x="21313" y="0"/>
                <wp:lineTo x="0" y="0"/>
              </wp:wrapPolygon>
            </wp:wrapThrough>
            <wp:docPr id="56" name="Picture 56" descr="Macintosh HD:Users:angelawhite:Desktop:C leaf 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angelawhite:Desktop:C leaf t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56435" cy="1467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6CF8">
        <w:rPr>
          <w:noProof/>
          <w:lang w:val="en-US"/>
        </w:rPr>
        <w:drawing>
          <wp:anchor distT="0" distB="0" distL="114300" distR="114300" simplePos="0" relativeHeight="251758592" behindDoc="0" locked="0" layoutInCell="1" allowOverlap="1" wp14:anchorId="0605D486" wp14:editId="28B6DD2A">
            <wp:simplePos x="0" y="0"/>
            <wp:positionH relativeFrom="column">
              <wp:posOffset>1834515</wp:posOffset>
            </wp:positionH>
            <wp:positionV relativeFrom="paragraph">
              <wp:posOffset>320040</wp:posOffset>
            </wp:positionV>
            <wp:extent cx="1981835" cy="1486535"/>
            <wp:effectExtent l="0" t="0" r="0" b="12065"/>
            <wp:wrapThrough wrapText="bothSides">
              <wp:wrapPolygon edited="0">
                <wp:start x="0" y="0"/>
                <wp:lineTo x="0" y="21406"/>
                <wp:lineTo x="21316" y="21406"/>
                <wp:lineTo x="21316" y="0"/>
                <wp:lineTo x="0" y="0"/>
              </wp:wrapPolygon>
            </wp:wrapThrough>
            <wp:docPr id="57" name="Picture 57" descr="Macintosh HD:Users:angelawhite:Desktop:C leaf 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angelawhite:Desktop:C leaf t2.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81835" cy="14865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61664" behindDoc="0" locked="0" layoutInCell="1" allowOverlap="1" wp14:anchorId="0A4F6EDA" wp14:editId="245C4576">
            <wp:simplePos x="0" y="0"/>
            <wp:positionH relativeFrom="column">
              <wp:posOffset>3891915</wp:posOffset>
            </wp:positionH>
            <wp:positionV relativeFrom="paragraph">
              <wp:posOffset>2149475</wp:posOffset>
            </wp:positionV>
            <wp:extent cx="1979930" cy="1484630"/>
            <wp:effectExtent l="0" t="0" r="1270" b="0"/>
            <wp:wrapThrough wrapText="bothSides">
              <wp:wrapPolygon edited="0">
                <wp:start x="0" y="0"/>
                <wp:lineTo x="0" y="21064"/>
                <wp:lineTo x="21337" y="21064"/>
                <wp:lineTo x="21337" y="0"/>
                <wp:lineTo x="0" y="0"/>
              </wp:wrapPolygon>
            </wp:wrapThrough>
            <wp:docPr id="60" name="Picture 60" descr="Macintosh HD:Users:angelawhite:Desktop:C sheath 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angelawhite:Desktop:C sheath t3.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79930" cy="1484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5A78">
        <w:rPr>
          <w:noProof/>
          <w:lang w:val="en-US"/>
        </w:rPr>
        <w:drawing>
          <wp:anchor distT="0" distB="0" distL="114300" distR="114300" simplePos="0" relativeHeight="251760640" behindDoc="0" locked="0" layoutInCell="1" allowOverlap="1" wp14:anchorId="02E1966A" wp14:editId="23540C1E">
            <wp:simplePos x="0" y="0"/>
            <wp:positionH relativeFrom="column">
              <wp:posOffset>1834515</wp:posOffset>
            </wp:positionH>
            <wp:positionV relativeFrom="paragraph">
              <wp:posOffset>2149475</wp:posOffset>
            </wp:positionV>
            <wp:extent cx="1979930" cy="1484630"/>
            <wp:effectExtent l="0" t="0" r="1270" b="0"/>
            <wp:wrapThrough wrapText="bothSides">
              <wp:wrapPolygon edited="0">
                <wp:start x="0" y="0"/>
                <wp:lineTo x="0" y="21064"/>
                <wp:lineTo x="21337" y="21064"/>
                <wp:lineTo x="21337" y="0"/>
                <wp:lineTo x="0" y="0"/>
              </wp:wrapPolygon>
            </wp:wrapThrough>
            <wp:docPr id="59" name="Picture 59" descr="Macintosh HD:Users:angelawhite:Desktop:C sheath 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ngelawhite:Desktop:C sheath t2.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79930" cy="1484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0A4F3E" w14:textId="77777777" w:rsidR="00DF4522" w:rsidRDefault="00DF4522" w:rsidP="00DF4522">
      <w:pPr>
        <w:jc w:val="both"/>
        <w:rPr>
          <w:rFonts w:ascii="Cambria" w:hAnsi="Cambria" w:cs="font652"/>
          <w:lang w:val="en-US"/>
        </w:rPr>
      </w:pPr>
    </w:p>
    <w:p w14:paraId="368EED8B" w14:textId="77777777" w:rsidR="00DF4522" w:rsidRDefault="00DF4522" w:rsidP="00DF4522">
      <w:pPr>
        <w:jc w:val="both"/>
        <w:rPr>
          <w:rFonts w:ascii="Cambria" w:hAnsi="Cambria" w:cs="font652"/>
          <w:lang w:val="en-US"/>
        </w:rPr>
      </w:pPr>
    </w:p>
    <w:p w14:paraId="243BB62E" w14:textId="77777777" w:rsidR="00DF4522" w:rsidRDefault="00DF4522" w:rsidP="00DF4522">
      <w:pPr>
        <w:jc w:val="both"/>
        <w:rPr>
          <w:rFonts w:ascii="Cambria" w:hAnsi="Cambria" w:cs="font652"/>
          <w:lang w:val="en-US"/>
        </w:rPr>
      </w:pPr>
    </w:p>
    <w:p w14:paraId="21C8BD88" w14:textId="77777777" w:rsidR="00DF4522" w:rsidRDefault="00DF4522" w:rsidP="00DF4522">
      <w:pPr>
        <w:jc w:val="both"/>
        <w:rPr>
          <w:rFonts w:ascii="Cambria" w:hAnsi="Cambria" w:cs="font652"/>
          <w:lang w:val="en-US"/>
        </w:rPr>
      </w:pPr>
    </w:p>
    <w:tbl>
      <w:tblPr>
        <w:tblStyle w:val="TableGrid"/>
        <w:tblpPr w:leftFromText="180" w:rightFromText="180" w:vertAnchor="text" w:horzAnchor="page" w:tblpX="2377" w:tblpY="-295"/>
        <w:tblW w:w="0" w:type="auto"/>
        <w:tblBorders>
          <w:top w:val="single" w:sz="24" w:space="0" w:color="auto"/>
          <w:left w:val="single" w:sz="24" w:space="0" w:color="auto"/>
          <w:bottom w:val="single" w:sz="24" w:space="0" w:color="auto"/>
          <w:right w:val="single" w:sz="24" w:space="0" w:color="auto"/>
          <w:insideH w:val="none" w:sz="0" w:space="0" w:color="auto"/>
          <w:insideV w:val="none" w:sz="0" w:space="0" w:color="auto"/>
        </w:tblBorders>
        <w:tblLook w:val="04A0" w:firstRow="1" w:lastRow="0" w:firstColumn="1" w:lastColumn="0" w:noHBand="0" w:noVBand="1"/>
      </w:tblPr>
      <w:tblGrid>
        <w:gridCol w:w="861"/>
        <w:gridCol w:w="1456"/>
      </w:tblGrid>
      <w:tr w:rsidR="00DF4522" w:rsidRPr="00E32FB2" w14:paraId="5E10CE0C" w14:textId="77777777" w:rsidTr="00FB53C0">
        <w:trPr>
          <w:trHeight w:val="309"/>
        </w:trPr>
        <w:tc>
          <w:tcPr>
            <w:tcW w:w="861" w:type="dxa"/>
          </w:tcPr>
          <w:p w14:paraId="2D1BD470" w14:textId="77777777" w:rsidR="00DF4522" w:rsidRPr="00E32FB2" w:rsidRDefault="00DF4522" w:rsidP="00FB53C0">
            <w:pPr>
              <w:rPr>
                <w:rFonts w:ascii="Helvetica" w:hAnsi="Helvetica"/>
                <w:sz w:val="32"/>
                <w:szCs w:val="32"/>
              </w:rPr>
            </w:pPr>
            <w:r w:rsidRPr="00E32FB2">
              <w:rPr>
                <w:rFonts w:ascii="Helvetica" w:hAnsi="Helvetica"/>
                <w:noProof/>
                <w:sz w:val="32"/>
                <w:szCs w:val="32"/>
                <w:lang w:val="en-US"/>
              </w:rPr>
              <w:drawing>
                <wp:inline distT="0" distB="0" distL="0" distR="0" wp14:anchorId="6A61A9CC" wp14:editId="3FBBF238">
                  <wp:extent cx="210009" cy="120235"/>
                  <wp:effectExtent l="0" t="0" r="0" b="6985"/>
                  <wp:docPr id="89" name="Picture 89" descr="Macintosh HD:Users:angelawhite:Desktop:Screen Shot 2016-04-07 at 19.18.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gelawhite:Desktop:Screen Shot 2016-04-07 at 19.18.45.png"/>
                          <pic:cNvPicPr>
                            <a:picLocks noChangeAspect="1" noChangeArrowheads="1"/>
                          </pic:cNvPicPr>
                        </pic:nvPicPr>
                        <pic:blipFill rotWithShape="1">
                          <a:blip r:embed="rId66">
                            <a:extLst>
                              <a:ext uri="{28A0092B-C50C-407E-A947-70E740481C1C}">
                                <a14:useLocalDpi xmlns:a14="http://schemas.microsoft.com/office/drawing/2010/main" val="0"/>
                              </a:ext>
                            </a:extLst>
                          </a:blip>
                          <a:srcRect l="21652" t="26642" b="25758"/>
                          <a:stretch/>
                        </pic:blipFill>
                        <pic:spPr bwMode="auto">
                          <a:xfrm>
                            <a:off x="0" y="0"/>
                            <a:ext cx="210562" cy="1205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56" w:type="dxa"/>
          </w:tcPr>
          <w:p w14:paraId="1FB191D9" w14:textId="77777777" w:rsidR="00DF4522" w:rsidRPr="00C30914" w:rsidRDefault="00DF4522" w:rsidP="00FB53C0">
            <w:pPr>
              <w:rPr>
                <w:rFonts w:ascii="Helvetica" w:hAnsi="Helvetica"/>
                <w:sz w:val="12"/>
                <w:szCs w:val="12"/>
              </w:rPr>
            </w:pPr>
          </w:p>
          <w:p w14:paraId="7A34FE68" w14:textId="77777777" w:rsidR="00DF4522" w:rsidRPr="00B50EBB" w:rsidRDefault="00DF4522" w:rsidP="00FB53C0">
            <w:pPr>
              <w:rPr>
                <w:rFonts w:ascii="Helvetica" w:hAnsi="Helvetica"/>
              </w:rPr>
            </w:pPr>
            <w:r>
              <w:rPr>
                <w:rFonts w:ascii="Helvetica" w:hAnsi="Helvetica"/>
              </w:rPr>
              <w:t>TNC</w:t>
            </w:r>
          </w:p>
        </w:tc>
      </w:tr>
      <w:tr w:rsidR="00DF4522" w:rsidRPr="00E32FB2" w14:paraId="048A2101" w14:textId="77777777" w:rsidTr="00FB53C0">
        <w:trPr>
          <w:trHeight w:val="551"/>
        </w:trPr>
        <w:tc>
          <w:tcPr>
            <w:tcW w:w="861" w:type="dxa"/>
          </w:tcPr>
          <w:p w14:paraId="45BD7C59" w14:textId="77777777" w:rsidR="00DF4522" w:rsidRPr="00E32FB2" w:rsidRDefault="00DF4522" w:rsidP="00FB53C0">
            <w:pPr>
              <w:rPr>
                <w:rFonts w:ascii="Helvetica" w:hAnsi="Helvetica"/>
                <w:sz w:val="32"/>
                <w:szCs w:val="32"/>
              </w:rPr>
            </w:pPr>
            <w:r w:rsidRPr="00E32FB2">
              <w:rPr>
                <w:rFonts w:ascii="Helvetica" w:hAnsi="Helvetica"/>
                <w:noProof/>
                <w:sz w:val="32"/>
                <w:szCs w:val="32"/>
                <w:lang w:val="en-US"/>
              </w:rPr>
              <w:drawing>
                <wp:inline distT="0" distB="0" distL="0" distR="0" wp14:anchorId="28481288" wp14:editId="6FFBAA1E">
                  <wp:extent cx="158817" cy="152910"/>
                  <wp:effectExtent l="0" t="0" r="0" b="0"/>
                  <wp:docPr id="91" name="Picture 91" descr="Macintosh HD:Users:angelawhite:Desktop:Screen Shot 2016-04-07 at 19.1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gelawhite:Desktop:Screen Shot 2016-04-07 at 19.19.02.png"/>
                          <pic:cNvPicPr>
                            <a:picLocks noChangeAspect="1" noChangeArrowheads="1"/>
                          </pic:cNvPicPr>
                        </pic:nvPicPr>
                        <pic:blipFill rotWithShape="1">
                          <a:blip r:embed="rId68">
                            <a:extLst>
                              <a:ext uri="{28A0092B-C50C-407E-A947-70E740481C1C}">
                                <a14:useLocalDpi xmlns:a14="http://schemas.microsoft.com/office/drawing/2010/main" val="0"/>
                              </a:ext>
                            </a:extLst>
                          </a:blip>
                          <a:srcRect l="5666" t="14442" b="-1"/>
                          <a:stretch/>
                        </pic:blipFill>
                        <pic:spPr bwMode="auto">
                          <a:xfrm>
                            <a:off x="0" y="0"/>
                            <a:ext cx="159737" cy="1537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56" w:type="dxa"/>
          </w:tcPr>
          <w:p w14:paraId="115841F2" w14:textId="77777777" w:rsidR="00DF4522" w:rsidRPr="00C30914" w:rsidRDefault="00DF4522" w:rsidP="00FB53C0">
            <w:pPr>
              <w:rPr>
                <w:rFonts w:ascii="Helvetica" w:hAnsi="Helvetica"/>
                <w:sz w:val="4"/>
                <w:szCs w:val="4"/>
              </w:rPr>
            </w:pPr>
          </w:p>
          <w:p w14:paraId="01E68BB4" w14:textId="77777777" w:rsidR="00DF4522" w:rsidRPr="00B50EBB" w:rsidRDefault="00DF4522" w:rsidP="00FB53C0">
            <w:pPr>
              <w:rPr>
                <w:rFonts w:ascii="Helvetica" w:hAnsi="Helvetica"/>
              </w:rPr>
            </w:pPr>
            <w:proofErr w:type="spellStart"/>
            <w:r>
              <w:rPr>
                <w:rFonts w:ascii="Helvetica" w:hAnsi="Helvetica"/>
              </w:rPr>
              <w:t>Fructans</w:t>
            </w:r>
            <w:proofErr w:type="spellEnd"/>
          </w:p>
        </w:tc>
      </w:tr>
    </w:tbl>
    <w:p w14:paraId="4220E813" w14:textId="77777777" w:rsidR="00DF4522" w:rsidRDefault="00DF4522" w:rsidP="00DF4522">
      <w:pPr>
        <w:jc w:val="both"/>
        <w:rPr>
          <w:rFonts w:ascii="Cambria" w:hAnsi="Cambria" w:cs="font652"/>
          <w:lang w:val="en-US"/>
        </w:rPr>
      </w:pPr>
    </w:p>
    <w:p w14:paraId="03740108" w14:textId="77777777" w:rsidR="00DF4522" w:rsidRDefault="00DF4522" w:rsidP="00DF4522">
      <w:pPr>
        <w:jc w:val="both"/>
        <w:rPr>
          <w:rFonts w:ascii="Cambria" w:hAnsi="Cambria" w:cs="font652"/>
          <w:lang w:val="en-US"/>
        </w:rPr>
      </w:pPr>
    </w:p>
    <w:p w14:paraId="145835D3" w14:textId="77777777" w:rsidR="00DF4522" w:rsidRDefault="00DF4522" w:rsidP="00DF4522">
      <w:pPr>
        <w:widowControl w:val="0"/>
        <w:autoSpaceDE w:val="0"/>
        <w:autoSpaceDN w:val="0"/>
        <w:adjustRightInd w:val="0"/>
        <w:rPr>
          <w:b/>
        </w:rPr>
      </w:pPr>
      <w:r>
        <w:rPr>
          <w:rFonts w:ascii="Helvetica" w:hAnsi="Helvetica"/>
          <w:noProof/>
          <w:sz w:val="28"/>
          <w:szCs w:val="28"/>
          <w:lang w:val="en-US"/>
        </w:rPr>
        <w:drawing>
          <wp:anchor distT="0" distB="0" distL="114300" distR="114300" simplePos="0" relativeHeight="251786240" behindDoc="0" locked="0" layoutInCell="1" allowOverlap="1" wp14:anchorId="24BA4260" wp14:editId="189131EC">
            <wp:simplePos x="0" y="0"/>
            <wp:positionH relativeFrom="column">
              <wp:posOffset>-1604645</wp:posOffset>
            </wp:positionH>
            <wp:positionV relativeFrom="paragraph">
              <wp:posOffset>144780</wp:posOffset>
            </wp:positionV>
            <wp:extent cx="1485265" cy="472440"/>
            <wp:effectExtent l="0" t="0" r="0" b="10160"/>
            <wp:wrapThrough wrapText="bothSides">
              <wp:wrapPolygon edited="0">
                <wp:start x="0" y="0"/>
                <wp:lineTo x="0" y="20903"/>
                <wp:lineTo x="21055" y="20903"/>
                <wp:lineTo x="21055" y="0"/>
                <wp:lineTo x="0" y="0"/>
              </wp:wrapPolygon>
            </wp:wrapThrough>
            <wp:docPr id="41" name="Picture 41" descr="Macintosh HD:Users:angelawhite:Desktop:Screen Shot 2016-04-07 at 19.0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gelawhite:Desktop:Screen Shot 2016-04-07 at 19.06.29.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85265" cy="472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158FAF" w14:textId="77777777" w:rsidR="00DF4522" w:rsidRDefault="00DF4522" w:rsidP="00DF4522">
      <w:pPr>
        <w:jc w:val="both"/>
        <w:rPr>
          <w:b/>
        </w:rPr>
      </w:pPr>
    </w:p>
    <w:p w14:paraId="3135F09C" w14:textId="77777777" w:rsidR="00DF4522" w:rsidRDefault="00DF4522" w:rsidP="00DF4522">
      <w:pPr>
        <w:spacing w:line="360" w:lineRule="auto"/>
        <w:jc w:val="both"/>
      </w:pPr>
    </w:p>
    <w:p w14:paraId="7D5C67CF" w14:textId="77777777" w:rsidR="00DF4522" w:rsidRDefault="00DF4522" w:rsidP="00DF4522">
      <w:pPr>
        <w:jc w:val="both"/>
        <w:rPr>
          <w:b/>
          <w:sz w:val="20"/>
          <w:szCs w:val="20"/>
        </w:rPr>
      </w:pPr>
    </w:p>
    <w:p w14:paraId="5D0779EA" w14:textId="77777777" w:rsidR="00DF4522" w:rsidRDefault="00DF4522" w:rsidP="00DF4522">
      <w:pPr>
        <w:jc w:val="both"/>
        <w:rPr>
          <w:b/>
          <w:sz w:val="20"/>
          <w:szCs w:val="20"/>
        </w:rPr>
      </w:pPr>
      <w:r>
        <w:rPr>
          <w:noProof/>
          <w:lang w:val="en-US"/>
        </w:rPr>
        <w:drawing>
          <wp:anchor distT="0" distB="0" distL="114300" distR="114300" simplePos="0" relativeHeight="251764736" behindDoc="0" locked="0" layoutInCell="1" allowOverlap="1" wp14:anchorId="1534E46F" wp14:editId="292C248F">
            <wp:simplePos x="0" y="0"/>
            <wp:positionH relativeFrom="column">
              <wp:posOffset>3886200</wp:posOffset>
            </wp:positionH>
            <wp:positionV relativeFrom="paragraph">
              <wp:posOffset>286385</wp:posOffset>
            </wp:positionV>
            <wp:extent cx="1979930" cy="1484630"/>
            <wp:effectExtent l="0" t="0" r="1270" b="0"/>
            <wp:wrapThrough wrapText="bothSides">
              <wp:wrapPolygon edited="0">
                <wp:start x="0" y="0"/>
                <wp:lineTo x="0" y="21064"/>
                <wp:lineTo x="21337" y="21064"/>
                <wp:lineTo x="21337" y="0"/>
                <wp:lineTo x="0" y="0"/>
              </wp:wrapPolygon>
            </wp:wrapThrough>
            <wp:docPr id="63" name="Picture 63" descr="Macintosh HD:Users:angelawhite:Desktop:C root 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angelawhite:Desktop:C root t3.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79930" cy="1484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5A78">
        <w:rPr>
          <w:noProof/>
          <w:lang w:val="en-US"/>
        </w:rPr>
        <w:drawing>
          <wp:anchor distT="0" distB="0" distL="114300" distR="114300" simplePos="0" relativeHeight="251762688" behindDoc="0" locked="0" layoutInCell="1" allowOverlap="1" wp14:anchorId="1D833833" wp14:editId="4E0FC37C">
            <wp:simplePos x="0" y="0"/>
            <wp:positionH relativeFrom="column">
              <wp:posOffset>1828800</wp:posOffset>
            </wp:positionH>
            <wp:positionV relativeFrom="paragraph">
              <wp:posOffset>286385</wp:posOffset>
            </wp:positionV>
            <wp:extent cx="1979930" cy="1484630"/>
            <wp:effectExtent l="0" t="0" r="1270" b="0"/>
            <wp:wrapThrough wrapText="bothSides">
              <wp:wrapPolygon edited="0">
                <wp:start x="0" y="0"/>
                <wp:lineTo x="0" y="21064"/>
                <wp:lineTo x="21337" y="21064"/>
                <wp:lineTo x="21337" y="0"/>
                <wp:lineTo x="0" y="0"/>
              </wp:wrapPolygon>
            </wp:wrapThrough>
            <wp:docPr id="62" name="Picture 62" descr="Macintosh HD:Users:angelawhite:Desktop:C root 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angelawhite:Desktop:C root t2.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79930" cy="1484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6CF8">
        <w:rPr>
          <w:noProof/>
          <w:lang w:val="en-US"/>
        </w:rPr>
        <w:drawing>
          <wp:anchor distT="0" distB="0" distL="114300" distR="114300" simplePos="0" relativeHeight="251763712" behindDoc="0" locked="0" layoutInCell="1" allowOverlap="1" wp14:anchorId="4DCB4669" wp14:editId="0A59063C">
            <wp:simplePos x="0" y="0"/>
            <wp:positionH relativeFrom="column">
              <wp:posOffset>-228600</wp:posOffset>
            </wp:positionH>
            <wp:positionV relativeFrom="paragraph">
              <wp:posOffset>286385</wp:posOffset>
            </wp:positionV>
            <wp:extent cx="1979930" cy="1484630"/>
            <wp:effectExtent l="0" t="0" r="1270" b="0"/>
            <wp:wrapThrough wrapText="bothSides">
              <wp:wrapPolygon edited="0">
                <wp:start x="0" y="0"/>
                <wp:lineTo x="0" y="21064"/>
                <wp:lineTo x="21337" y="21064"/>
                <wp:lineTo x="21337" y="0"/>
                <wp:lineTo x="0" y="0"/>
              </wp:wrapPolygon>
            </wp:wrapThrough>
            <wp:docPr id="61" name="Picture 61" descr="Macintosh HD:Users:angelawhite:Desktop:C root 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angelawhite:Desktop:C root t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79930" cy="1484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DD00D2" w14:textId="77777777" w:rsidR="00DF4522" w:rsidRDefault="00DF4522" w:rsidP="00DF4522">
      <w:pPr>
        <w:jc w:val="both"/>
        <w:rPr>
          <w:b/>
          <w:sz w:val="20"/>
          <w:szCs w:val="20"/>
        </w:rPr>
      </w:pPr>
    </w:p>
    <w:p w14:paraId="73752099" w14:textId="77777777" w:rsidR="00DF4522" w:rsidRDefault="00DF4522" w:rsidP="00DF4522">
      <w:pPr>
        <w:jc w:val="both"/>
        <w:rPr>
          <w:b/>
          <w:sz w:val="20"/>
          <w:szCs w:val="20"/>
        </w:rPr>
      </w:pPr>
    </w:p>
    <w:p w14:paraId="6F708325" w14:textId="77777777" w:rsidR="00DF4522" w:rsidRPr="00AB4E3F" w:rsidRDefault="00DF4522" w:rsidP="00DF4522">
      <w:pPr>
        <w:jc w:val="both"/>
        <w:rPr>
          <w:rFonts w:ascii="Cambria" w:hAnsi="Cambria" w:cs="font652"/>
          <w:sz w:val="20"/>
          <w:szCs w:val="20"/>
          <w:lang w:val="en-US"/>
        </w:rPr>
      </w:pPr>
      <w:r w:rsidRPr="00AB4E3F">
        <w:rPr>
          <w:b/>
          <w:sz w:val="20"/>
          <w:szCs w:val="20"/>
        </w:rPr>
        <w:t xml:space="preserve">Figure 6.  </w:t>
      </w:r>
      <w:r w:rsidRPr="00AB4E3F">
        <w:rPr>
          <w:sz w:val="20"/>
          <w:szCs w:val="20"/>
        </w:rPr>
        <w:t xml:space="preserve">Non-structural carbohydrates in annual (filled symbols, solid line) and perennial (hollow symbols, dashed line) barley.  Panel shows allocation of carbon to total non-structural carbohydrates (TNC; filled and hollow circles) and to total </w:t>
      </w:r>
      <w:proofErr w:type="spellStart"/>
      <w:r w:rsidRPr="00AB4E3F">
        <w:rPr>
          <w:sz w:val="20"/>
          <w:szCs w:val="20"/>
        </w:rPr>
        <w:t>fructans</w:t>
      </w:r>
      <w:proofErr w:type="spellEnd"/>
      <w:r w:rsidRPr="00AB4E3F">
        <w:rPr>
          <w:sz w:val="20"/>
          <w:szCs w:val="20"/>
        </w:rPr>
        <w:t xml:space="preserve"> (filled and hollow triangles) which represent a large proportion of TNC.  TNC is the sum of glucose, fructose, sucrose, starch, short-chain and long-chain </w:t>
      </w:r>
      <w:proofErr w:type="spellStart"/>
      <w:r w:rsidRPr="00AB4E3F">
        <w:rPr>
          <w:sz w:val="20"/>
          <w:szCs w:val="20"/>
        </w:rPr>
        <w:t>fructans</w:t>
      </w:r>
      <w:proofErr w:type="spellEnd"/>
      <w:r w:rsidRPr="00AB4E3F">
        <w:rPr>
          <w:sz w:val="20"/>
          <w:szCs w:val="20"/>
        </w:rPr>
        <w:t>.  All data are expressed in mmol C g</w:t>
      </w:r>
      <w:r w:rsidRPr="00AB4E3F">
        <w:rPr>
          <w:sz w:val="20"/>
          <w:szCs w:val="20"/>
          <w:vertAlign w:val="superscript"/>
        </w:rPr>
        <w:t>-1</w:t>
      </w:r>
      <w:r w:rsidRPr="00AB4E3F">
        <w:rPr>
          <w:sz w:val="20"/>
          <w:szCs w:val="20"/>
        </w:rPr>
        <w:t xml:space="preserve"> carbohydrate-corrected dry weight (CCDW).  A, leaf 14 days after germination; B, leaf 28 days; C, leaf 42 days; D, leaf sheath 28 days; E, leaf sheath 42 days; F, root 14 days; G, root 28 days; H, root 42 days.  Leaf and leaf sheath tissues were pooled for the harvests at 14 days.  Data show </w:t>
      </w:r>
      <w:r w:rsidRPr="00AB4E3F">
        <w:rPr>
          <w:rFonts w:ascii="Cambria" w:hAnsi="Cambria"/>
          <w:sz w:val="20"/>
          <w:szCs w:val="20"/>
        </w:rPr>
        <w:t xml:space="preserve">mean </w:t>
      </w:r>
      <w:r w:rsidRPr="00AB4E3F">
        <w:rPr>
          <w:rFonts w:ascii="Cambria" w:hAnsi="Cambria" w:cs="font652"/>
          <w:sz w:val="20"/>
          <w:szCs w:val="20"/>
          <w:lang w:val="en-US"/>
        </w:rPr>
        <w:t>± SE (n=3).</w:t>
      </w:r>
    </w:p>
    <w:p w14:paraId="4A64130F" w14:textId="77777777" w:rsidR="00DF4522" w:rsidRPr="00AB4E3F" w:rsidRDefault="00DF4522" w:rsidP="00DF4522">
      <w:pPr>
        <w:spacing w:line="360" w:lineRule="auto"/>
        <w:jc w:val="both"/>
        <w:rPr>
          <w:rFonts w:ascii="Cambria" w:hAnsi="Cambria"/>
          <w:sz w:val="20"/>
          <w:szCs w:val="20"/>
        </w:rPr>
      </w:pPr>
      <w:r w:rsidRPr="00AB4E3F">
        <w:rPr>
          <w:sz w:val="20"/>
          <w:szCs w:val="20"/>
        </w:rPr>
        <w:br w:type="page"/>
      </w:r>
    </w:p>
    <w:p w14:paraId="7C3C0096" w14:textId="77777777" w:rsidR="00DF4522" w:rsidRPr="00531789" w:rsidRDefault="00DF4522" w:rsidP="00DF4522">
      <w:pPr>
        <w:spacing w:line="360" w:lineRule="auto"/>
        <w:jc w:val="both"/>
        <w:rPr>
          <w:rFonts w:ascii="Cambria" w:hAnsi="Cambria"/>
        </w:rPr>
      </w:pPr>
      <w:proofErr w:type="spellStart"/>
      <w:r w:rsidRPr="00531789">
        <w:rPr>
          <w:rFonts w:ascii="Cambria" w:hAnsi="Cambria"/>
        </w:rPr>
        <w:t>Fructans</w:t>
      </w:r>
      <w:proofErr w:type="spellEnd"/>
      <w:r w:rsidRPr="00531789">
        <w:rPr>
          <w:rFonts w:ascii="Cambria" w:hAnsi="Cambria"/>
        </w:rPr>
        <w:t xml:space="preserve"> are a major store for carbon (Fig. 6), and the roots of both species contain more carbon and less nitrogen than the shoot tissues (Fig. 7).  In general, the tissues of annual barley contain a higher concentration of total non-structural carbohydrate (TNC) than the perennial (Fig. 6).  TNC is significantly higher in the annual in leaf (F</w:t>
      </w:r>
      <w:r w:rsidRPr="00531789">
        <w:rPr>
          <w:rFonts w:ascii="Cambria" w:hAnsi="Cambria"/>
          <w:vertAlign w:val="subscript"/>
        </w:rPr>
        <w:t>(1,28)</w:t>
      </w:r>
      <w:r>
        <w:rPr>
          <w:rFonts w:ascii="Cambria" w:hAnsi="Cambria"/>
        </w:rPr>
        <w:t xml:space="preserve"> = 7.7, p</w:t>
      </w:r>
      <w:r w:rsidRPr="00531789">
        <w:rPr>
          <w:rFonts w:ascii="Cambria" w:hAnsi="Cambria"/>
        </w:rPr>
        <w:t>&lt;0.01), sheath (F</w:t>
      </w:r>
      <w:r w:rsidRPr="00531789">
        <w:rPr>
          <w:rFonts w:ascii="Cambria" w:hAnsi="Cambria"/>
          <w:vertAlign w:val="subscript"/>
        </w:rPr>
        <w:t>(1,11)</w:t>
      </w:r>
      <w:r w:rsidRPr="00531789">
        <w:rPr>
          <w:rFonts w:ascii="Cambria" w:hAnsi="Cambria"/>
        </w:rPr>
        <w:t xml:space="preserve"> 5.3, p&lt;0.05) and shows a species x age interaction in the root: TNC is higher in the annual 14 days after germination but is similar in both species thereafter (F</w:t>
      </w:r>
      <w:r w:rsidRPr="00531789">
        <w:rPr>
          <w:rFonts w:ascii="Cambria" w:hAnsi="Cambria"/>
          <w:vertAlign w:val="subscript"/>
        </w:rPr>
        <w:t>(2,29)</w:t>
      </w:r>
      <w:r w:rsidRPr="00531789">
        <w:rPr>
          <w:rFonts w:ascii="Cambria" w:hAnsi="Cambria"/>
        </w:rPr>
        <w:t xml:space="preserve"> = 6.8, p&lt;0.01).  Root TNC also shows a significant nitrogen treatment x age interaction (F</w:t>
      </w:r>
      <w:r w:rsidRPr="00531789">
        <w:rPr>
          <w:rFonts w:ascii="Cambria" w:hAnsi="Cambria"/>
          <w:vertAlign w:val="subscript"/>
        </w:rPr>
        <w:t>(2,29)</w:t>
      </w:r>
      <w:r w:rsidRPr="00531789">
        <w:rPr>
          <w:rFonts w:ascii="Cambria" w:hAnsi="Cambria"/>
        </w:rPr>
        <w:t xml:space="preserve"> = 12.7, p&lt;0.001), with the decrease in TNC with increasing nitrogen treatment being most pronounced 14 days after germination (Fig. 6F).  </w:t>
      </w:r>
      <w:proofErr w:type="spellStart"/>
      <w:r w:rsidRPr="00531789">
        <w:rPr>
          <w:rFonts w:ascii="Cambria" w:hAnsi="Cambria"/>
        </w:rPr>
        <w:t>Fructan</w:t>
      </w:r>
      <w:proofErr w:type="spellEnd"/>
      <w:r w:rsidRPr="00531789">
        <w:rPr>
          <w:rFonts w:ascii="Cambria" w:hAnsi="Cambria"/>
        </w:rPr>
        <w:t xml:space="preserve"> concentration shows a significant nitrogen x species x age interaction in the sheath (F</w:t>
      </w:r>
      <w:r w:rsidRPr="00531789">
        <w:rPr>
          <w:rFonts w:ascii="Cambria" w:hAnsi="Cambria"/>
          <w:vertAlign w:val="subscript"/>
        </w:rPr>
        <w:t>(1,11)</w:t>
      </w:r>
      <w:r>
        <w:rPr>
          <w:rFonts w:ascii="Cambria" w:hAnsi="Cambria"/>
        </w:rPr>
        <w:t xml:space="preserve"> = 10.5, p</w:t>
      </w:r>
      <w:r w:rsidRPr="00531789">
        <w:rPr>
          <w:rFonts w:ascii="Cambria" w:hAnsi="Cambria"/>
        </w:rPr>
        <w:t xml:space="preserve">&lt;0.01), with </w:t>
      </w:r>
      <w:proofErr w:type="spellStart"/>
      <w:r w:rsidRPr="00531789">
        <w:rPr>
          <w:rFonts w:ascii="Cambria" w:hAnsi="Cambria"/>
        </w:rPr>
        <w:t>fructan</w:t>
      </w:r>
      <w:proofErr w:type="spellEnd"/>
      <w:r w:rsidRPr="00531789">
        <w:rPr>
          <w:rFonts w:ascii="Cambria" w:hAnsi="Cambria"/>
        </w:rPr>
        <w:t xml:space="preserve"> decreasing more at 28 days in the annual and more at 42 days in the perennial in response to the increase in nitrogen treatment (Fig. 6D,E).  In the root there are significant effects of nitrogen (F</w:t>
      </w:r>
      <w:r w:rsidRPr="00531789">
        <w:rPr>
          <w:rFonts w:ascii="Cambria" w:hAnsi="Cambria"/>
          <w:vertAlign w:val="subscript"/>
        </w:rPr>
        <w:t>(1,28)</w:t>
      </w:r>
      <w:r>
        <w:rPr>
          <w:rFonts w:ascii="Cambria" w:hAnsi="Cambria"/>
        </w:rPr>
        <w:t xml:space="preserve"> = 15.1, p&lt;</w:t>
      </w:r>
      <w:r w:rsidRPr="00531789">
        <w:rPr>
          <w:rFonts w:ascii="Cambria" w:hAnsi="Cambria"/>
        </w:rPr>
        <w:t>0.001) and species (F</w:t>
      </w:r>
      <w:r w:rsidRPr="00531789">
        <w:rPr>
          <w:rFonts w:ascii="Cambria" w:hAnsi="Cambria"/>
          <w:vertAlign w:val="subscript"/>
        </w:rPr>
        <w:t>(1,28)</w:t>
      </w:r>
      <w:r>
        <w:rPr>
          <w:rFonts w:ascii="Cambria" w:hAnsi="Cambria"/>
        </w:rPr>
        <w:t xml:space="preserve"> = 18.6, p&lt;</w:t>
      </w:r>
      <w:r w:rsidRPr="00531789">
        <w:rPr>
          <w:rFonts w:ascii="Cambria" w:hAnsi="Cambria"/>
        </w:rPr>
        <w:t xml:space="preserve">0.001) on </w:t>
      </w:r>
      <w:proofErr w:type="spellStart"/>
      <w:r w:rsidRPr="00531789">
        <w:rPr>
          <w:rFonts w:ascii="Cambria" w:hAnsi="Cambria"/>
        </w:rPr>
        <w:t>fructan</w:t>
      </w:r>
      <w:proofErr w:type="spellEnd"/>
      <w:r w:rsidRPr="00531789">
        <w:rPr>
          <w:rFonts w:ascii="Cambria" w:hAnsi="Cambria"/>
        </w:rPr>
        <w:t xml:space="preserve"> concentration: </w:t>
      </w:r>
      <w:proofErr w:type="spellStart"/>
      <w:r w:rsidRPr="00531789">
        <w:rPr>
          <w:rFonts w:ascii="Cambria" w:hAnsi="Cambria"/>
        </w:rPr>
        <w:t>fructan</w:t>
      </w:r>
      <w:proofErr w:type="spellEnd"/>
      <w:r w:rsidRPr="00531789">
        <w:rPr>
          <w:rFonts w:ascii="Cambria" w:hAnsi="Cambria"/>
        </w:rPr>
        <w:t xml:space="preserve"> decreases with increasing nitrogen treatment and is generally higher in the  perennial (Fig. 6, F,G,H).</w:t>
      </w:r>
    </w:p>
    <w:p w14:paraId="24EF680A" w14:textId="77777777" w:rsidR="00DF4522" w:rsidRPr="00531789" w:rsidRDefault="00DF4522" w:rsidP="00DF4522">
      <w:pPr>
        <w:spacing w:line="360" w:lineRule="auto"/>
        <w:jc w:val="both"/>
        <w:rPr>
          <w:rFonts w:ascii="Cambria" w:hAnsi="Cambria"/>
        </w:rPr>
      </w:pPr>
    </w:p>
    <w:p w14:paraId="0F7710B1" w14:textId="77777777" w:rsidR="00DF4522" w:rsidRDefault="00DF4522" w:rsidP="00DF4522">
      <w:pPr>
        <w:spacing w:line="360" w:lineRule="auto"/>
        <w:jc w:val="both"/>
        <w:rPr>
          <w:rFonts w:ascii="Cambria" w:hAnsi="Cambria"/>
        </w:rPr>
      </w:pPr>
      <w:r w:rsidRPr="00531789">
        <w:rPr>
          <w:rFonts w:ascii="Cambria" w:hAnsi="Cambria"/>
        </w:rPr>
        <w:t>Overall, perennial barley has a higher concentration of nitrogen in its tissues than annual barley (Fig. 7), consistent with the hypothesis that nitrogen sink limitation in the perennial would lead to a greater storage response in this species.  Elemental N content (Fig. 7A,B,C) increases with the nitrogen treatment level in leaf (F</w:t>
      </w:r>
      <w:r w:rsidRPr="00531789">
        <w:rPr>
          <w:rFonts w:ascii="Cambria" w:hAnsi="Cambria"/>
          <w:vertAlign w:val="subscript"/>
        </w:rPr>
        <w:t>(1,33)</w:t>
      </w:r>
      <w:r>
        <w:rPr>
          <w:rFonts w:ascii="Cambria" w:hAnsi="Cambria"/>
        </w:rPr>
        <w:t xml:space="preserve"> = 47.6, p&lt;</w:t>
      </w:r>
      <w:r w:rsidRPr="00531789">
        <w:rPr>
          <w:rFonts w:ascii="Cambria" w:hAnsi="Cambria"/>
        </w:rPr>
        <w:t>0.001), sheath (F</w:t>
      </w:r>
      <w:r w:rsidRPr="00531789">
        <w:rPr>
          <w:rFonts w:ascii="Cambria" w:hAnsi="Cambria"/>
          <w:vertAlign w:val="subscript"/>
        </w:rPr>
        <w:t>(1,13)</w:t>
      </w:r>
      <w:r>
        <w:rPr>
          <w:rFonts w:ascii="Cambria" w:hAnsi="Cambria"/>
        </w:rPr>
        <w:t xml:space="preserve"> = 4.8, p</w:t>
      </w:r>
      <w:r w:rsidRPr="00531789">
        <w:rPr>
          <w:rFonts w:ascii="Cambria" w:hAnsi="Cambria"/>
        </w:rPr>
        <w:t>&lt;0.05) and root (F</w:t>
      </w:r>
      <w:r w:rsidRPr="00531789">
        <w:rPr>
          <w:rFonts w:ascii="Cambria" w:hAnsi="Cambria"/>
          <w:vertAlign w:val="subscript"/>
        </w:rPr>
        <w:t>(1,34)</w:t>
      </w:r>
      <w:r w:rsidRPr="00531789">
        <w:rPr>
          <w:rFonts w:ascii="Cambria" w:hAnsi="Cambria"/>
        </w:rPr>
        <w:t xml:space="preserve"> = 42.4).  It is also higher in the perennial in leaf tissue (F</w:t>
      </w:r>
      <w:r w:rsidRPr="00531789">
        <w:rPr>
          <w:rFonts w:ascii="Cambria" w:hAnsi="Cambria"/>
          <w:vertAlign w:val="subscript"/>
        </w:rPr>
        <w:t>(1,33)</w:t>
      </w:r>
      <w:r>
        <w:rPr>
          <w:rFonts w:ascii="Cambria" w:hAnsi="Cambria"/>
        </w:rPr>
        <w:t xml:space="preserve"> = 6.6, p&lt;</w:t>
      </w:r>
      <w:r w:rsidRPr="00531789">
        <w:rPr>
          <w:rFonts w:ascii="Cambria" w:hAnsi="Cambria"/>
        </w:rPr>
        <w:t xml:space="preserve">0.05), but there is no species x nitrogen treatment interaction.  </w:t>
      </w:r>
      <w:proofErr w:type="spellStart"/>
      <w:r w:rsidRPr="00531789">
        <w:rPr>
          <w:rFonts w:ascii="Cambria" w:hAnsi="Cambria"/>
        </w:rPr>
        <w:t>Carbon:nitrogen</w:t>
      </w:r>
      <w:proofErr w:type="spellEnd"/>
      <w:r w:rsidRPr="00531789">
        <w:rPr>
          <w:rFonts w:ascii="Cambria" w:hAnsi="Cambria"/>
        </w:rPr>
        <w:t xml:space="preserve"> (C:N) ratio (Fig. 7D,E,F) decreases with nitrogen treatment in leaf (F</w:t>
      </w:r>
      <w:r w:rsidRPr="00531789">
        <w:rPr>
          <w:rFonts w:ascii="Cambria" w:hAnsi="Cambria"/>
          <w:vertAlign w:val="subscript"/>
        </w:rPr>
        <w:t>(1,33)</w:t>
      </w:r>
      <w:r>
        <w:rPr>
          <w:rFonts w:ascii="Cambria" w:hAnsi="Cambria"/>
        </w:rPr>
        <w:t xml:space="preserve"> = 46.3, p</w:t>
      </w:r>
      <w:r w:rsidRPr="00531789">
        <w:rPr>
          <w:rFonts w:ascii="Cambria" w:hAnsi="Cambria"/>
        </w:rPr>
        <w:t>&lt;0.001), sheath (F</w:t>
      </w:r>
      <w:r w:rsidRPr="00531789">
        <w:rPr>
          <w:rFonts w:ascii="Cambria" w:hAnsi="Cambria"/>
          <w:vertAlign w:val="subscript"/>
        </w:rPr>
        <w:t>(1,13)</w:t>
      </w:r>
      <w:r>
        <w:rPr>
          <w:rFonts w:ascii="Cambria" w:hAnsi="Cambria"/>
        </w:rPr>
        <w:t xml:space="preserve"> = 5.5, p&lt;</w:t>
      </w:r>
      <w:r w:rsidRPr="00531789">
        <w:rPr>
          <w:rFonts w:ascii="Cambria" w:hAnsi="Cambria"/>
        </w:rPr>
        <w:t>0.05) and root (F</w:t>
      </w:r>
      <w:r w:rsidRPr="00531789">
        <w:rPr>
          <w:rFonts w:ascii="Cambria" w:hAnsi="Cambria"/>
          <w:vertAlign w:val="subscript"/>
        </w:rPr>
        <w:t>(1,34)</w:t>
      </w:r>
      <w:r w:rsidRPr="00531789">
        <w:rPr>
          <w:rFonts w:ascii="Cambria" w:hAnsi="Cambria"/>
        </w:rPr>
        <w:t xml:space="preserve"> = 46.8).  It is also higher in annual barley leaf tissue compared to perennial barley (F</w:t>
      </w:r>
      <w:r w:rsidRPr="00531789">
        <w:rPr>
          <w:rFonts w:ascii="Cambria" w:hAnsi="Cambria"/>
          <w:vertAlign w:val="subscript"/>
        </w:rPr>
        <w:t>(1,33)</w:t>
      </w:r>
      <w:r>
        <w:rPr>
          <w:rFonts w:ascii="Cambria" w:hAnsi="Cambria"/>
        </w:rPr>
        <w:t xml:space="preserve"> = 5.9, p</w:t>
      </w:r>
      <w:r w:rsidRPr="00531789">
        <w:rPr>
          <w:rFonts w:ascii="Cambria" w:hAnsi="Cambria"/>
        </w:rPr>
        <w:t>&lt;0.05).  The trend shown by Figures 5 and 6, that carbon and nitrogen storage is more affected by an increase in nitrogen treatment from 1% to 20% than by an increase from 20% to 100%, is also seen in Figure 7.</w:t>
      </w:r>
    </w:p>
    <w:p w14:paraId="65C80D99" w14:textId="77777777" w:rsidR="00DF4522" w:rsidRDefault="00DF4522" w:rsidP="00DF4522">
      <w:pPr>
        <w:spacing w:line="360" w:lineRule="auto"/>
        <w:jc w:val="both"/>
        <w:rPr>
          <w:rFonts w:ascii="Cambria" w:hAnsi="Cambria"/>
        </w:rPr>
      </w:pPr>
    </w:p>
    <w:p w14:paraId="46BE825E" w14:textId="77777777" w:rsidR="00DF4522" w:rsidRDefault="00DF4522" w:rsidP="00DF4522">
      <w:pPr>
        <w:spacing w:line="360" w:lineRule="auto"/>
        <w:jc w:val="both"/>
        <w:rPr>
          <w:rFonts w:ascii="Cambria" w:hAnsi="Cambria"/>
        </w:rPr>
      </w:pPr>
    </w:p>
    <w:p w14:paraId="159C3D8C" w14:textId="77777777" w:rsidR="00DF4522" w:rsidRDefault="00DF4522" w:rsidP="00DF4522">
      <w:pPr>
        <w:tabs>
          <w:tab w:val="left" w:pos="1911"/>
          <w:tab w:val="left" w:pos="8080"/>
        </w:tabs>
        <w:jc w:val="both"/>
      </w:pPr>
      <w:r w:rsidRPr="00872D44">
        <w:rPr>
          <w:noProof/>
          <w:lang w:val="en-US"/>
        </w:rPr>
        <w:drawing>
          <wp:inline distT="0" distB="0" distL="0" distR="0" wp14:anchorId="1450E858" wp14:editId="7EEE2273">
            <wp:extent cx="2517913" cy="1884791"/>
            <wp:effectExtent l="0" t="0" r="0" b="0"/>
            <wp:docPr id="71" name="Picture 71" descr="Macintosh HD:Users:angie:Dropbox:University of Sheffield:Publishing:Nitrogen Barley 2015 Research Paper:Figures:Figure 7 CHN:N le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gie:Dropbox:University of Sheffield:Publishing:Nitrogen Barley 2015 Research Paper:Figures:Figure 7 CHN:N leaf.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18690" cy="1885373"/>
                    </a:xfrm>
                    <a:prstGeom prst="rect">
                      <a:avLst/>
                    </a:prstGeom>
                    <a:noFill/>
                    <a:ln>
                      <a:noFill/>
                    </a:ln>
                  </pic:spPr>
                </pic:pic>
              </a:graphicData>
            </a:graphic>
          </wp:inline>
        </w:drawing>
      </w:r>
      <w:r>
        <w:rPr>
          <w:noProof/>
          <w:lang w:val="en-US"/>
        </w:rPr>
        <w:drawing>
          <wp:inline distT="0" distB="0" distL="0" distR="0" wp14:anchorId="10AC959C" wp14:editId="47F430A7">
            <wp:extent cx="2517913" cy="1893305"/>
            <wp:effectExtent l="0" t="0" r="0" b="12065"/>
            <wp:docPr id="74" name="Picture 74" descr="Macintosh HD:Users:angelawhite:Dropbox:University of Sheffield:Publishing:Nitrogen Barley 2015 Research Paper:Figures:Figure 7 CHN:CN le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gelawhite:Dropbox:University of Sheffield:Publishing:Nitrogen Barley 2015 Research Paper:Figures:Figure 7 CHN:CN leaf.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18325" cy="1893615"/>
                    </a:xfrm>
                    <a:prstGeom prst="rect">
                      <a:avLst/>
                    </a:prstGeom>
                    <a:noFill/>
                    <a:ln>
                      <a:noFill/>
                    </a:ln>
                  </pic:spPr>
                </pic:pic>
              </a:graphicData>
            </a:graphic>
          </wp:inline>
        </w:drawing>
      </w:r>
    </w:p>
    <w:p w14:paraId="25F1DED4" w14:textId="77777777" w:rsidR="00DF4522" w:rsidRDefault="00DF4522" w:rsidP="00DF4522">
      <w:pPr>
        <w:tabs>
          <w:tab w:val="left" w:pos="1911"/>
          <w:tab w:val="left" w:pos="8080"/>
        </w:tabs>
        <w:jc w:val="both"/>
      </w:pPr>
    </w:p>
    <w:p w14:paraId="4AFE42FB" w14:textId="77777777" w:rsidR="00DF4522" w:rsidRDefault="00DF4522" w:rsidP="00DF4522">
      <w:pPr>
        <w:tabs>
          <w:tab w:val="left" w:pos="1911"/>
          <w:tab w:val="left" w:pos="8080"/>
        </w:tabs>
        <w:jc w:val="both"/>
      </w:pPr>
      <w:r w:rsidRPr="00872D44">
        <w:rPr>
          <w:noProof/>
          <w:lang w:val="en-US"/>
        </w:rPr>
        <w:drawing>
          <wp:inline distT="0" distB="0" distL="0" distR="0" wp14:anchorId="7DFB4C3C" wp14:editId="2CA88446">
            <wp:extent cx="2517913" cy="1884791"/>
            <wp:effectExtent l="0" t="0" r="0" b="0"/>
            <wp:docPr id="72" name="Picture 72" descr="Macintosh HD:Users:angie:Dropbox:University of Sheffield:Publishing:Nitrogen Barley 2015 Research Paper:Figures:Figure 7 CHN:N shea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gie:Dropbox:University of Sheffield:Publishing:Nitrogen Barley 2015 Research Paper:Figures:Figure 7 CHN:N sheath.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18947" cy="1885565"/>
                    </a:xfrm>
                    <a:prstGeom prst="rect">
                      <a:avLst/>
                    </a:prstGeom>
                    <a:noFill/>
                    <a:ln>
                      <a:noFill/>
                    </a:ln>
                  </pic:spPr>
                </pic:pic>
              </a:graphicData>
            </a:graphic>
          </wp:inline>
        </w:drawing>
      </w:r>
      <w:r>
        <w:rPr>
          <w:b/>
          <w:noProof/>
          <w:lang w:val="en-US"/>
        </w:rPr>
        <w:drawing>
          <wp:inline distT="0" distB="0" distL="0" distR="0" wp14:anchorId="57E72940" wp14:editId="5A266273">
            <wp:extent cx="2517913" cy="1893305"/>
            <wp:effectExtent l="0" t="0" r="0" b="12065"/>
            <wp:docPr id="75" name="Picture 75" descr="Macintosh HD:Users:angelawhite:Dropbox:University of Sheffield:Publishing:Nitrogen Barley 2015 Research Paper:Figures:Figure 7 CHN:CN shea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gelawhite:Dropbox:University of Sheffield:Publishing:Nitrogen Barley 2015 Research Paper:Figures:Figure 7 CHN:CN sheath.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18438" cy="1893700"/>
                    </a:xfrm>
                    <a:prstGeom prst="rect">
                      <a:avLst/>
                    </a:prstGeom>
                    <a:noFill/>
                    <a:ln>
                      <a:noFill/>
                    </a:ln>
                  </pic:spPr>
                </pic:pic>
              </a:graphicData>
            </a:graphic>
          </wp:inline>
        </w:drawing>
      </w:r>
    </w:p>
    <w:p w14:paraId="175C7A77" w14:textId="77777777" w:rsidR="00DF4522" w:rsidRDefault="00DF4522" w:rsidP="00DF4522">
      <w:pPr>
        <w:tabs>
          <w:tab w:val="left" w:pos="1911"/>
          <w:tab w:val="left" w:pos="8080"/>
        </w:tabs>
        <w:jc w:val="both"/>
      </w:pPr>
    </w:p>
    <w:p w14:paraId="51D2F48E" w14:textId="77777777" w:rsidR="00DF4522" w:rsidRDefault="00DF4522" w:rsidP="00DF4522">
      <w:pPr>
        <w:tabs>
          <w:tab w:val="left" w:pos="1911"/>
          <w:tab w:val="left" w:pos="8080"/>
        </w:tabs>
        <w:jc w:val="both"/>
      </w:pPr>
    </w:p>
    <w:p w14:paraId="24FCD6CF" w14:textId="77777777" w:rsidR="00DF4522" w:rsidRDefault="00DF4522" w:rsidP="00DF4522">
      <w:pPr>
        <w:tabs>
          <w:tab w:val="left" w:pos="1911"/>
          <w:tab w:val="left" w:pos="8080"/>
        </w:tabs>
        <w:jc w:val="both"/>
      </w:pPr>
      <w:r w:rsidRPr="00872D44">
        <w:rPr>
          <w:noProof/>
          <w:lang w:val="en-US"/>
        </w:rPr>
        <w:drawing>
          <wp:inline distT="0" distB="0" distL="0" distR="0" wp14:anchorId="0D9BCCB1" wp14:editId="2D085FE5">
            <wp:extent cx="2524993" cy="1890091"/>
            <wp:effectExtent l="0" t="0" r="0" b="0"/>
            <wp:docPr id="73" name="Picture 73" descr="Macintosh HD:Users:angie:Dropbox:University of Sheffield:Publishing:Nitrogen Barley 2015 Research Paper:Figures:Figure 7 CHN:N r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gie:Dropbox:University of Sheffield:Publishing:Nitrogen Barley 2015 Research Paper:Figures:Figure 7 CHN:N root.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26194" cy="1890990"/>
                    </a:xfrm>
                    <a:prstGeom prst="rect">
                      <a:avLst/>
                    </a:prstGeom>
                    <a:noFill/>
                    <a:ln>
                      <a:noFill/>
                    </a:ln>
                  </pic:spPr>
                </pic:pic>
              </a:graphicData>
            </a:graphic>
          </wp:inline>
        </w:drawing>
      </w:r>
      <w:r w:rsidRPr="00AC4B6B">
        <w:rPr>
          <w:b/>
          <w:noProof/>
          <w:lang w:val="en-US"/>
        </w:rPr>
        <w:drawing>
          <wp:inline distT="0" distB="0" distL="0" distR="0" wp14:anchorId="35539382" wp14:editId="624EA85C">
            <wp:extent cx="2522451" cy="1896717"/>
            <wp:effectExtent l="0" t="0" r="0" b="8890"/>
            <wp:docPr id="76" name="Picture 76" descr="Macintosh HD:Users:angelawhite:Dropbox:University of Sheffield:Publishing:Nitrogen Barley 2015 Research Paper:Figures:Figure 7 CHN:CN r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gelawhite:Dropbox:University of Sheffield:Publishing:Nitrogen Barley 2015 Research Paper:Figures:Figure 7 CHN:CN root.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22525" cy="1896773"/>
                    </a:xfrm>
                    <a:prstGeom prst="rect">
                      <a:avLst/>
                    </a:prstGeom>
                    <a:noFill/>
                    <a:ln>
                      <a:noFill/>
                    </a:ln>
                  </pic:spPr>
                </pic:pic>
              </a:graphicData>
            </a:graphic>
          </wp:inline>
        </w:drawing>
      </w:r>
    </w:p>
    <w:p w14:paraId="12C99A45" w14:textId="77777777" w:rsidR="00DF4522" w:rsidRDefault="00DF4522" w:rsidP="00DF4522">
      <w:pPr>
        <w:tabs>
          <w:tab w:val="left" w:pos="1911"/>
          <w:tab w:val="left" w:pos="8080"/>
        </w:tabs>
        <w:jc w:val="both"/>
      </w:pPr>
    </w:p>
    <w:p w14:paraId="5B2FFF17" w14:textId="77777777" w:rsidR="00DF4522" w:rsidRDefault="00DF4522" w:rsidP="00DF4522">
      <w:pPr>
        <w:jc w:val="both"/>
        <w:rPr>
          <w:b/>
        </w:rPr>
      </w:pPr>
    </w:p>
    <w:p w14:paraId="5B59EDC5" w14:textId="77777777" w:rsidR="00DF4522" w:rsidRPr="0022347B" w:rsidRDefault="00DF4522" w:rsidP="00DF4522">
      <w:pPr>
        <w:jc w:val="both"/>
        <w:rPr>
          <w:rFonts w:ascii="Cambria" w:hAnsi="Cambria" w:cs="font652"/>
          <w:sz w:val="20"/>
          <w:szCs w:val="20"/>
          <w:lang w:val="en-US"/>
        </w:rPr>
      </w:pPr>
      <w:r w:rsidRPr="0022347B">
        <w:rPr>
          <w:b/>
          <w:sz w:val="20"/>
          <w:szCs w:val="20"/>
        </w:rPr>
        <w:t xml:space="preserve">Figure 7.  </w:t>
      </w:r>
      <w:r w:rsidRPr="0022347B">
        <w:rPr>
          <w:sz w:val="20"/>
          <w:szCs w:val="20"/>
        </w:rPr>
        <w:t xml:space="preserve">Total nitrogen concentration increases with nitrogen treatment and </w:t>
      </w:r>
      <w:proofErr w:type="spellStart"/>
      <w:r w:rsidRPr="0022347B">
        <w:rPr>
          <w:sz w:val="20"/>
          <w:szCs w:val="20"/>
        </w:rPr>
        <w:t>carbon:nitrogen</w:t>
      </w:r>
      <w:proofErr w:type="spellEnd"/>
      <w:r w:rsidRPr="0022347B">
        <w:rPr>
          <w:sz w:val="20"/>
          <w:szCs w:val="20"/>
        </w:rPr>
        <w:t xml:space="preserve"> (C:N) ratio decreases with nitrogen treatment in annual (filled circles, solid line) and perennial (hollow circles, dashed line) barley.  Carbohydrate-corrected dry weight (CCDW) was used for these elemental N and C concentrations.  A, leaf nitrogen; B, sheath nitrogen; C, root nitrogen; D, leaf C:N ratio; E, sheath C:N ratio; F, root C:N ratio.  Data show </w:t>
      </w:r>
      <w:r w:rsidRPr="0022347B">
        <w:rPr>
          <w:rFonts w:ascii="Cambria" w:hAnsi="Cambria"/>
          <w:sz w:val="20"/>
          <w:szCs w:val="20"/>
        </w:rPr>
        <w:t xml:space="preserve">mean across all ages due to lack of significant age effects </w:t>
      </w:r>
      <w:r w:rsidRPr="0022347B">
        <w:rPr>
          <w:rFonts w:ascii="Cambria" w:hAnsi="Cambria" w:cs="font652"/>
          <w:sz w:val="20"/>
          <w:szCs w:val="20"/>
          <w:lang w:val="en-US"/>
        </w:rPr>
        <w:t xml:space="preserve">± SE (at 1, 20, 100% nitrogen, annual n = 9, 9, 9 in leaf and root and 1, 6, 6 for sheath; perennial n = 4, 7, 9 for leaf, 0, 5, 5 for sheath, and 5, 7, 9 for root).  There are more samples for CHN analysis than for metabolite analysis due to the small size of some samples. </w:t>
      </w:r>
    </w:p>
    <w:p w14:paraId="2403854C" w14:textId="77777777" w:rsidR="00DF4522" w:rsidRPr="0022347B" w:rsidRDefault="00DF4522" w:rsidP="00DF4522">
      <w:pPr>
        <w:tabs>
          <w:tab w:val="left" w:pos="1911"/>
          <w:tab w:val="left" w:pos="8080"/>
        </w:tabs>
        <w:jc w:val="both"/>
        <w:rPr>
          <w:sz w:val="20"/>
          <w:szCs w:val="20"/>
        </w:rPr>
      </w:pPr>
      <w:r w:rsidRPr="0022347B">
        <w:rPr>
          <w:sz w:val="20"/>
          <w:szCs w:val="20"/>
        </w:rPr>
        <w:br w:type="page"/>
      </w:r>
    </w:p>
    <w:p w14:paraId="361D6936" w14:textId="77777777" w:rsidR="00DF4522" w:rsidRPr="00531789" w:rsidRDefault="00DF4522" w:rsidP="00DF4522">
      <w:pPr>
        <w:spacing w:line="360" w:lineRule="auto"/>
        <w:jc w:val="both"/>
        <w:rPr>
          <w:rFonts w:ascii="Cambria" w:hAnsi="Cambria"/>
        </w:rPr>
      </w:pPr>
      <w:r w:rsidRPr="00531789">
        <w:rPr>
          <w:rFonts w:ascii="Cambria" w:hAnsi="Cambria"/>
        </w:rPr>
        <w:t xml:space="preserve">Perennial barley has a higher amino </w:t>
      </w:r>
      <w:proofErr w:type="spellStart"/>
      <w:r w:rsidRPr="00531789">
        <w:rPr>
          <w:rFonts w:ascii="Cambria" w:hAnsi="Cambria"/>
        </w:rPr>
        <w:t>acid:sucrose</w:t>
      </w:r>
      <w:proofErr w:type="spellEnd"/>
      <w:r w:rsidRPr="00531789">
        <w:rPr>
          <w:rFonts w:ascii="Cambria" w:hAnsi="Cambria"/>
        </w:rPr>
        <w:t xml:space="preserve"> ratio (Fig. 8) in the leaves compared to the annual (F</w:t>
      </w:r>
      <w:r w:rsidRPr="00531789">
        <w:rPr>
          <w:rFonts w:ascii="Cambria" w:hAnsi="Cambria"/>
          <w:vertAlign w:val="subscript"/>
        </w:rPr>
        <w:t>(1,28)</w:t>
      </w:r>
      <w:r>
        <w:rPr>
          <w:rFonts w:ascii="Cambria" w:hAnsi="Cambria"/>
        </w:rPr>
        <w:t xml:space="preserve"> = 21.8, p&lt;</w:t>
      </w:r>
      <w:r w:rsidRPr="00531789">
        <w:rPr>
          <w:rFonts w:ascii="Cambria" w:hAnsi="Cambria"/>
        </w:rPr>
        <w:t>0.001), an indicator of carbon source limitation in this species.</w:t>
      </w:r>
    </w:p>
    <w:p w14:paraId="215A03BA" w14:textId="77777777" w:rsidR="00DF4522" w:rsidRDefault="00DF4522" w:rsidP="00DF4522">
      <w:pPr>
        <w:spacing w:line="360" w:lineRule="auto"/>
        <w:jc w:val="both"/>
        <w:rPr>
          <w:rFonts w:ascii="Cambria" w:hAnsi="Cambria"/>
        </w:rPr>
      </w:pPr>
      <w:r w:rsidRPr="00CF7B1A">
        <w:rPr>
          <w:noProof/>
          <w:lang w:val="en-US"/>
        </w:rPr>
        <w:drawing>
          <wp:anchor distT="0" distB="0" distL="114300" distR="114300" simplePos="0" relativeHeight="251765760" behindDoc="0" locked="0" layoutInCell="1" allowOverlap="1" wp14:anchorId="7E9DABDB" wp14:editId="01D6F9FB">
            <wp:simplePos x="0" y="0"/>
            <wp:positionH relativeFrom="column">
              <wp:posOffset>800100</wp:posOffset>
            </wp:positionH>
            <wp:positionV relativeFrom="paragraph">
              <wp:posOffset>224790</wp:posOffset>
            </wp:positionV>
            <wp:extent cx="3538855" cy="2661285"/>
            <wp:effectExtent l="0" t="0" r="0" b="5715"/>
            <wp:wrapThrough wrapText="bothSides">
              <wp:wrapPolygon edited="0">
                <wp:start x="0" y="0"/>
                <wp:lineTo x="0" y="21440"/>
                <wp:lineTo x="21395" y="21440"/>
                <wp:lineTo x="21395" y="0"/>
                <wp:lineTo x="0" y="0"/>
              </wp:wrapPolygon>
            </wp:wrapThrough>
            <wp:docPr id="77" name="Picture 77" descr="Macintosh HD:Users:angelawhite:Dropbox:University of Sheffield:Publishing:Nitrogen Barley 2015 Research Paper:Figures:FIgure 8 Aminosuc leaf 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gelawhite:Dropbox:University of Sheffield:Publishing:Nitrogen Barley 2015 Research Paper:Figures:FIgure 8 Aminosuc leaf t3.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38855" cy="2661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4DB883" w14:textId="77777777" w:rsidR="00DF4522" w:rsidRDefault="00DF4522" w:rsidP="00DF4522">
      <w:pPr>
        <w:spacing w:line="360" w:lineRule="auto"/>
        <w:jc w:val="both"/>
        <w:rPr>
          <w:rFonts w:ascii="Cambria" w:hAnsi="Cambria"/>
        </w:rPr>
      </w:pPr>
    </w:p>
    <w:p w14:paraId="61AC2712" w14:textId="77777777" w:rsidR="00DF4522" w:rsidRDefault="00DF4522" w:rsidP="00DF4522">
      <w:pPr>
        <w:spacing w:line="360" w:lineRule="auto"/>
        <w:jc w:val="both"/>
        <w:rPr>
          <w:rFonts w:ascii="Cambria" w:hAnsi="Cambria"/>
        </w:rPr>
      </w:pPr>
    </w:p>
    <w:p w14:paraId="2463C132" w14:textId="77777777" w:rsidR="00DF4522" w:rsidRDefault="00DF4522" w:rsidP="00DF4522">
      <w:pPr>
        <w:spacing w:line="360" w:lineRule="auto"/>
        <w:jc w:val="both"/>
        <w:rPr>
          <w:rFonts w:ascii="Cambria" w:hAnsi="Cambria"/>
        </w:rPr>
      </w:pPr>
    </w:p>
    <w:p w14:paraId="21F764F8" w14:textId="77777777" w:rsidR="00DF4522" w:rsidRDefault="00DF4522" w:rsidP="00DF4522">
      <w:pPr>
        <w:spacing w:line="360" w:lineRule="auto"/>
        <w:jc w:val="both"/>
        <w:rPr>
          <w:rFonts w:ascii="Cambria" w:hAnsi="Cambria"/>
        </w:rPr>
      </w:pPr>
    </w:p>
    <w:p w14:paraId="2AE954B6" w14:textId="77777777" w:rsidR="00DF4522" w:rsidRDefault="00DF4522" w:rsidP="00DF4522">
      <w:pPr>
        <w:spacing w:line="360" w:lineRule="auto"/>
        <w:jc w:val="both"/>
        <w:rPr>
          <w:rFonts w:ascii="Cambria" w:hAnsi="Cambria"/>
        </w:rPr>
      </w:pPr>
    </w:p>
    <w:p w14:paraId="5463A30E" w14:textId="77777777" w:rsidR="00DF4522" w:rsidRDefault="00DF4522" w:rsidP="00DF4522">
      <w:pPr>
        <w:spacing w:line="360" w:lineRule="auto"/>
        <w:jc w:val="both"/>
        <w:rPr>
          <w:rFonts w:ascii="Cambria" w:hAnsi="Cambria"/>
        </w:rPr>
      </w:pPr>
    </w:p>
    <w:p w14:paraId="0D73413B" w14:textId="77777777" w:rsidR="00DF4522" w:rsidRDefault="00DF4522" w:rsidP="00DF4522">
      <w:pPr>
        <w:spacing w:line="360" w:lineRule="auto"/>
        <w:jc w:val="both"/>
        <w:rPr>
          <w:rFonts w:ascii="Cambria" w:hAnsi="Cambria"/>
        </w:rPr>
      </w:pPr>
    </w:p>
    <w:p w14:paraId="199A328D" w14:textId="77777777" w:rsidR="00DF4522" w:rsidRDefault="00DF4522" w:rsidP="00DF4522">
      <w:pPr>
        <w:spacing w:line="360" w:lineRule="auto"/>
        <w:jc w:val="both"/>
        <w:rPr>
          <w:rFonts w:ascii="Cambria" w:hAnsi="Cambria"/>
        </w:rPr>
      </w:pPr>
    </w:p>
    <w:p w14:paraId="4B9214F4" w14:textId="77777777" w:rsidR="00DF4522" w:rsidRDefault="00DF4522" w:rsidP="00DF4522">
      <w:pPr>
        <w:spacing w:line="360" w:lineRule="auto"/>
        <w:jc w:val="both"/>
        <w:rPr>
          <w:rFonts w:ascii="Cambria" w:hAnsi="Cambria"/>
        </w:rPr>
      </w:pPr>
    </w:p>
    <w:p w14:paraId="3E3AA44A" w14:textId="77777777" w:rsidR="00DF4522" w:rsidRDefault="00DF4522" w:rsidP="00DF4522">
      <w:pPr>
        <w:spacing w:line="360" w:lineRule="auto"/>
        <w:jc w:val="both"/>
        <w:rPr>
          <w:rFonts w:ascii="Cambria" w:hAnsi="Cambria"/>
        </w:rPr>
      </w:pPr>
    </w:p>
    <w:p w14:paraId="6ABD87F1" w14:textId="77777777" w:rsidR="00DF4522" w:rsidRDefault="00DF4522" w:rsidP="00DF4522">
      <w:pPr>
        <w:jc w:val="both"/>
        <w:rPr>
          <w:b/>
          <w:sz w:val="20"/>
          <w:szCs w:val="20"/>
        </w:rPr>
      </w:pPr>
    </w:p>
    <w:p w14:paraId="04151952" w14:textId="77777777" w:rsidR="00DF4522" w:rsidRPr="0022347B" w:rsidRDefault="00DF4522" w:rsidP="00DF4522">
      <w:pPr>
        <w:jc w:val="both"/>
        <w:rPr>
          <w:rFonts w:ascii="Cambria" w:hAnsi="Cambria" w:cs="font652"/>
          <w:sz w:val="20"/>
          <w:szCs w:val="20"/>
          <w:lang w:val="en-US"/>
        </w:rPr>
      </w:pPr>
      <w:r w:rsidRPr="0022347B">
        <w:rPr>
          <w:b/>
          <w:sz w:val="20"/>
          <w:szCs w:val="20"/>
        </w:rPr>
        <w:t xml:space="preserve">Figure 8.  </w:t>
      </w:r>
      <w:r w:rsidRPr="0022347B">
        <w:rPr>
          <w:sz w:val="20"/>
          <w:szCs w:val="20"/>
        </w:rPr>
        <w:t xml:space="preserve">Amino </w:t>
      </w:r>
      <w:proofErr w:type="spellStart"/>
      <w:r w:rsidRPr="0022347B">
        <w:rPr>
          <w:sz w:val="20"/>
          <w:szCs w:val="20"/>
        </w:rPr>
        <w:t>acid:sucrose</w:t>
      </w:r>
      <w:proofErr w:type="spellEnd"/>
      <w:r w:rsidRPr="0022347B">
        <w:rPr>
          <w:sz w:val="20"/>
          <w:szCs w:val="20"/>
        </w:rPr>
        <w:t xml:space="preserve"> ratio is higher in perennial (hollow circles, dashed line) than annual (filled circles, solid line) barley.  Metabolites are expressed in </w:t>
      </w:r>
      <w:proofErr w:type="spellStart"/>
      <w:r w:rsidRPr="0022347B">
        <w:rPr>
          <w:rFonts w:ascii="Cambria" w:hAnsi="Cambria"/>
          <w:sz w:val="20"/>
          <w:szCs w:val="20"/>
        </w:rPr>
        <w:t>μmol</w:t>
      </w:r>
      <w:proofErr w:type="spellEnd"/>
      <w:r w:rsidRPr="0022347B">
        <w:rPr>
          <w:rFonts w:ascii="Cambria" w:hAnsi="Cambria"/>
          <w:sz w:val="20"/>
          <w:szCs w:val="20"/>
        </w:rPr>
        <w:t xml:space="preserve"> amino groups and </w:t>
      </w:r>
      <w:proofErr w:type="spellStart"/>
      <w:r w:rsidRPr="0022347B">
        <w:rPr>
          <w:rFonts w:ascii="Cambria" w:hAnsi="Cambria"/>
          <w:sz w:val="20"/>
          <w:szCs w:val="20"/>
        </w:rPr>
        <w:t>μmol</w:t>
      </w:r>
      <w:proofErr w:type="spellEnd"/>
      <w:r w:rsidRPr="0022347B">
        <w:rPr>
          <w:sz w:val="20"/>
          <w:szCs w:val="20"/>
        </w:rPr>
        <w:t xml:space="preserve"> sucrose per g carbohydrate-corrected dry weight (CCDW), respectively.  Data show </w:t>
      </w:r>
      <w:r w:rsidRPr="0022347B">
        <w:rPr>
          <w:rFonts w:ascii="Cambria" w:hAnsi="Cambria"/>
          <w:sz w:val="20"/>
          <w:szCs w:val="20"/>
        </w:rPr>
        <w:t xml:space="preserve">mean </w:t>
      </w:r>
      <w:r w:rsidRPr="0022347B">
        <w:rPr>
          <w:rFonts w:ascii="Cambria" w:hAnsi="Cambria" w:cs="font652"/>
          <w:sz w:val="20"/>
          <w:szCs w:val="20"/>
          <w:lang w:val="en-US"/>
        </w:rPr>
        <w:t>± SE (n=3).</w:t>
      </w:r>
    </w:p>
    <w:p w14:paraId="3879206D" w14:textId="77777777" w:rsidR="00DF4522" w:rsidRPr="0022347B" w:rsidRDefault="00DF4522" w:rsidP="00DF4522">
      <w:pPr>
        <w:tabs>
          <w:tab w:val="left" w:pos="1911"/>
          <w:tab w:val="left" w:pos="8080"/>
        </w:tabs>
        <w:jc w:val="both"/>
        <w:rPr>
          <w:sz w:val="20"/>
          <w:szCs w:val="20"/>
        </w:rPr>
      </w:pPr>
    </w:p>
    <w:p w14:paraId="19DDD3EF" w14:textId="77777777" w:rsidR="00DF4522" w:rsidRPr="0022347B" w:rsidRDefault="00DF4522" w:rsidP="00DF4522">
      <w:pPr>
        <w:spacing w:line="360" w:lineRule="auto"/>
        <w:jc w:val="both"/>
        <w:rPr>
          <w:rFonts w:ascii="Cambria" w:hAnsi="Cambria"/>
          <w:sz w:val="20"/>
          <w:szCs w:val="20"/>
        </w:rPr>
      </w:pPr>
    </w:p>
    <w:p w14:paraId="59298730" w14:textId="77777777" w:rsidR="00DF4522" w:rsidRDefault="00DF4522" w:rsidP="00DF4522">
      <w:pPr>
        <w:spacing w:line="360" w:lineRule="auto"/>
        <w:jc w:val="both"/>
        <w:rPr>
          <w:rFonts w:ascii="Cambria" w:hAnsi="Cambria"/>
        </w:rPr>
      </w:pPr>
    </w:p>
    <w:p w14:paraId="293423D7" w14:textId="77777777" w:rsidR="00DF4522" w:rsidRDefault="00DF4522" w:rsidP="00DF4522">
      <w:pPr>
        <w:pStyle w:val="Heading2"/>
        <w:rPr>
          <w:rFonts w:ascii="Cambria" w:hAnsi="Cambria"/>
          <w:color w:val="auto"/>
        </w:rPr>
      </w:pPr>
      <w:bookmarkStart w:id="131" w:name="_Toc322267606"/>
      <w:bookmarkStart w:id="132" w:name="_Toc322267728"/>
      <w:bookmarkStart w:id="133" w:name="_Toc322267892"/>
    </w:p>
    <w:p w14:paraId="504FBC0E" w14:textId="77777777" w:rsidR="00DF4522" w:rsidRPr="00531789" w:rsidRDefault="00DF4522" w:rsidP="00DF4522">
      <w:pPr>
        <w:pStyle w:val="Heading2"/>
        <w:rPr>
          <w:rFonts w:ascii="Cambria" w:hAnsi="Cambria"/>
          <w:color w:val="auto"/>
        </w:rPr>
      </w:pPr>
      <w:bookmarkStart w:id="134" w:name="_Toc331253032"/>
      <w:r w:rsidRPr="00531789">
        <w:rPr>
          <w:rFonts w:ascii="Cambria" w:hAnsi="Cambria"/>
          <w:color w:val="auto"/>
        </w:rPr>
        <w:t>DISCUSSION</w:t>
      </w:r>
      <w:bookmarkEnd w:id="131"/>
      <w:bookmarkEnd w:id="132"/>
      <w:bookmarkEnd w:id="133"/>
      <w:bookmarkEnd w:id="134"/>
    </w:p>
    <w:p w14:paraId="1DEE53D5" w14:textId="77777777" w:rsidR="00DF4522" w:rsidRPr="00531789" w:rsidRDefault="00DF4522" w:rsidP="00DF4522">
      <w:pPr>
        <w:spacing w:line="360" w:lineRule="auto"/>
        <w:jc w:val="both"/>
        <w:rPr>
          <w:rFonts w:ascii="Cambria" w:hAnsi="Cambria"/>
          <w:b/>
        </w:rPr>
      </w:pPr>
    </w:p>
    <w:p w14:paraId="5B12D7B0" w14:textId="7A277748" w:rsidR="00DF4522" w:rsidRPr="00531789" w:rsidRDefault="00DF4522" w:rsidP="00DF4522">
      <w:pPr>
        <w:spacing w:line="360" w:lineRule="auto"/>
        <w:jc w:val="both"/>
        <w:rPr>
          <w:rFonts w:ascii="Cambria" w:hAnsi="Cambria"/>
        </w:rPr>
      </w:pPr>
      <w:r w:rsidRPr="00531789">
        <w:rPr>
          <w:rFonts w:ascii="Cambria" w:hAnsi="Cambria"/>
        </w:rPr>
        <w:t xml:space="preserve">In this study, annual and perennial barley were grown along a nitrogen gradient to elucidate the relative contributions of nitrogen source and sink </w:t>
      </w:r>
      <w:r>
        <w:rPr>
          <w:rFonts w:ascii="Cambria" w:hAnsi="Cambria"/>
        </w:rPr>
        <w:t xml:space="preserve">strengths </w:t>
      </w:r>
      <w:r w:rsidRPr="00531789">
        <w:rPr>
          <w:rFonts w:ascii="Cambria" w:hAnsi="Cambria"/>
        </w:rPr>
        <w:t>to growth.  Annual and perennial barley show a range of responses to the nitrogen treatments.  As the nitrogen treatment level increases, both species show an increase in nitrogen uptake (Fig. 1), an increase in tillering and allocation to leaves, and a decrease in allocation to roots (Fig. 4; Table 1).  The investment of nitrogen into growth and storage shows large increases when nitrogen treatment is increased from 1% to 20%, but this response is small</w:t>
      </w:r>
      <w:r>
        <w:rPr>
          <w:rFonts w:ascii="Cambria" w:hAnsi="Cambria"/>
        </w:rPr>
        <w:t>er</w:t>
      </w:r>
      <w:r w:rsidRPr="00531789">
        <w:rPr>
          <w:rFonts w:ascii="Cambria" w:hAnsi="Cambria"/>
        </w:rPr>
        <w:t xml:space="preserve"> when nitrogen treatment is increased</w:t>
      </w:r>
      <w:r>
        <w:rPr>
          <w:rFonts w:ascii="Cambria" w:hAnsi="Cambria"/>
        </w:rPr>
        <w:t xml:space="preserve"> further</w:t>
      </w:r>
      <w:r w:rsidRPr="00531789">
        <w:rPr>
          <w:rFonts w:ascii="Cambria" w:hAnsi="Cambria"/>
        </w:rPr>
        <w:t xml:space="preserve"> from 20% to 100%</w:t>
      </w:r>
      <w:r>
        <w:rPr>
          <w:rFonts w:ascii="Cambria" w:hAnsi="Cambria"/>
        </w:rPr>
        <w:t>,</w:t>
      </w:r>
      <w:r w:rsidRPr="00531789">
        <w:rPr>
          <w:rFonts w:ascii="Cambria" w:hAnsi="Cambria"/>
        </w:rPr>
        <w:t xml:space="preserve"> </w:t>
      </w:r>
      <w:r w:rsidR="0052480D">
        <w:rPr>
          <w:rFonts w:ascii="Cambria" w:hAnsi="Cambria"/>
        </w:rPr>
        <w:t xml:space="preserve">especially in annual barley, </w:t>
      </w:r>
      <w:r w:rsidRPr="00531789">
        <w:rPr>
          <w:rFonts w:ascii="Cambria" w:hAnsi="Cambria"/>
        </w:rPr>
        <w:t xml:space="preserve">indicating significant nitrogen sink limitation in </w:t>
      </w:r>
      <w:r w:rsidR="0052480D">
        <w:rPr>
          <w:rFonts w:ascii="Cambria" w:hAnsi="Cambria"/>
        </w:rPr>
        <w:t>this</w:t>
      </w:r>
      <w:r w:rsidRPr="00531789">
        <w:rPr>
          <w:rFonts w:ascii="Cambria" w:hAnsi="Cambria"/>
        </w:rPr>
        <w:t xml:space="preserve"> species (Figs. 3, 5-7). </w:t>
      </w:r>
      <w:r w:rsidR="0052480D">
        <w:rPr>
          <w:rFonts w:ascii="Cambria" w:hAnsi="Cambria"/>
        </w:rPr>
        <w:t xml:space="preserve"> Whilst the annual invests more resources in growth overall </w:t>
      </w:r>
      <w:r w:rsidRPr="00531789">
        <w:rPr>
          <w:rFonts w:ascii="Cambria" w:hAnsi="Cambria"/>
        </w:rPr>
        <w:t>(Fig. 2</w:t>
      </w:r>
      <w:r w:rsidR="0052480D">
        <w:rPr>
          <w:rFonts w:ascii="Cambria" w:hAnsi="Cambria"/>
        </w:rPr>
        <w:t>),</w:t>
      </w:r>
      <w:r w:rsidRPr="00531789">
        <w:rPr>
          <w:rFonts w:ascii="Cambria" w:hAnsi="Cambria"/>
        </w:rPr>
        <w:t xml:space="preserve"> the perennial </w:t>
      </w:r>
      <w:r w:rsidR="0052480D">
        <w:rPr>
          <w:rFonts w:ascii="Cambria" w:hAnsi="Cambria"/>
        </w:rPr>
        <w:t>is better able to invest in growth under high nitrogen levels (Fig. 3)</w:t>
      </w:r>
      <w:r w:rsidR="006D6D7C">
        <w:rPr>
          <w:rFonts w:ascii="Cambria" w:hAnsi="Cambria"/>
        </w:rPr>
        <w:t>, suggesting that growth in the perennial is less nitrogen sink limited than growth in the annual.</w:t>
      </w:r>
    </w:p>
    <w:p w14:paraId="7CE95573" w14:textId="77777777" w:rsidR="00DF4522" w:rsidRPr="00531789" w:rsidRDefault="00DF4522" w:rsidP="00DF4522">
      <w:pPr>
        <w:spacing w:line="360" w:lineRule="auto"/>
        <w:jc w:val="both"/>
        <w:rPr>
          <w:rFonts w:ascii="Cambria" w:hAnsi="Cambria"/>
        </w:rPr>
      </w:pPr>
    </w:p>
    <w:p w14:paraId="1E8006CE" w14:textId="77777777" w:rsidR="00DF4522" w:rsidRPr="00531789" w:rsidRDefault="00DF4522" w:rsidP="00DF4522">
      <w:pPr>
        <w:spacing w:line="360" w:lineRule="auto"/>
        <w:jc w:val="both"/>
        <w:rPr>
          <w:rFonts w:ascii="Cambria" w:hAnsi="Cambria"/>
          <w:b/>
        </w:rPr>
      </w:pPr>
      <w:r w:rsidRPr="00531789">
        <w:rPr>
          <w:rFonts w:ascii="Cambria" w:hAnsi="Cambria"/>
          <w:b/>
        </w:rPr>
        <w:t>Annual and perennial barley do not differ in nitrogen uptake capacity</w:t>
      </w:r>
    </w:p>
    <w:p w14:paraId="3091C136" w14:textId="77777777" w:rsidR="00DF4522" w:rsidRPr="00531789" w:rsidRDefault="00DF4522" w:rsidP="00DF4522">
      <w:pPr>
        <w:spacing w:line="360" w:lineRule="auto"/>
        <w:jc w:val="both"/>
        <w:rPr>
          <w:rFonts w:ascii="Cambria" w:hAnsi="Cambria"/>
        </w:rPr>
      </w:pPr>
    </w:p>
    <w:p w14:paraId="62AE0D2E" w14:textId="77777777" w:rsidR="00DF4522" w:rsidRDefault="00DF4522" w:rsidP="00DF4522">
      <w:pPr>
        <w:spacing w:line="360" w:lineRule="auto"/>
        <w:jc w:val="both"/>
        <w:rPr>
          <w:rFonts w:ascii="Cambria" w:hAnsi="Cambria"/>
        </w:rPr>
      </w:pPr>
      <w:r w:rsidRPr="00531789">
        <w:rPr>
          <w:rFonts w:ascii="Cambria" w:hAnsi="Cambria"/>
        </w:rPr>
        <w:t xml:space="preserve">Annual and perennial barley have the same net nitrogen uptake rate (Fig. 1) indicating that both species are well adapted to extract this vital resource from the environment.  Nitrate efflux can be substantial </w:t>
      </w:r>
      <w:r w:rsidRPr="00531789">
        <w:rPr>
          <w:rFonts w:ascii="Cambria" w:hAnsi="Cambria"/>
        </w:rPr>
        <w:fldChar w:fldCharType="begin" w:fldLock="1"/>
      </w:r>
      <w:r>
        <w:rPr>
          <w:rFonts w:ascii="Cambria" w:hAnsi="Cambria"/>
        </w:rPr>
        <w:instrText>ADDIN CSL_CITATION { "citationItems" : [ { "id" : "ITEM-1", "itemData" : { "DOI" : "http://dx.doi.org/10.1093/jxb/45.5.667", "ISSN" : "00220957", "abstract" : "A compartmental analysis of nitrate transport in intact roots of 30-d-old wheat continuously grown at a concentration of 400 mmol m\u22123 NO3\u2212 was performed under steady-state conditions. The analysis was made on the whole root system and took into account the metabolism of nitrate into reduced N-compounds and the export from root to shoot during the course of the experiment. After a 90 mm loading period with 15NO3\u2212 efflux of the tracer into an unlabelled solution (400 mmol m\u22123) was monitored during 105 mm. it indicated that, in addition to the free space and walls, two intracellular compartments were involved in the tracer exchange, corresponding to fast and slow exchange compartments. These components of efflux were attributed to the cytosol and to the vacuole. Two methods were applied to analyse the 15N efflux data, both based on a compartments-in-series model: a \u2018classical\u2019 method, where the kinetic parameters of the efflux curve determined by non-linear regression were used to calculate the cellular parameters; a \u2018numerical\u2019 method, combining non-linear fitting and numerical integration of the differential equations given In the serial model. The results obtained from both methods were fully consistent with one another and were in general agreement with other published results. The cytoplasmic nitrate pool was estimated at 1.0 \u03bcmol g\u2212 FW, corresponding to a concentration of 10\u201320 mol m\u22123 depending on the cytoplasmic volume. The unidirectional fluxes at the plasmalemma (2.8\u20132.7\u03bcmol g\u22121 FW h\u22121) were smaller than fluxes at the tonoplast (4.7\u20136.5 \u03bcmol g\u22121 FW h\u22121) The half-lives of cytoplasmic and vacuolar pools were 4.6 min and 9.4 h, respectively. The consistency of our approach was supported by the good fit between the theoretical curve of 15NO3\u2212 uptake versus time and the measured values of an independent loading experiment. However, the evolution of 15NO3\u2212 abundance in xylem sap versus time measured during a loading period was slower than predicted.", "author" : [ { "dropping-particle" : "", "family" : "Devienne", "given" : "F.", "non-dropping-particle" : "", "parse-names" : false, "suffix" : "" }, { "dropping-particle" : "", "family" : "Mary", "given" : "B.", "non-dropping-particle" : "", "parse-names" : false, "suffix" : "" }, { "dropping-particle" : "", "family" : "Lamaze", "given" : "Thierry", "non-dropping-particle" : "", "parse-names" : false, "suffix" : "" } ], "container-title" : "Journal of Experimental Botany", "id" : "ITEM-1", "issue" : "5", "issued" : { "date-parts" : [ [ "1994" ] ] }, "page" : "667-676", "title" : "Nitrate Transport in Intact Wheat Roots: I. Estimation of Cellular Fluxes and NO3- Distribution Using Compartmental Analysis from Data of (15)NO3- Efflux", "type" : "article-journal", "volume" : "45" }, "uris" : [ "http://www.mendeley.com/documents/?uuid=52ea9fa2-8f3b-4a70-b917-369e23ce05bd" ] } ], "mendeley" : { "formattedCitation" : "(Devienne &lt;i&gt;et al.&lt;/i&gt;, 1994&lt;i&gt;a&lt;/i&gt;)", "plainTextFormattedCitation" : "(Devienne et al., 1994a)", "previouslyFormattedCitation" : "(Devienne &lt;i&gt;et al.&lt;/i&gt;, 1994&lt;i&gt;a&lt;/i&gt;)"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(Devienne </w:t>
      </w:r>
      <w:r w:rsidRPr="002C5907">
        <w:rPr>
          <w:rFonts w:ascii="Cambria" w:hAnsi="Cambria"/>
          <w:i/>
          <w:noProof/>
        </w:rPr>
        <w:t>et al.</w:t>
      </w:r>
      <w:r w:rsidRPr="002C5907">
        <w:rPr>
          <w:rFonts w:ascii="Cambria" w:hAnsi="Cambria"/>
          <w:noProof/>
        </w:rPr>
        <w:t>, 1994</w:t>
      </w:r>
      <w:r w:rsidRPr="002C5907">
        <w:rPr>
          <w:rFonts w:ascii="Cambria" w:hAnsi="Cambria"/>
          <w:i/>
          <w:noProof/>
        </w:rPr>
        <w:t>a</w:t>
      </w:r>
      <w:r w:rsidRPr="002C5907">
        <w:rPr>
          <w:rFonts w:ascii="Cambria" w:hAnsi="Cambria"/>
          <w:noProof/>
        </w:rPr>
        <w:t>)</w:t>
      </w:r>
      <w:r w:rsidRPr="00531789">
        <w:rPr>
          <w:rFonts w:ascii="Cambria" w:hAnsi="Cambria"/>
        </w:rPr>
        <w:fldChar w:fldCharType="end"/>
      </w:r>
      <w:r w:rsidRPr="00531789">
        <w:rPr>
          <w:rFonts w:ascii="Cambria" w:hAnsi="Cambria"/>
        </w:rPr>
        <w:t xml:space="preserve">; here the net influx was measured, and the uptake rates measured here correspond with those of other authors </w:t>
      </w:r>
      <w:r w:rsidRPr="00531789">
        <w:rPr>
          <w:rFonts w:ascii="Cambria" w:hAnsi="Cambria"/>
        </w:rPr>
        <w:fldChar w:fldCharType="begin" w:fldLock="1"/>
      </w:r>
      <w:r>
        <w:rPr>
          <w:rFonts w:ascii="Cambria" w:hAnsi="Cambria"/>
        </w:rPr>
        <w:instrText>ADDIN CSL_CITATION { "citationItems" : [ { "id" : "ITEM-1", "itemData" : { "DOI" : "10.1371/journal.pone.0120291", "ISSN" : "19326203", "PMID" : "25798624", "abstract" : "In bread wheat (Triticum aestivum L.), the simultaneous improvement of both yield and grain protein is difficult because of the strong negative relationship between these two traits. However, some genotypes deviate positively from this relationship and this has been linked to their ability to take up nitrogen (N) during the post-flowering period, regardless of their N status at flowering. The physiological and genetic determinants of post-flowering N uptake relating to N satiety are poorly understood. This study uses semi-hydroponic culture of cv. R\u00e9cital under controlled conditions to explore these controls. The first objective was to record the effects of contrasting N status at flowering on post-flowering nitrate (NO3-) uptake under non-limiting NO3- conditions, while following the expression of key genes involved in NO3- uptake and assimilation. We found that post-flowering NO3- uptake was strongly influenced by plant N status at flowering during the first 300-400 degree-days after flowering, overlapping with a probable regulation of nitrate uptake exerted by N demand for growth. The uptake of NO3- correlated well with the expression of the gene TaNRT2.1, coding for a root NO3- transporter, which seems to play a major role in post-flowering NO3- uptake. These results provide a useful knowledge base for future investigation of genetic variability in post-flowering N uptake and may lead to concomitant gains in both grain yield and grain protein in wheat.", "author" : [ { "dropping-particle" : "", "family" : "Taulemesse", "given" : "Francois", "non-dropping-particle" : "", "parse-names" : false, "suffix" : "" }, { "dropping-particle" : "", "family" : "Gouis", "given" : "Jacques", "non-dropping-particle" : "Le", "parse-names" : false, "suffix" : "" }, { "dropping-particle" : "", "family" : "Gouache", "given" : "David", "non-dropping-particle" : "", "parse-names" : false, "suffix" : "" }, { "dropping-particle" : "", "family" : "Gibon", "given" : "Yves", "non-dropping-particle" : "", "parse-names" : false, "suffix" : "" }, { "dropping-particle" : "", "family" : "Allard", "given" : "Vincent", "non-dropping-particle" : "", "parse-names" : false, "suffix" : "" } ], "container-title" : "PLoS ONE", "id" : "ITEM-1", "issue" : "3", "issued" : { "date-parts" : [ [ "2015" ] ] }, "page" : "1-23", "title" : "Post-flowering nitrate uptake in wheat is controlled by N Status at Flowering, with a putative major role of root nitrate transporter NRT2.1", "type" : "article-journal", "volume" : "10" }, "uris" : [ "http://www.mendeley.com/documents/?uuid=5e6fcb31-e2c7-4b25-aaf0-2671b2f21a6f" ] } ], "mendeley" : { "formattedCitation" : "(Taulemesse &lt;i&gt;et al.&lt;/i&gt;, 2015)", "manualFormatting" : "(e.g. Taulemesse et al., 2015)", "plainTextFormattedCitation" : "(Taulemesse et al., 2015)", "previouslyFormattedCitation" : "(Taulemesse &lt;i&gt;et al.&lt;/i&gt;, 2015)"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(e.g. Taulemesse et al., 2015)</w:t>
      </w:r>
      <w:r w:rsidRPr="00531789">
        <w:rPr>
          <w:rFonts w:ascii="Cambria" w:hAnsi="Cambria"/>
        </w:rPr>
        <w:fldChar w:fldCharType="end"/>
      </w:r>
      <w:r w:rsidRPr="00531789">
        <w:rPr>
          <w:rFonts w:ascii="Cambria" w:hAnsi="Cambria"/>
        </w:rPr>
        <w:t xml:space="preserve">.  Both species show a substantial increase in nitrogen uptake with increasing nitrogen treatment level (Fig. 1), consistent with the hypotheses for this study. </w:t>
      </w:r>
    </w:p>
    <w:p w14:paraId="4A3C9260" w14:textId="77777777" w:rsidR="00DF4522" w:rsidRPr="00531789" w:rsidRDefault="00DF4522" w:rsidP="00DF4522">
      <w:pPr>
        <w:spacing w:line="360" w:lineRule="auto"/>
        <w:jc w:val="both"/>
        <w:rPr>
          <w:rFonts w:ascii="Cambria" w:hAnsi="Cambria"/>
        </w:rPr>
      </w:pPr>
    </w:p>
    <w:p w14:paraId="6D3C9870" w14:textId="77777777" w:rsidR="00DF4522" w:rsidRDefault="00DF4522" w:rsidP="00DF4522">
      <w:pPr>
        <w:spacing w:line="360" w:lineRule="auto"/>
        <w:jc w:val="both"/>
        <w:rPr>
          <w:rFonts w:ascii="Cambria" w:hAnsi="Cambria"/>
          <w:b/>
        </w:rPr>
      </w:pPr>
    </w:p>
    <w:p w14:paraId="48B0E1F2" w14:textId="5717F4E0" w:rsidR="00DF4522" w:rsidRPr="00531789" w:rsidRDefault="00DF4522" w:rsidP="00DF4522">
      <w:pPr>
        <w:spacing w:line="360" w:lineRule="auto"/>
        <w:jc w:val="both"/>
        <w:rPr>
          <w:rFonts w:ascii="Cambria" w:hAnsi="Cambria"/>
          <w:b/>
        </w:rPr>
      </w:pPr>
      <w:r w:rsidRPr="00531789">
        <w:rPr>
          <w:rFonts w:ascii="Cambria" w:hAnsi="Cambria"/>
          <w:b/>
        </w:rPr>
        <w:t xml:space="preserve">Perennial barley </w:t>
      </w:r>
      <w:r w:rsidR="0052480D">
        <w:rPr>
          <w:rFonts w:ascii="Cambria" w:hAnsi="Cambria"/>
          <w:b/>
        </w:rPr>
        <w:t>shows a greater growth response to increased nitrogen</w:t>
      </w:r>
    </w:p>
    <w:p w14:paraId="44D8D210" w14:textId="77777777" w:rsidR="00DF4522" w:rsidRPr="00531789" w:rsidRDefault="00DF4522" w:rsidP="00DF4522">
      <w:pPr>
        <w:spacing w:line="360" w:lineRule="auto"/>
        <w:jc w:val="both"/>
        <w:rPr>
          <w:rFonts w:ascii="Cambria" w:hAnsi="Cambria"/>
        </w:rPr>
      </w:pPr>
    </w:p>
    <w:p w14:paraId="4CFF7EC9" w14:textId="4D1A089F" w:rsidR="00DF4522" w:rsidRPr="00531789" w:rsidRDefault="00DF4522" w:rsidP="00DF4522">
      <w:pPr>
        <w:spacing w:line="360" w:lineRule="auto"/>
        <w:jc w:val="both"/>
        <w:rPr>
          <w:rFonts w:ascii="Cambria" w:hAnsi="Cambria"/>
        </w:rPr>
      </w:pPr>
      <w:r w:rsidRPr="00531789">
        <w:rPr>
          <w:rFonts w:ascii="Cambria" w:hAnsi="Cambria"/>
        </w:rPr>
        <w:t>As the nitrogen treatment increases from 1% to 20%, plants show a dramatic response, with both the amount of plant material (Figs. 2, 3) and the concentration of nitrogen in that material (Fig. 5) increasing significantly, consistent with hypotheses.</w:t>
      </w:r>
    </w:p>
    <w:p w14:paraId="00AFD019" w14:textId="77777777" w:rsidR="00DF4522" w:rsidRPr="00531789" w:rsidRDefault="00DF4522" w:rsidP="00DF4522">
      <w:pPr>
        <w:spacing w:line="360" w:lineRule="auto"/>
        <w:jc w:val="both"/>
        <w:rPr>
          <w:rFonts w:ascii="Cambria" w:hAnsi="Cambria"/>
        </w:rPr>
      </w:pPr>
    </w:p>
    <w:p w14:paraId="73CEF1D9" w14:textId="6B507D89" w:rsidR="00DF4522" w:rsidRPr="00531789" w:rsidRDefault="00DF4522" w:rsidP="00DF4522">
      <w:pPr>
        <w:spacing w:line="360" w:lineRule="auto"/>
        <w:jc w:val="both"/>
        <w:rPr>
          <w:rFonts w:ascii="Cambria" w:hAnsi="Cambria"/>
        </w:rPr>
      </w:pPr>
      <w:r w:rsidRPr="00531789">
        <w:rPr>
          <w:rFonts w:ascii="Cambria" w:hAnsi="Cambria"/>
        </w:rPr>
        <w:t xml:space="preserve">Annual barley grows faster overall (Fig. 2), yet the perennial shows a greater relative growth response when nitrogen treatment is </w:t>
      </w:r>
      <w:r w:rsidR="0052480D">
        <w:rPr>
          <w:rFonts w:ascii="Cambria" w:hAnsi="Cambria"/>
        </w:rPr>
        <w:t xml:space="preserve">increased </w:t>
      </w:r>
      <w:r w:rsidRPr="00531789">
        <w:rPr>
          <w:rFonts w:ascii="Cambria" w:hAnsi="Cambria"/>
        </w:rPr>
        <w:t xml:space="preserve">(Fig. 3) and has a higher leaf nitrogen concentration (Fig. 7A).  This suggests that under nitrogen-limited conditions (1% nitrogen treatment) the perennial preferentially allocates nitrogen to storage rather than growth, consistent with the hypothesis that the perennial will conserve nitrogen </w:t>
      </w:r>
      <w:r w:rsidRPr="00531789">
        <w:rPr>
          <w:rFonts w:ascii="Cambria" w:hAnsi="Cambria"/>
        </w:rPr>
        <w:fldChar w:fldCharType="begin" w:fldLock="1"/>
      </w:r>
      <w:r w:rsidRPr="00531789">
        <w:rPr>
          <w:rFonts w:ascii="Cambria" w:hAnsi="Cambria"/>
        </w:rPr>
        <w:instrText>ADDIN CSL_CITATION { "citationItems" : [ { "id" : "ITEM-1", "itemData" : { "author" : [ { "dropping-particle" : "", "family" : "Campbell", "given" : "B D", "non-dropping-particle" : "", "parse-names" : false, "suffix" : "" }, { "dropping-particle" : "", "family" : "Grime", "given" : "J P", "non-dropping-particle" : "", "parse-names" : false, "suffix" : "" } ], "container-title" : "Ecology", "id" : "ITEM-1", "issue" : "1", "issued" : { "date-parts" : [ [ "1992" ] ] }, "page" : "15-29", "title" : "An Experimental Test of Plant Strategy Theory", "type" : "article-journal", "volume" : "73" }, "uris" : [ "http://www.mendeley.com/documents/?uuid=233ebe3e-3eef-4fba-a43c-8c7a54f295a1" ] } ], "mendeley" : { "formattedCitation" : "(Campbell and Grime, 1992)", "plainTextFormattedCitation" : "(Campbell and Grime, 1992)", "previouslyFormattedCitation" : "(Campbell and Grime, 1992)"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(Campbell and Grime, 1992)</w:t>
      </w:r>
      <w:r w:rsidRPr="00531789">
        <w:rPr>
          <w:rFonts w:ascii="Cambria" w:hAnsi="Cambria"/>
        </w:rPr>
        <w:fldChar w:fldCharType="end"/>
      </w:r>
      <w:r w:rsidRPr="00531789">
        <w:rPr>
          <w:rFonts w:ascii="Cambria" w:hAnsi="Cambria"/>
        </w:rPr>
        <w:t xml:space="preserve">.  This enables the perennial to be opportunistic in its use of carbon resources, as observed in previous work with these species, which found that the perennial is better able to respond to increasing carbon dioxide compared to the annual </w:t>
      </w:r>
      <w:r w:rsidRPr="00531789">
        <w:rPr>
          <w:rFonts w:ascii="Cambria" w:hAnsi="Cambria"/>
        </w:rPr>
        <w:fldChar w:fldCharType="begin" w:fldLock="1"/>
      </w:r>
      <w:r w:rsidR="002B4FD9">
        <w:rPr>
          <w:rFonts w:ascii="Cambria" w:hAnsi="Cambria"/>
        </w:rPr>
        <w:instrText>ADDIN CSL_CITATION { "citationItems" : [ { "id" : "ITEM-1", "itemData" : { "author" : [ { "dropping-particle" : "", "family" : "Burnett",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"Plant Cell and Environment", "id" : "ITEM-1", "issued" : { "date-parts" : [ [ "2016" ] ] }, "title" : "Source-sink limitations differ between two species with contrasting growth strategies. In press.", "type" : "article-journal" }, "uris" : [ "http://www.mendeley.com/documents/?uuid=f5338dba-5628-426b-8811-253c230d7ad4" ] } ], "mendeley" : { "formattedCitation" : "(Burnett &lt;i&gt;et al.&lt;/i&gt;, 2016)", "manualFormatting" : "(Burnett et al., 2016)", "plainTextFormattedCitation" : "(Burnett et al., 2016)", "previouslyFormattedCitation" : "(Burnett &lt;i&gt;et al.&lt;/i&gt;, 2016)"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w:t>
      </w:r>
      <w:r w:rsidR="000055CC">
        <w:rPr>
          <w:rFonts w:ascii="Cambria" w:hAnsi="Cambria"/>
          <w:noProof/>
        </w:rPr>
        <w:t>Burnett</w:t>
      </w:r>
      <w:r w:rsidRPr="002C5907">
        <w:rPr>
          <w:rFonts w:ascii="Cambria" w:hAnsi="Cambria"/>
          <w:noProof/>
        </w:rPr>
        <w:t xml:space="preserve"> </w:t>
      </w:r>
      <w:r w:rsidRPr="002C5907">
        <w:rPr>
          <w:rFonts w:ascii="Cambria" w:hAnsi="Cambria"/>
          <w:i/>
          <w:noProof/>
        </w:rPr>
        <w:t>et al.</w:t>
      </w:r>
      <w:r w:rsidRPr="002C5907">
        <w:rPr>
          <w:rFonts w:ascii="Cambria" w:hAnsi="Cambria"/>
          <w:noProof/>
        </w:rPr>
        <w:t xml:space="preserve">, </w:t>
      </w:r>
      <w:r w:rsidR="000055CC">
        <w:rPr>
          <w:rFonts w:ascii="Cambria" w:hAnsi="Cambria"/>
          <w:noProof/>
        </w:rPr>
        <w:t>2016</w:t>
      </w:r>
      <w:r w:rsidRPr="002C5907">
        <w:rPr>
          <w:rFonts w:ascii="Cambria" w:hAnsi="Cambria"/>
          <w:noProof/>
        </w:rPr>
        <w:t>)</w:t>
      </w:r>
      <w:r w:rsidRPr="00531789">
        <w:rPr>
          <w:rFonts w:ascii="Cambria" w:hAnsi="Cambria"/>
        </w:rPr>
        <w:fldChar w:fldCharType="end"/>
      </w:r>
      <w:r w:rsidRPr="00531789">
        <w:rPr>
          <w:rFonts w:ascii="Cambria" w:hAnsi="Cambria"/>
        </w:rPr>
        <w:t xml:space="preserve">.  </w:t>
      </w:r>
      <w:r w:rsidR="0052480D">
        <w:rPr>
          <w:rFonts w:ascii="Cambria" w:hAnsi="Cambria"/>
        </w:rPr>
        <w:t>In contrast to the hypothesis that growth in the perennial would be more nitrogen sink limited and growth in the annual more nitrogen source limited, the perennial shows a greater response to increased nitrogen treatment</w:t>
      </w:r>
      <w:r w:rsidR="006D6D7C">
        <w:rPr>
          <w:rFonts w:ascii="Cambria" w:hAnsi="Cambria"/>
        </w:rPr>
        <w:t>.  This indicates that growth in the perennial is in fact less nitrogen sink limited than growth in the annual</w:t>
      </w:r>
      <w:r w:rsidR="0052480D">
        <w:rPr>
          <w:rFonts w:ascii="Cambria" w:hAnsi="Cambria"/>
        </w:rPr>
        <w:t>.</w:t>
      </w:r>
    </w:p>
    <w:p w14:paraId="6520F676" w14:textId="77777777" w:rsidR="00DF4522" w:rsidRPr="00531789" w:rsidRDefault="00DF4522" w:rsidP="00DF4522">
      <w:pPr>
        <w:spacing w:line="360" w:lineRule="auto"/>
        <w:jc w:val="both"/>
        <w:rPr>
          <w:rFonts w:ascii="Cambria" w:hAnsi="Cambria"/>
        </w:rPr>
      </w:pPr>
    </w:p>
    <w:p w14:paraId="3C9BF026" w14:textId="77777777" w:rsidR="00DF4522" w:rsidRPr="00531789" w:rsidRDefault="00DF4522" w:rsidP="00DF4522">
      <w:pPr>
        <w:spacing w:line="360" w:lineRule="auto"/>
        <w:jc w:val="both"/>
        <w:rPr>
          <w:rFonts w:ascii="Cambria" w:hAnsi="Cambria"/>
          <w:b/>
        </w:rPr>
      </w:pPr>
      <w:r w:rsidRPr="00531789">
        <w:rPr>
          <w:rFonts w:ascii="Cambria" w:hAnsi="Cambria"/>
          <w:b/>
        </w:rPr>
        <w:t>Perennial barley allocates both nitrogen and biomass to storage organs</w:t>
      </w:r>
    </w:p>
    <w:p w14:paraId="4558AF21" w14:textId="77777777" w:rsidR="00DF4522" w:rsidRPr="00531789" w:rsidRDefault="00DF4522" w:rsidP="00DF4522">
      <w:pPr>
        <w:spacing w:line="360" w:lineRule="auto"/>
        <w:jc w:val="both"/>
        <w:rPr>
          <w:rFonts w:ascii="Cambria" w:hAnsi="Cambria"/>
        </w:rPr>
      </w:pPr>
    </w:p>
    <w:p w14:paraId="76437035" w14:textId="156E944F" w:rsidR="00DF4522" w:rsidRPr="00531789" w:rsidRDefault="00DF4522" w:rsidP="00DF4522">
      <w:pPr>
        <w:spacing w:line="360" w:lineRule="auto"/>
        <w:jc w:val="both"/>
        <w:rPr>
          <w:rFonts w:ascii="Cambria" w:hAnsi="Cambria"/>
        </w:rPr>
      </w:pPr>
      <w:r w:rsidRPr="00531789">
        <w:rPr>
          <w:rFonts w:ascii="Cambria" w:hAnsi="Cambria"/>
        </w:rPr>
        <w:t xml:space="preserve">Consistent with the hypothesis that perennial barley would show a greater storage response to nitrogen treatment than the annual, the perennial displays a lower allocation of mass to leaves compared to the annual (Table 1), allocating more biomass to the storage organs of leaf sheath and root, with a higher sheath mass ratio earlier in development and a higher allocation to roots later in development.  Since perennial barley has a higher nitrogen concentration and lower C:N ratio in the root compared to the annual (Fig. 7C,F), its greater allocation to roots in terms of biomass fraction enables proportionately greater nitrogen storage at the whole plant level, and its greater allocation to leaf sheaths offsets its lower sheath nitrogen concentration compared to the annual (Fig. 7B).  This is consistent with a conservative growth strategy: the perennial grows more slowly than the annual (Fig. 2) and conserves resources when nutrients are limiting, allocating biomass and nitrogen to storage (Table 1; Figs. 5, 7).  However, our previous work revealed significant developmental plasticity in the perennial, which is carbon source limited and therefore shows a stronger response to increasing carbon dioxide compared to the annual </w:t>
      </w:r>
      <w:r w:rsidRPr="00531789">
        <w:rPr>
          <w:rFonts w:ascii="Cambria" w:hAnsi="Cambria"/>
        </w:rPr>
        <w:fldChar w:fldCharType="begin" w:fldLock="1"/>
      </w:r>
      <w:r w:rsidR="002B4FD9">
        <w:rPr>
          <w:rFonts w:ascii="Cambria" w:hAnsi="Cambria"/>
        </w:rPr>
        <w:instrText>ADDIN CSL_CITATION { "citationItems" : [ { "id" : "ITEM-1", "itemData" : { "author" : [ { "dropping-particle" : "", "family" : "Burnett",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"Plant Cell and Environment", "id" : "ITEM-1", "issued" : { "date-parts" : [ [ "2016" ] ] }, "title" : "Source-sink limitations differ between two species with contrasting growth strategies. In press.", "type" : "article-journal" }, "uris" : [ "http://www.mendeley.com/documents/?uuid=f5338dba-5628-426b-8811-253c230d7ad4" ] } ], "mendeley" : { "formattedCitation" : "(Burnett &lt;i&gt;et al.&lt;/i&gt;, 2016)", "manualFormatting" : "(Burnett et al., 2016)", "plainTextFormattedCitation" : "(Burnett et al., 2016)", "previouslyFormattedCitation" : "(Burnett &lt;i&gt;et al.&lt;/i&gt;, 2016)"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w:t>
      </w:r>
      <w:r w:rsidR="000055CC">
        <w:rPr>
          <w:rFonts w:ascii="Cambria" w:hAnsi="Cambria"/>
          <w:noProof/>
        </w:rPr>
        <w:t>Burnett</w:t>
      </w:r>
      <w:r w:rsidRPr="002C5907">
        <w:rPr>
          <w:rFonts w:ascii="Cambria" w:hAnsi="Cambria"/>
          <w:noProof/>
        </w:rPr>
        <w:t xml:space="preserve"> </w:t>
      </w:r>
      <w:r w:rsidRPr="002C5907">
        <w:rPr>
          <w:rFonts w:ascii="Cambria" w:hAnsi="Cambria"/>
          <w:i/>
          <w:noProof/>
        </w:rPr>
        <w:t>et al.</w:t>
      </w:r>
      <w:r w:rsidRPr="002C5907">
        <w:rPr>
          <w:rFonts w:ascii="Cambria" w:hAnsi="Cambria"/>
          <w:noProof/>
        </w:rPr>
        <w:t xml:space="preserve">, </w:t>
      </w:r>
      <w:r w:rsidR="000055CC">
        <w:rPr>
          <w:rFonts w:ascii="Cambria" w:hAnsi="Cambria"/>
          <w:noProof/>
        </w:rPr>
        <w:t>2016</w:t>
      </w:r>
      <w:r w:rsidRPr="002C5907">
        <w:rPr>
          <w:rFonts w:ascii="Cambria" w:hAnsi="Cambria"/>
          <w:noProof/>
        </w:rPr>
        <w:t>)</w:t>
      </w:r>
      <w:r w:rsidRPr="00531789">
        <w:rPr>
          <w:rFonts w:ascii="Cambria" w:hAnsi="Cambria"/>
        </w:rPr>
        <w:fldChar w:fldCharType="end"/>
      </w:r>
      <w:r w:rsidRPr="00531789">
        <w:rPr>
          <w:rFonts w:ascii="Cambria" w:hAnsi="Cambria"/>
        </w:rPr>
        <w:t>.  A conservative, nitrogen-storing strategy thus facilitates opportunistic and flexible responses to changes in the availability of other resources such as carbon.</w:t>
      </w:r>
    </w:p>
    <w:p w14:paraId="14349EB0" w14:textId="77777777" w:rsidR="00DF4522" w:rsidRPr="00531789" w:rsidRDefault="00DF4522" w:rsidP="00DF4522">
      <w:pPr>
        <w:spacing w:line="360" w:lineRule="auto"/>
        <w:jc w:val="both"/>
        <w:rPr>
          <w:rFonts w:ascii="Cambria" w:hAnsi="Cambria"/>
        </w:rPr>
      </w:pPr>
    </w:p>
    <w:p w14:paraId="41B87C1C" w14:textId="10C39397" w:rsidR="00DF4522" w:rsidRPr="00531789" w:rsidRDefault="00DF4522" w:rsidP="00DF4522">
      <w:pPr>
        <w:spacing w:line="360" w:lineRule="auto"/>
        <w:jc w:val="both"/>
        <w:rPr>
          <w:rFonts w:ascii="Cambria" w:hAnsi="Cambria"/>
        </w:rPr>
      </w:pPr>
      <w:r w:rsidRPr="00531789">
        <w:rPr>
          <w:rFonts w:ascii="Cambria" w:hAnsi="Cambria"/>
        </w:rPr>
        <w:t xml:space="preserve">Contrary to expectations, the perennial has a higher specific leaf area (SLA) (Table 2) and higher nitrogen concentration (Fig. 7) compared to the annual, traits that are generally associated with fast growing species in the ecological literature </w:t>
      </w:r>
      <w:r w:rsidRPr="00531789">
        <w:rPr>
          <w:rFonts w:ascii="Cambria" w:hAnsi="Cambria"/>
        </w:rPr>
        <w:fldChar w:fldCharType="begin" w:fldLock="1"/>
      </w:r>
      <w:r>
        <w:rPr>
          <w:rFonts w:ascii="Cambria" w:hAnsi="Cambria"/>
        </w:rPr>
        <w:instrText>ADDIN CSL_CITATION { "citationItems" : [ { "id" : "ITEM-1", "itemData" : { "DOI" : "10.1086/374368", "ISBN" : "10585893", "ISSN" : "1058-5893", "PMID" : "184018500011", "abstract" : "Variation in plant functional traits results from evolutionary and environmental drivers that operate at a variety of different scales, which makes it a challenge to differentiate among them. In this article we describe patterns of functional trait variation and trait correlations within and among habitats in relation to several environmental and trade-off axes. We then ask whether such patterns reflect natural selection and can be considered plant strategies. In so doing we highlight evidence that demonstrates that (1) patterns of trait variation across resource and environmental gradients (light, water, nutrients, and temperature) probably reflect adaptation, (2) plant trait variation typically involves multiple-correlated traits that arise because of inevitable trade-offs among traits and across levels of whole-plant integration and that must be understood from a whole-plant perspective, and (3) such adaptation may be globally generalizable for like conditions; i. e., the set of traits (collections of traits in syndromes) of taxa can be considered as \"plant strategies.\"", "author" : [ { "dropping-particle" : "", "family" : "Reich", "given" : "Peter B.", "non-dropping-particle" : "", "parse-names" : false, "suffix" : "" }, { "dropping-particle" : "", "family" : "Wright", "given" : "Ian J.", "non-dropping-particle" : "", "parse-names" : false, "suffix" : "" }, { "dropping-particle" : "", "family" : "Cavender\u2010Bares", "given" : "J.", "non-dropping-particle" : "", "parse-names" : false, "suffix" : "" }, { "dropping-particle" : "", "family" : "Craine", "given" : "J. M.", "non-dropping-particle" : "", "parse-names" : false, "suffix" : "" }, { "dropping-particle" : "", "family" : "Oleksyn", "given" : "J.", "non-dropping-particle" : "", "parse-names" : false, "suffix" : "" }, { "dropping-particle" : "", "family" : "Westoby", "given" : "Mark", "non-dropping-particle" : "", "parse-names" : false, "suffix" : "" }, { "dropping-particle" : "", "family" : "Walters", "given" : "M. B.", "non-dropping-particle" : "", "parse-names" : false, "suffix" : "" } ], "container-title" : "International Journal of Plant Sciences", "id" : "ITEM-1", "issue" : "S3", "issued" : { "date-parts" : [ [ "2003" ] ] }, "page" : "S143-S164", "title" : "The Evolution of Plant Functional Variation: Traits, Spectra, and Strategies", "type" : "article-journal", "volume" : "164" }, "uris" : [ "http://www.mendeley.com/documents/?uuid=5b561578-338b-4d66-8514-5818f41b23dc" ] }, { "id" : "ITEM-2", "itemData" : { "author" : [ { "dropping-particle" : "", "family" : "Wright", "given" : "Ian J", "non-dropping-particle" : "", "parse-names" : false, "suffix" : "" }, { "dropping-particle" : "", "family" : "Reich", "given" : "Peter B", "non-dropping-particle" : "", "parse-names" : false, "suffix" : "" }, { "dropping-particle" : "", "family" : "Westoby", "given" : "Mark", "non-dropping-particle" : "", "parse-names" : false, "suffix" : "" }, { "dropping-particle" : "", "family" : "Ackerly", "given" : "David D", "non-dropping-particle" : "", "parse-names" : false, "suffix" : "" }, { "dropping-particle" : "", "family" : "Baruch", "given" : "Zdravko", "non-dropping-particle" : "", "parse-names" : false, "suffix" : "" }, { "dropping-particle" : "", "family" : "Bongers", "given" : "Frans", "non-dropping-particle" : "", "parse-names" : false, "suffix" : "" }, { "dropping-particle" : "", "family" : "Cavender-bares", "given" : "Jeannine", "non-dropping-particle" : "", "parse-names" : false, "suffix" : "" }, { "dropping-particle" : "", "family" : "Chapin", "given" : "Terry", "non-dropping-particle" : "", "parse-names" : false, "suffix" : "" }, { "dropping-particle" : "", "family" : "Cornelissen", "given" : "Johannes H C", "non-dropping-particle" : "", "parse-names" : false, "suffix" : "" }, { "dropping-particle" : "", "family" : "Diemer", "given" : "Matthias", "non-dropping-particle" : "", "parse-names" : false, "suffix" : "" }, { "dropping-particle" : "", "family" : "Flexas", "given" : "Jaume", "non-dropping-particle" : "", "parse-names" : false, "suffix" : "" }, { "dropping-particle" : "", "family" : "Garnier", "given" : "Eric", "non-dropping-particle" : "", "parse-names" : false, "suffix" : "" }, { "dropping-particle" : "", "family" : "Groom", "given" : "Philip K", "non-dropping-particle" : "", "parse-names" : false, "suffix" : "" }, { "dropping-particle" : "", "family" : "Gulias", "given" : "Javier", "non-dropping-particle" : "", "parse-names" : false, "suffix" : "" }, { "dropping-particle" : "", "family" : "Hikosaka", "given" : "Kouki", "non-dropping-particle" : "", "parse-names" : false, "suffix" : "" }, { "dropping-particle" : "", "family" : "Lamont", "given" : "Byron B", "non-dropping-particle" : "", "parse-names" : false, "suffix" : "" }, { "dropping-particle" : "", "family" : "Lee", "given" : "Tali", "non-dropping-particle" : "", "parse-names" : false, "suffix" : "" }, { "dropping-particle" : "", "family" : "Lee", "given" : "William", "non-dropping-particle" : "", "parse-names" : false, "suffix" : "" }, { "dropping-particle" : "", "family" : "Lusk", "given" : "Christopher", "non-dropping-particle" : "", "parse-names" : false, "suffix" : "" }, { "dropping-particle" : "", "family" : "Midgley", "given" : "Jeremy J", "non-dropping-particle" : "", "parse-names" : false, "suffix" : "" }, { "dropping-particle" : "", "family" : "Navas", "given" : "Marie-Laure", "non-dropping-particle" : "", "parse-names" : false, "suffix" : "" }, { "dropping-particle" : "", "family" : "Niinemets", "given" : "Ulo", "non-dropping-particle" : "", "parse-names" : false, "suffix" : "" }, { "dropping-particle" : "", "family" : "Oleksyn", "given" : "Jacek", "non-dropping-particle" : "", "parse-names" : false, "suffix" : "" }, { "dropping-particle" : "", "family" : "Osada", "given" : "Noriyuki", "non-dropping-particle" : "", "parse-names" : false, "suffix" : "" }, { "dropping-particle" : "", "family" : "Poorter", "given" : "Hendrik", "non-dropping-particle" : "", "parse-names" : false, "suffix" : "" }, { "dropping-particle" : "", "family" : "Poot", "given" : "Pieter", "non-dropping-particle" : "", "parse-names" : false, "suffix" : "" }, { "dropping-particle" : "", "family" : "Prior", "given" : "Lynda", "non-dropping-particle" : "", "parse-names" : false, "suffix" : "" }, { "dropping-particle" : "", "family" : "Pyankov", "given" : "Vladimir I", "non-dropping-particle" : "", "parse-names" : false, "suffix" : "" }, { "dropping-particle" : "", "family" : "Roumet", "given" : "Catherine", "non-dropping-particle" : "", "parse-names" : false, "suffix" : "" }, { "dropping-particle" : "", "family" : "Thomas", "given" : "Sean C", "non-dropping-particle" : "", "parse-names" : false, "suffix" : "" }, { "dropping-particle" : "", "family" : "Tjoelker", "given" : "Mark G", "non-dropping-particle" : "", "parse-names" : false, "suffix" : "" }, { "dropping-particle" : "", "family" : "Veneklaas", "given" : "Erik J", "non-dropping-particle" : "", "parse-names" : false, "suffix" : "" }, { "dropping-particle" : "", "family" : "Villar", "given" : "Rafael", "non-dropping-particle" : "", "parse-names" : false, "suffix" : "" } ], "container-title" : "Nature", "id" : "ITEM-2", "issued" : { "date-parts" : [ [ "2004" ] ] }, "page" : "821-827", "title" : "The worldwide leaf economics spectrum", "type" : "article-journal", "volume" : "428" }, "uris" : [ "http://www.mendeley.com/documents/?uuid=e66b67a4-aad1-43f1-b16d-40dc7dc417ff" ] } ], "mendeley" : { "formattedCitation" : "(Reich &lt;i&gt;et al.&lt;/i&gt;, 2003; Wright &lt;i&gt;et al.&lt;/i&gt;, 2004)", "plainTextFormattedCitation" : "(Reich et al., 2003; Wright et al., 2004)", "previouslyFormattedCitation" : "(Reich &lt;i&gt;et al.&lt;/i&gt;, 2003; Wright &lt;i&gt;et al.&lt;/i&gt;, 2004)"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(Reich </w:t>
      </w:r>
      <w:r w:rsidRPr="002C5907">
        <w:rPr>
          <w:rFonts w:ascii="Cambria" w:hAnsi="Cambria"/>
          <w:i/>
          <w:noProof/>
        </w:rPr>
        <w:t>et al.</w:t>
      </w:r>
      <w:r w:rsidRPr="002C5907">
        <w:rPr>
          <w:rFonts w:ascii="Cambria" w:hAnsi="Cambria"/>
          <w:noProof/>
        </w:rPr>
        <w:t xml:space="preserve">, 2003; Wright </w:t>
      </w:r>
      <w:r w:rsidRPr="002C5907">
        <w:rPr>
          <w:rFonts w:ascii="Cambria" w:hAnsi="Cambria"/>
          <w:i/>
          <w:noProof/>
        </w:rPr>
        <w:t>et al.</w:t>
      </w:r>
      <w:r w:rsidRPr="002C5907">
        <w:rPr>
          <w:rFonts w:ascii="Cambria" w:hAnsi="Cambria"/>
          <w:noProof/>
        </w:rPr>
        <w:t>, 2004)</w:t>
      </w:r>
      <w:r w:rsidRPr="00531789">
        <w:rPr>
          <w:rFonts w:ascii="Cambria" w:hAnsi="Cambria"/>
        </w:rPr>
        <w:fldChar w:fldCharType="end"/>
      </w:r>
      <w:r w:rsidRPr="00531789">
        <w:rPr>
          <w:rFonts w:ascii="Cambria" w:hAnsi="Cambria"/>
        </w:rPr>
        <w:t xml:space="preserve">.  This </w:t>
      </w:r>
      <w:r>
        <w:rPr>
          <w:rFonts w:ascii="Cambria" w:hAnsi="Cambria"/>
        </w:rPr>
        <w:t>is consistent with previous</w:t>
      </w:r>
      <w:r w:rsidRPr="00531789">
        <w:rPr>
          <w:rFonts w:ascii="Cambria" w:hAnsi="Cambria"/>
        </w:rPr>
        <w:t xml:space="preserve"> work on this species </w:t>
      </w:r>
      <w:r w:rsidRPr="00531789">
        <w:rPr>
          <w:rFonts w:ascii="Cambria" w:hAnsi="Cambria"/>
        </w:rPr>
        <w:fldChar w:fldCharType="begin" w:fldLock="1"/>
      </w:r>
      <w:r w:rsidR="002B4FD9">
        <w:rPr>
          <w:rFonts w:ascii="Cambria" w:hAnsi="Cambria"/>
        </w:rPr>
        <w:instrText>ADDIN CSL_CITATION { "citationItems" : [ { "id" : "ITEM-1", "itemData" : { "author" : [ { "dropping-particle" : "", "family" : "Burnett",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"Plant Cell and Environment", "id" : "ITEM-1", "issued" : { "date-parts" : [ [ "2016" ] ] }, "title" : "Source-sink limitations differ between two species with contrasting growth strategies. In press.", "type" : "article-journal" }, "uris" : [ "http://www.mendeley.com/documents/?uuid=f5338dba-5628-426b-8811-253c230d7ad4" ] } ], "mendeley" : { "formattedCitation" : "(Burnett &lt;i&gt;et al.&lt;/i&gt;, 2016)", "manualFormatting" : "(Burnett et al., 2016)", "plainTextFormattedCitation" : "(Burnett et al., 2016)", "previouslyFormattedCitation" : "(Burnett &lt;i&gt;et al.&lt;/i&gt;, 2016)"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w:t>
      </w:r>
      <w:r w:rsidR="000055CC">
        <w:rPr>
          <w:rFonts w:ascii="Cambria" w:hAnsi="Cambria"/>
          <w:noProof/>
        </w:rPr>
        <w:t>Burnett</w:t>
      </w:r>
      <w:r w:rsidRPr="002C5907">
        <w:rPr>
          <w:rFonts w:ascii="Cambria" w:hAnsi="Cambria"/>
          <w:noProof/>
        </w:rPr>
        <w:t xml:space="preserve"> </w:t>
      </w:r>
      <w:r w:rsidRPr="002C5907">
        <w:rPr>
          <w:rFonts w:ascii="Cambria" w:hAnsi="Cambria"/>
          <w:i/>
          <w:noProof/>
        </w:rPr>
        <w:t>et al.</w:t>
      </w:r>
      <w:r w:rsidRPr="002C5907">
        <w:rPr>
          <w:rFonts w:ascii="Cambria" w:hAnsi="Cambria"/>
          <w:noProof/>
        </w:rPr>
        <w:t xml:space="preserve">, </w:t>
      </w:r>
      <w:r w:rsidR="000055CC">
        <w:rPr>
          <w:rFonts w:ascii="Cambria" w:hAnsi="Cambria"/>
          <w:noProof/>
        </w:rPr>
        <w:t>2016</w:t>
      </w:r>
      <w:r w:rsidRPr="002C5907">
        <w:rPr>
          <w:rFonts w:ascii="Cambria" w:hAnsi="Cambria"/>
          <w:noProof/>
        </w:rPr>
        <w:t>)</w:t>
      </w:r>
      <w:r w:rsidRPr="00531789">
        <w:rPr>
          <w:rFonts w:ascii="Cambria" w:hAnsi="Cambria"/>
        </w:rPr>
        <w:fldChar w:fldCharType="end"/>
      </w:r>
      <w:r w:rsidRPr="00531789">
        <w:rPr>
          <w:rFonts w:ascii="Cambria" w:hAnsi="Cambria"/>
        </w:rPr>
        <w:t>,</w:t>
      </w:r>
      <w:r>
        <w:rPr>
          <w:rFonts w:ascii="Cambria" w:hAnsi="Cambria"/>
        </w:rPr>
        <w:t xml:space="preserve"> which revealed carbon source limitation in the perennial,</w:t>
      </w:r>
      <w:r w:rsidRPr="00531789">
        <w:rPr>
          <w:rFonts w:ascii="Cambria" w:hAnsi="Cambria"/>
        </w:rPr>
        <w:t xml:space="preserve"> since it is investing in carbon acquisition by the leaves in order to match carbon and nitrogen supply.  Indeed, the higher SLA and leaf nitrogen concentration observed here for the perennial indicate that it may have the potential to be a rather fast growing species despite its perennial life history strategy.  Potential RGR has previously been correlated with nutrient uptake capacity </w:t>
      </w:r>
      <w:r w:rsidRPr="00531789">
        <w:rPr>
          <w:rFonts w:ascii="Cambria" w:hAnsi="Cambria"/>
        </w:rPr>
        <w:fldChar w:fldCharType="begin" w:fldLock="1"/>
      </w:r>
      <w:r>
        <w:rPr>
          <w:rFonts w:ascii="Cambria" w:hAnsi="Cambria"/>
        </w:rPr>
        <w:instrText>ADDIN CSL_CITATION { "citationItems" : [ { "id" : "ITEM-1", "itemData" : { "author" : [ { "dropping-particle" : "", "family" : "Garnier", "given" : "E.", "non-dropping-particle" : "", "parse-names" : false, "suffix" : "" }, { "dropping-particle" : "", "family" : "Koch", "given" : "G.W.", "non-dropping-particle" : "", "parse-names" : false, "suffix" : "" }, { "dropping-particle" : "", "family" : "Roy", "given" : "J.", "non-dropping-particle" : "", "parse-names" : false, "suffix" : "" }, { "dropping-particle" : "", "family" : "Mooney", "given" : "H.A.", "non-dropping-particle" : "", "parse-names" : false, "suffix" : "" } ], "container-title" : "Oecologia", "id" : "ITEM-1", "issue" : "4", "issued" : { "date-parts" : [ [ "1989" ] ] }, "page" : "542-550", "title" : "Responses of wild plants to nitrate availability", "type" : "article-journal", "volume" : "79" }, "uris" : [ "http://www.mendeley.com/documents/?uuid=a21d0d74-fe6c-4a9e-9501-97751865a7be" ] } ], "mendeley" : { "formattedCitation" : "(Garnier &lt;i&gt;et al.&lt;/i&gt;, 1989)", "plainTextFormattedCitation" : "(Garnier et al., 1989)", "previouslyFormattedCitation" : "(Garnier &lt;i&gt;et al.&lt;/i&gt;, 1989)"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(Garnier </w:t>
      </w:r>
      <w:r w:rsidRPr="002C5907">
        <w:rPr>
          <w:rFonts w:ascii="Cambria" w:hAnsi="Cambria"/>
          <w:i/>
          <w:noProof/>
        </w:rPr>
        <w:t>et al.</w:t>
      </w:r>
      <w:r w:rsidRPr="002C5907">
        <w:rPr>
          <w:rFonts w:ascii="Cambria" w:hAnsi="Cambria"/>
          <w:noProof/>
        </w:rPr>
        <w:t>, 1989)</w:t>
      </w:r>
      <w:r w:rsidRPr="00531789">
        <w:rPr>
          <w:rFonts w:ascii="Cambria" w:hAnsi="Cambria"/>
        </w:rPr>
        <w:fldChar w:fldCharType="end"/>
      </w:r>
      <w:r w:rsidRPr="00531789">
        <w:rPr>
          <w:rFonts w:ascii="Cambria" w:hAnsi="Cambria"/>
        </w:rPr>
        <w:t xml:space="preserve"> and here</w:t>
      </w:r>
      <w:r>
        <w:rPr>
          <w:rFonts w:ascii="Cambria" w:hAnsi="Cambria"/>
        </w:rPr>
        <w:t xml:space="preserve"> the net nitrogen uptake rates a</w:t>
      </w:r>
      <w:r w:rsidRPr="00531789">
        <w:rPr>
          <w:rFonts w:ascii="Cambria" w:hAnsi="Cambria"/>
        </w:rPr>
        <w:t>re very similar for annual and perennial barley, alth</w:t>
      </w:r>
      <w:r>
        <w:rPr>
          <w:rFonts w:ascii="Cambria" w:hAnsi="Cambria"/>
        </w:rPr>
        <w:t>ough the perennial never matches</w:t>
      </w:r>
      <w:r w:rsidRPr="00531789">
        <w:rPr>
          <w:rFonts w:ascii="Cambria" w:hAnsi="Cambria"/>
        </w:rPr>
        <w:t xml:space="preserve"> the RGR of the annual.  LMR (Table 1) and RGR (Fig. 2) </w:t>
      </w:r>
      <w:r>
        <w:rPr>
          <w:rFonts w:ascii="Cambria" w:hAnsi="Cambria"/>
        </w:rPr>
        <w:t>a</w:t>
      </w:r>
      <w:r w:rsidRPr="00531789">
        <w:rPr>
          <w:rFonts w:ascii="Cambria" w:hAnsi="Cambria"/>
        </w:rPr>
        <w:t>re both higher in the annual, such that LAR</w:t>
      </w:r>
      <w:r>
        <w:rPr>
          <w:rFonts w:ascii="Cambria" w:hAnsi="Cambria"/>
        </w:rPr>
        <w:t xml:space="preserve"> (the product of SLA and LMR) does</w:t>
      </w:r>
      <w:r w:rsidRPr="00531789">
        <w:rPr>
          <w:rFonts w:ascii="Cambria" w:hAnsi="Cambria"/>
        </w:rPr>
        <w:t xml:space="preserve"> not differ between species (Table 2).  Whilst SLA tends to be the major contributor to LAR and thus RGR in herbaceous species </w:t>
      </w:r>
      <w:r w:rsidRPr="00531789">
        <w:rPr>
          <w:rFonts w:ascii="Cambria" w:hAnsi="Cambria"/>
        </w:rPr>
        <w:fldChar w:fldCharType="begin" w:fldLock="1"/>
      </w:r>
      <w:r w:rsidRPr="00531789">
        <w:rPr>
          <w:rFonts w:ascii="Cambria" w:hAnsi="Cambria"/>
        </w:rPr>
        <w:instrText>ADDIN CSL_CITATION { "citationItems" : [ { "id" : "ITEM-1", "itemData" : { "author" : [ { "dropping-particle" : "", "family" : "Poorter", "given" : "Hendrik", "non-dropping-particle" : "", "parse-names" : false, "suffix" : "" }, { "dropping-particle" : "", "family" : "Werf", "given" : "Adrie", "non-dropping-particle" : "van der", "parse-names" : false, "suffix" : "" } ], "container-title" : "Inherent variation in plant growth. Physiological mechanisms and ecological consequences.", "editor" : [ { "dropping-particle" : "", "family" : "Lambers", "given" : "H", "non-dropping-particle" : "", "parse-names" : false, "suffix" : "" }, { "dropping-particle" : "", "family" : "Poorter", "given" : "H", "non-dropping-particle" : "", "parse-names" : false, "suffix" : "" }, { "dropping-particle" : "", "family" : "Vuuren", "given" : "MMI", "non-dropping-particle" : "van", "parse-names" : false, "suffix" : "" } ], "id" : "ITEM-1", "issued" : { "date-parts" : [ [ "1998" ] ] }, "page" : "309-336", "publisher" : "Backhuys Publishers", "publisher-place" : "Leiden", "title" : "Is inherent variation in RGR determined by LAR at low irradiance and by NAR at high irradiance? A review of herbaceous species", "type" : "chapter" }, "uris" : [ "http://www.mendeley.com/documents/?uuid=567ae1e6-0f89-4e44-a8c6-1843807a5423" ] } ], "mendeley" : { "formattedCitation" : "(Poorter and van der Werf, 1998)", "plainTextFormattedCitation" : "(Poorter and van der Werf, 1998)", "previouslyFormattedCitation" : "(Poorter and van der Werf, 1998)"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(Poorter and van der Werf, 1998)</w:t>
      </w:r>
      <w:r w:rsidRPr="00531789">
        <w:rPr>
          <w:rFonts w:ascii="Cambria" w:hAnsi="Cambria"/>
        </w:rPr>
        <w:fldChar w:fldCharType="end"/>
      </w:r>
      <w:r w:rsidRPr="00531789">
        <w:rPr>
          <w:rFonts w:ascii="Cambria" w:hAnsi="Cambria"/>
        </w:rPr>
        <w:t xml:space="preserve">, some studies have found that RGR correlates with LMR rather than SLA </w:t>
      </w:r>
      <w:r w:rsidRPr="00531789">
        <w:rPr>
          <w:rFonts w:ascii="Cambria" w:hAnsi="Cambria"/>
        </w:rPr>
        <w:fldChar w:fldCharType="begin" w:fldLock="1"/>
      </w:r>
      <w:r w:rsidRPr="00531789">
        <w:rPr>
          <w:rFonts w:ascii="Cambria" w:hAnsi="Cambria"/>
        </w:rPr>
        <w:instrText>ADDIN CSL_CITATION { "citationItems" : [ { "id" : "ITEM-1", "itemData" : { "author" : [ { "dropping-particle" : "", "family" : "Garnier", "given" : "Eric", "non-dropping-particle" : "", "parse-names" : false, "suffix" : "" } ], "container-title" : "Journal of Ecology", "id" : "ITEM-1", "issue" : "4", "issued" : { "date-parts" : [ [ "1992" ] ] }, "page" : "665-675", "title" : "Growth analysis of congeneric annual and perennial grass species", "type" : "article-journal", "volume" : "80" }, "uris" : [ "http://www.mendeley.com/documents/?uuid=43ba0b50-96bc-47c7-920b-c43335d07d77" ] } ], "mendeley" : { "formattedCitation" : "(Garnier, 1992)", "manualFormatting" : "(references within Garnier, 1992)", "plainTextFormattedCitation" : "(Garnier, 1992)", "previouslyFormattedCitation" : "(Garnier, 1992)"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(references within Garnier, 1992)</w:t>
      </w:r>
      <w:r w:rsidRPr="00531789">
        <w:rPr>
          <w:rFonts w:ascii="Cambria" w:hAnsi="Cambria"/>
        </w:rPr>
        <w:fldChar w:fldCharType="end"/>
      </w:r>
      <w:r w:rsidRPr="00531789">
        <w:rPr>
          <w:rFonts w:ascii="Cambria" w:hAnsi="Cambria"/>
        </w:rPr>
        <w:t xml:space="preserve">, which is consistent with the higher LMR and higher RGR seen here for annual barley.  Two further points of contention, which go beyond the scope of this study but are of interest here, are whether RGR regulates resource uptake or </w:t>
      </w:r>
      <w:r w:rsidRPr="0079342F">
        <w:rPr>
          <w:rFonts w:ascii="Cambria" w:hAnsi="Cambria"/>
          <w:i/>
        </w:rPr>
        <w:t>vice versa</w:t>
      </w:r>
      <w:r w:rsidRPr="00531789">
        <w:rPr>
          <w:rFonts w:ascii="Cambria" w:hAnsi="Cambria"/>
        </w:rPr>
        <w:t xml:space="preserve"> </w:t>
      </w:r>
      <w:r w:rsidRPr="00531789">
        <w:rPr>
          <w:rFonts w:ascii="Cambria" w:hAnsi="Cambria"/>
        </w:rPr>
        <w:fldChar w:fldCharType="begin" w:fldLock="1"/>
      </w:r>
      <w:r>
        <w:rPr>
          <w:rFonts w:ascii="Cambria" w:hAnsi="Cambria"/>
        </w:rPr>
        <w:instrText>ADDIN CSL_CITATION { "citationItems" : [ { "id" : "ITEM-1", "itemData" : { "DOI" : "10.1111/j.1399-3054.1988.tb06632.x", "ISBN" : "1399-3054", "ISSN" : "0031-9317", "abstract" : "Six Argentine wheat cultivars grown in nutrient solutions in a controlled environment were compared for their nitrate uptake rates on a root dry weight basis. Up to 3-fold differences were observed among the cultivars at 16, 20 and 24 days from germination, either when measured by depletion from the nutrient solution in short-term experiments, or by total N accumulation in the tissue during 8 days. Although the cultivars showed significant differences in shoot/root ratio and nitrate reductase activity in the roots, none of these parameters was correlated with the nitrate uptake rate. However, nitrate uptake was positively correlated (r = 0.99) with the shoot relative growth rate. The 3 cultivars with the highest nitrate uptake rates and relative growth rates (Klein Chamaco, Klein Atalaya and Leones INTA) showed a positive correlation between root nitrate concentration and uptake; this correlation was not found in Norkin Irupe, Trigal 800 and La Paz INTA, with the lowest growth and uptake rates. The results indicated that the difference in nitrate uptake rate among the cultivars may only be a consequence of their differences in growth rate, and it is suggested that at least 2 mechanisms regulate nitrate uptake, one working when plant demand is low and another when demand is high.", "author" : [ { "dropping-particle" : "", "family" : "Rodgers", "given" : "C O", "non-dropping-particle" : "", "parse-names" : false, "suffix" : "" }, { "dropping-particle" : "", "family" : "Barneix", "given" : "A J", "non-dropping-particle" : "", "parse-names" : false, "suffix" : "" } ], "container-title" : "Physiologia Plantarum", "id" : "ITEM-1", "issue" : "1", "issued" : { "date-parts" : [ [ "1988" ] ] }, "page" : "121-126", "title" : "Cultivar differences in the rate of nitrate uptake by intact wheat plants as related to growth rate", "type" : "article-journal", "volume" : "72" }, "uris" : [ "http://www.mendeley.com/documents/?uuid=677ce4df-9242-411f-92f0-502c8c850b51" ] }, { "id" : "ITEM-2", "itemData" : { "author" : [ { "dropping-particle" : "", "family" : "Garnier", "given" : "E.", "non-dropping-particle" : "", "parse-names" : false, "suffix" : "" }, { "dropping-particle" : "", "family" : "Koch", "given" : "G.W.", "non-dropping-particle" : "", "parse-names" : false, "suffix" : "" }, { "dropping-particle" : "", "family" : "Roy", "given" : "J.", "non-dropping-particle" : "", "parse-names" : false, "suffix" : "" }, { "dropping-particle" : "", "family" : "Mooney", "given" : "H.A.", "non-dropping-particle" : "", "parse-names" : false, "suffix" : "" } ], "container-title" : "Oecologia", "id" : "ITEM-2", "issue" : "4", "issued" : { "date-parts" : [ [ "1989" ] ] }, "page" : "542-550", "title" : "Responses of wild plants to nitrate availability", "type" : "article-journal", "volume" : "79" }, "uris" : [ "http://www.mendeley.com/documents/?uuid=a21d0d74-fe6c-4a9e-9501-97751865a7be" ] } ], "mendeley" : { "formattedCitation" : "(Rodgers and Barneix, 1988; Garnier &lt;i&gt;et al.&lt;/i&gt;, 1989)", "manualFormatting" : "(e.g. Rodgers and Barneix, 1988; Garnier et al., 1989)", "plainTextFormattedCitation" : "(Rodgers and Barneix, 1988; Garnier et al., 1989)", "previouslyFormattedCitation" : "(Rodgers and Barneix, 1988; Garnier &lt;i&gt;et al.&lt;/i&gt;, 1989)"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(e.g. Rodgers and Barneix, 1988; Garnier et al., 1989)</w:t>
      </w:r>
      <w:r w:rsidRPr="00531789">
        <w:rPr>
          <w:rFonts w:ascii="Cambria" w:hAnsi="Cambria"/>
        </w:rPr>
        <w:fldChar w:fldCharType="end"/>
      </w:r>
      <w:r w:rsidRPr="00531789">
        <w:rPr>
          <w:rFonts w:ascii="Cambria" w:hAnsi="Cambria"/>
        </w:rPr>
        <w:t xml:space="preserve">, and the extent to which uptake is regulated by demand </w:t>
      </w:r>
      <w:r w:rsidRPr="00531789">
        <w:rPr>
          <w:rFonts w:ascii="Cambria" w:hAnsi="Cambria"/>
        </w:rPr>
        <w:fldChar w:fldCharType="begin" w:fldLock="1"/>
      </w:r>
      <w:r>
        <w:rPr>
          <w:rFonts w:ascii="Cambria" w:hAnsi="Cambria"/>
        </w:rPr>
        <w:instrText>ADDIN CSL_CITATION { "citationItems" : [ { "id" : "ITEM-1", "itemData" : { "DOI" : "10.1371/journal.pone.0120291", "ISSN" : "19326203", "PMID" : "25798624", "abstract" : "In bread wheat (Triticum aestivum L.), the simultaneous improvement of both yield and grain protein is difficult because of the strong negative relationship between these two traits. However, some genotypes deviate positively from this relationship and this has been linked to their ability to take up nitrogen (N) during the post-flowering period, regardless of their N status at flowering. The physiological and genetic determinants of post-flowering N uptake relating to N satiety are poorly understood. This study uses semi-hydroponic culture of cv. R\u00e9cital under controlled conditions to explore these controls. The first objective was to record the effects of contrasting N status at flowering on post-flowering nitrate (NO3-) uptake under non-limiting NO3- conditions, while following the expression of key genes involved in NO3- uptake and assimilation. We found that post-flowering NO3- uptake was strongly influenced by plant N status at flowering during the first 300-400 degree-days after flowering, overlapping with a probable regulation of nitrate uptake exerted by N demand for growth. The uptake of NO3- correlated well with the expression of the gene TaNRT2.1, coding for a root NO3- transporter, which seems to play a major role in post-flowering NO3- uptake. These results provide a useful knowledge base for future investigation of genetic variability in post-flowering N uptake and may lead to concomitant gains in both grain yield and grain protein in wheat.", "author" : [ { "dropping-particle" : "", "family" : "Taulemesse", "given" : "Francois", "non-dropping-particle" : "", "parse-names" : false, "suffix" : "" }, { "dropping-particle" : "", "family" : "Gouis", "given" : "Jacques", "non-dropping-particle" : "Le", "parse-names" : false, "suffix" : "" }, { "dropping-particle" : "", "family" : "Gouache", "given" : "David", "non-dropping-particle" : "", "parse-names" : false, "suffix" : "" }, { "dropping-particle" : "", "family" : "Gibon", "given" : "Yves", "non-dropping-particle" : "", "parse-names" : false, "suffix" : "" }, { "dropping-particle" : "", "family" : "Allard", "given" : "Vincent", "non-dropping-particle" : "", "parse-names" : false, "suffix" : "" } ], "container-title" : "PLoS ONE", "id" : "ITEM-1", "issue" : "3", "issued" : { "date-parts" : [ [ "2015" ] ] }, "page" : "1-23", "title" : "Post-flowering nitrate uptake in wheat is controlled by N Status at Flowering, with a putative major role of root nitrate transporter NRT2.1", "type" : "article-journal", "volume" : "10" }, "uris" : [ "http://www.mendeley.com/documents/?uuid=5e6fcb31-e2c7-4b25-aaf0-2671b2f21a6f" ] } ], "mendeley" : { "formattedCitation" : "(Taulemesse &lt;i&gt;et al.&lt;/i&gt;, 2015)", "plainTextFormattedCitation" : "(Taulemesse et al., 2015)", "previouslyFormattedCitation" : "(Taulemesse &lt;i&gt;et al.&lt;/i&gt;, 2015)"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(Taulemesse </w:t>
      </w:r>
      <w:r w:rsidRPr="002C5907">
        <w:rPr>
          <w:rFonts w:ascii="Cambria" w:hAnsi="Cambria"/>
          <w:i/>
          <w:noProof/>
        </w:rPr>
        <w:t>et al.</w:t>
      </w:r>
      <w:r w:rsidRPr="002C5907">
        <w:rPr>
          <w:rFonts w:ascii="Cambria" w:hAnsi="Cambria"/>
          <w:noProof/>
        </w:rPr>
        <w:t>, 2015)</w:t>
      </w:r>
      <w:r w:rsidRPr="00531789">
        <w:rPr>
          <w:rFonts w:ascii="Cambria" w:hAnsi="Cambria"/>
        </w:rPr>
        <w:fldChar w:fldCharType="end"/>
      </w:r>
      <w:r w:rsidRPr="00531789">
        <w:rPr>
          <w:rFonts w:ascii="Cambria" w:hAnsi="Cambria"/>
        </w:rPr>
        <w:t xml:space="preserve">.  Indeed, nitrate itself is an important regulator of nitrogen uptake </w:t>
      </w:r>
      <w:r w:rsidRPr="00531789">
        <w:rPr>
          <w:rFonts w:ascii="Cambria" w:hAnsi="Cambria"/>
        </w:rPr>
        <w:fldChar w:fldCharType="begin" w:fldLock="1"/>
      </w:r>
      <w:r>
        <w:rPr>
          <w:rFonts w:ascii="Cambria" w:hAnsi="Cambria"/>
        </w:rPr>
        <w:instrText>ADDIN CSL_CITATION { "citationItems" : [ { "id" : "ITEM-1", "itemData" : { "DOI" : "10.1093/aob/mcq028", "ISBN" : "0305-7364", "ISSN" : "03057364", "PMID" : "20299346", "abstract" : "Productive agriculture needs a large amount of expensive nitrogenous fertilizers. Improving nitrogen use efficiency (NUE) of crop plants is thus of key importance. NUE definitions differ depending on whether plants are cultivated to produce biomass or grain yields. However, for most plant species, NUE mainly depends on how plants extract inorganic nitrogen from the soil, assimilate nitrate and ammonium, and recycle organic nitrogen. Efforts have been made to study the genetic basis as well as the biochemical and enzymatic mechanisms involved in nitrogen uptake, assimilation, and remobilization in crops and model plants. The detection of the limiting factors that could be manipulated to increase NUE is the major goal of such research.", "author" : [ { "dropping-particle" : "", "family" : "Masclaux-Daubresse", "given" : "C\u00e9line", "non-dropping-particle" : "", "parse-names" : false, "suffix" : "" }, { "dropping-particle" : "", "family" : "Daniel-Vedele", "given" : "Franoise", "non-dropping-particle" : "", "parse-names" : false, "suffix" : "" }, { "dropping-particle" : "", "family" : "Dechorgnat", "given" : "Julie", "non-dropping-particle" : "", "parse-names" : false, "suffix" : "" }, { "dropping-particle" : "", "family" : "Chardon", "given" : "Fabien", "non-dropping-particle" : "", "parse-names" : false, "suffix" : "" }, { "dropping-particle" : "", "family" : "Gaufichon", "given" : "Laure", "non-dropping-particle" : "", "parse-names" : false, "suffix" : "" }, { "dropping-particle" : "", "family" : "Suzuki", "given" : "Akira", "non-dropping-particle" : "", "parse-names" : false, "suffix" : "" } ], "container-title" : "Annals of Botany", "id" : "ITEM-1", "issue" : "7", "issued" : { "date-parts" : [ [ "2010" ] ] }, "page" : "1141-1157", "title" : "Nitrogen uptake, assimilation and remobilization in plants: Challenges for sustainable and productive agriculture", "type" : "article-journal", "volume" : "105" }, "uris" : [ "http://www.mendeley.com/documents/?uuid=b92ca514-eac6-4c5b-98a3-db622e6a4797" ] } ], "mendeley" : { "formattedCitation" : "(Masclaux-Daubresse &lt;i&gt;et al.&lt;/i&gt;, 2010)", "plainTextFormattedCitation" : "(Masclaux-Daubresse et al., 2010)", "previouslyFormattedCitation" : "(Masclaux-Daubresse &lt;i&gt;et al.&lt;/i&gt;, 2010)"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(Masclaux-Daubresse </w:t>
      </w:r>
      <w:r w:rsidRPr="002C5907">
        <w:rPr>
          <w:rFonts w:ascii="Cambria" w:hAnsi="Cambria"/>
          <w:i/>
          <w:noProof/>
        </w:rPr>
        <w:t>et al.</w:t>
      </w:r>
      <w:r w:rsidRPr="002C5907">
        <w:rPr>
          <w:rFonts w:ascii="Cambria" w:hAnsi="Cambria"/>
          <w:noProof/>
        </w:rPr>
        <w:t>, 2010)</w:t>
      </w:r>
      <w:r w:rsidRPr="00531789">
        <w:rPr>
          <w:rFonts w:ascii="Cambria" w:hAnsi="Cambria"/>
        </w:rPr>
        <w:fldChar w:fldCharType="end"/>
      </w:r>
      <w:r w:rsidRPr="00531789">
        <w:rPr>
          <w:rFonts w:ascii="Cambria" w:hAnsi="Cambria"/>
        </w:rPr>
        <w:t>.  In addition to elucidating the relative contribution of nitrogen source and sink to growth, a deeper understanding of the molecular drivers that underpin regulation of nutrient uptake will be an important component of improving nitrogen use efficiency.</w:t>
      </w:r>
    </w:p>
    <w:p w14:paraId="5D7E2486" w14:textId="77777777" w:rsidR="00DF4522" w:rsidRPr="00531789" w:rsidRDefault="00DF4522" w:rsidP="00DF4522">
      <w:pPr>
        <w:spacing w:line="360" w:lineRule="auto"/>
        <w:jc w:val="both"/>
        <w:rPr>
          <w:rFonts w:ascii="Cambria" w:hAnsi="Cambria"/>
        </w:rPr>
      </w:pPr>
    </w:p>
    <w:p w14:paraId="547A0928" w14:textId="2213C334" w:rsidR="00DF4522" w:rsidRPr="00531789" w:rsidRDefault="00DF4522" w:rsidP="00DF4522">
      <w:pPr>
        <w:spacing w:line="360" w:lineRule="auto"/>
        <w:jc w:val="both"/>
        <w:rPr>
          <w:rFonts w:ascii="Cambria" w:hAnsi="Cambria"/>
        </w:rPr>
      </w:pPr>
      <w:r w:rsidRPr="00531789">
        <w:rPr>
          <w:rFonts w:ascii="Cambria" w:hAnsi="Cambria"/>
        </w:rPr>
        <w:t xml:space="preserve">It is important to note the assumption that only the labelled nitrogen fed 24 hours before harvest would be taken up during that time.  Plants were grown in large pots and it was assumed that nitrogen would be evenly distributed and depleted around the roots.  Since the substrate was not flushed out with nitrogen-free liquid before </w:t>
      </w:r>
      <w:r w:rsidRPr="00531789">
        <w:rPr>
          <w:rFonts w:ascii="Cambria" w:hAnsi="Cambria"/>
          <w:vertAlign w:val="superscript"/>
        </w:rPr>
        <w:t>15</w:t>
      </w:r>
      <w:r w:rsidRPr="00531789">
        <w:rPr>
          <w:rFonts w:ascii="Cambria" w:hAnsi="Cambria"/>
        </w:rPr>
        <w:t xml:space="preserve">N-labelled Long Ashton’s was fed, it is possible that some nitrogen from earlier feeds would have been taken up too and the measurement of uptake rate would thus not encompass all nitrogen that was taken up during the 24 hours before harvest. </w:t>
      </w:r>
      <w:r w:rsidR="0047399B">
        <w:rPr>
          <w:rFonts w:ascii="Cambria" w:hAnsi="Cambria"/>
        </w:rPr>
        <w:t xml:space="preserve"> </w:t>
      </w:r>
      <w:r w:rsidRPr="00531789">
        <w:rPr>
          <w:rFonts w:ascii="Cambria" w:hAnsi="Cambria"/>
        </w:rPr>
        <w:t xml:space="preserve">It is </w:t>
      </w:r>
      <w:r>
        <w:rPr>
          <w:rFonts w:ascii="Cambria" w:hAnsi="Cambria"/>
        </w:rPr>
        <w:t xml:space="preserve">also </w:t>
      </w:r>
      <w:r w:rsidRPr="00531789">
        <w:rPr>
          <w:rFonts w:ascii="Cambria" w:hAnsi="Cambria"/>
        </w:rPr>
        <w:t xml:space="preserve">possible that this creates further bias, if for example there was more </w:t>
      </w:r>
      <w:r>
        <w:rPr>
          <w:rFonts w:ascii="Cambria" w:hAnsi="Cambria"/>
        </w:rPr>
        <w:t>nitrogen r</w:t>
      </w:r>
      <w:r w:rsidRPr="00531789">
        <w:rPr>
          <w:rFonts w:ascii="Cambria" w:hAnsi="Cambria"/>
        </w:rPr>
        <w:t xml:space="preserve">emaining in pots exposed to the 100% nitrogen treatment than in those exposed to 1% nitrogen, such that the uptake rate at 100% nitrogen would be underestimated compared to at 1% nitrogen due to this dilution effect. </w:t>
      </w:r>
    </w:p>
    <w:p w14:paraId="68BE2A55" w14:textId="77777777" w:rsidR="00DF4522" w:rsidRDefault="00DF4522" w:rsidP="00DF4522">
      <w:pPr>
        <w:spacing w:line="360" w:lineRule="auto"/>
        <w:jc w:val="both"/>
        <w:rPr>
          <w:rFonts w:ascii="Cambria" w:hAnsi="Cambria"/>
        </w:rPr>
      </w:pPr>
    </w:p>
    <w:p w14:paraId="626AE0CF" w14:textId="77777777" w:rsidR="00DF4522" w:rsidRPr="00531789" w:rsidRDefault="00DF4522" w:rsidP="00DF4522">
      <w:pPr>
        <w:spacing w:line="360" w:lineRule="auto"/>
        <w:jc w:val="both"/>
        <w:rPr>
          <w:rFonts w:ascii="Cambria" w:hAnsi="Cambria"/>
          <w:b/>
        </w:rPr>
      </w:pPr>
      <w:r w:rsidRPr="00531789">
        <w:rPr>
          <w:rFonts w:ascii="Cambria" w:hAnsi="Cambria"/>
          <w:b/>
        </w:rPr>
        <w:t>Nitrate is a key store for excess nitrogen</w:t>
      </w:r>
    </w:p>
    <w:p w14:paraId="393F4E8D" w14:textId="77777777" w:rsidR="00DF4522" w:rsidRPr="00531789" w:rsidRDefault="00DF4522" w:rsidP="00DF4522">
      <w:pPr>
        <w:spacing w:line="360" w:lineRule="auto"/>
        <w:jc w:val="both"/>
        <w:rPr>
          <w:rFonts w:ascii="Cambria" w:hAnsi="Cambria"/>
        </w:rPr>
      </w:pPr>
    </w:p>
    <w:p w14:paraId="4CB53989" w14:textId="77777777" w:rsidR="00DF4522" w:rsidRPr="00531789" w:rsidRDefault="00DF4522" w:rsidP="00DF4522">
      <w:pPr>
        <w:spacing w:line="360" w:lineRule="auto"/>
        <w:jc w:val="both"/>
        <w:rPr>
          <w:rFonts w:ascii="Cambria" w:hAnsi="Cambria"/>
        </w:rPr>
      </w:pPr>
      <w:r w:rsidRPr="00531789">
        <w:rPr>
          <w:rFonts w:ascii="Cambria" w:hAnsi="Cambria"/>
        </w:rPr>
        <w:t xml:space="preserve">Nitrate shows a particularly strong response to nitrogen treatment (Fig. 5) because it is a labile store.  Nitrate also shows a strong response to nitrogen treatment in wheat </w:t>
      </w:r>
      <w:r w:rsidRPr="00531789">
        <w:rPr>
          <w:rFonts w:ascii="Cambria" w:hAnsi="Cambria"/>
        </w:rPr>
        <w:fldChar w:fldCharType="begin" w:fldLock="1"/>
      </w:r>
      <w:r>
        <w:rPr>
          <w:rFonts w:ascii="Cambria" w:hAnsi="Cambria"/>
        </w:rPr>
        <w:instrText>ADDIN CSL_CITATION { "citationItems" : [ { "id" : "ITEM-1", "itemData" : { "DOI" : "http://dx.doi.org/10.1093/jxb/45.5.677", "ISSN" : "00220957", "abstract" : "We have examined the long-term effects of NO3\u2212 concentrations on NO3\u2212 (15NO3\u2212) fluxes and cellular pool sizes in roots of intact 30-d-old wheat (Triticum aestivum cv. Courtot) grown hydroponically. Compartmental analysis was performed under steady-state conditions at five different levels of NO3\u2212 concentration (from 0.1 up to 5 mol m\u22123 taking into account metabolism and secretion into the xylem (Devienne et al., 1994). Nitrate and reduced nitrogen levels in the tissues were largely independent of external NO3\u2212 concentration although below 1.5 mol m\u22123 NO3\u2212; concentration limited plant growth. In the chamber, marked diurnal variations in net uptake occurred and, in the light, higher NO3\u2212 concentrations yielded higher NO3\u2212 uptake rates. After transfer of the plants to the laboratory, the increase in net uptake linked to elevation of NO3\u2212; concentrations was even larger (from 0.1 to 8.8\u03bcmol h\u22121 g\u22121 FW) as a result of a marked increase (\u00d7 10\u201311) in the unidirectional influx at the plasmalemma while NO3\u2212 efflux was less enhanced (\u00d7 4\u20135). Under these conditions, influx into the vacuole was also higher (\u00d7 2\u20134) while efflux from the vacuole was little affected (\u00d7 1\u20133). NO3\u2212 concentrations within the cell compartments were estimated under the classical assumptions. The vacuolar concentration was a little modified by NO3\u2212 availability whereas that in the cytosol increased from about 10 mol m\u22123 to about 20 mol m\u22123 indicating that (1) the absolute value for the cytosol was high and (2) it displayed only a small increase despite very large changes in NO3\u2212 fluxes. NO3\u2212 distribution within the cells did not seem to involve an active accumulation of NO3\u2212 in the vacuole", "author" : [ { "dropping-particle" : "", "family" : "Devienne", "given" : "F.", "non-dropping-particle" : "", "parse-names" : false, "suffix" : "" }, { "dropping-particle" : "", "family" : "Mary", "given" : "B.", "non-dropping-particle" : "", "parse-names" : false, "suffix" : "" }, { "dropping-particle" : "", "family" : "Lamaze", "given" : "Thierry", "non-dropping-particle" : "", "parse-names" : false, "suffix" : "" } ], "container-title" : "Journal of Experimental Botany", "id" : "ITEM-1", "issue" : "5", "issued" : { "date-parts" : [ [ "1994" ] ] }, "page" : "677-684", "title" : "Nitrate Transport in Intact Wheat Roots: II. Long-term Effects of NO3- Concentration in the Nutrient Solution on NO3- Unidirectional Fluxes and Distribution Within the Tissues", "type" : "article-journal", "volume" : "45" }, "uris" : [ "http://www.mendeley.com/documents/?uuid=fef62246-d1dc-4270-9454-b7ccd5b3e415" ] } ], "mendeley" : { "formattedCitation" : "(Devienne &lt;i&gt;et al.&lt;/i&gt;, 1994&lt;i&gt;b&lt;/i&gt;)", "plainTextFormattedCitation" : "(Devienne et al., 1994b)", "previouslyFormattedCitation" : "(Devienne &lt;i&gt;et al.&lt;/i&gt;, 1994&lt;i&gt;b&lt;/i&gt;)"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(Devienne </w:t>
      </w:r>
      <w:r w:rsidRPr="002C5907">
        <w:rPr>
          <w:rFonts w:ascii="Cambria" w:hAnsi="Cambria"/>
          <w:i/>
          <w:noProof/>
        </w:rPr>
        <w:t>et al.</w:t>
      </w:r>
      <w:r w:rsidRPr="002C5907">
        <w:rPr>
          <w:rFonts w:ascii="Cambria" w:hAnsi="Cambria"/>
          <w:noProof/>
        </w:rPr>
        <w:t>, 1994</w:t>
      </w:r>
      <w:r w:rsidRPr="002C5907">
        <w:rPr>
          <w:rFonts w:ascii="Cambria" w:hAnsi="Cambria"/>
          <w:i/>
          <w:noProof/>
        </w:rPr>
        <w:t>b</w:t>
      </w:r>
      <w:r w:rsidRPr="002C5907">
        <w:rPr>
          <w:rFonts w:ascii="Cambria" w:hAnsi="Cambria"/>
          <w:noProof/>
        </w:rPr>
        <w:t>)</w:t>
      </w:r>
      <w:r w:rsidRPr="00531789">
        <w:rPr>
          <w:rFonts w:ascii="Cambria" w:hAnsi="Cambria"/>
        </w:rPr>
        <w:fldChar w:fldCharType="end"/>
      </w:r>
      <w:r w:rsidRPr="00531789">
        <w:rPr>
          <w:rFonts w:ascii="Cambria" w:hAnsi="Cambria"/>
        </w:rPr>
        <w:t xml:space="preserve"> and </w:t>
      </w:r>
      <w:r w:rsidRPr="00531789">
        <w:rPr>
          <w:rFonts w:ascii="Cambria" w:hAnsi="Cambria"/>
          <w:i/>
        </w:rPr>
        <w:t>Arabidopsis</w:t>
      </w:r>
      <w:r w:rsidRPr="00531789">
        <w:rPr>
          <w:rFonts w:ascii="Cambria" w:hAnsi="Cambria"/>
        </w:rPr>
        <w:t xml:space="preserve"> </w:t>
      </w:r>
      <w:r w:rsidRPr="00531789">
        <w:rPr>
          <w:rFonts w:ascii="Cambria" w:hAnsi="Cambria"/>
        </w:rPr>
        <w:fldChar w:fldCharType="begin" w:fldLock="1"/>
      </w:r>
      <w:r>
        <w:rPr>
          <w:rFonts w:ascii="Cambria" w:hAnsi="Cambria"/>
        </w:rPr>
        <w:instrText>ADDIN CSL_CITATION { "citationItems" : [ { "id" : "ITEM-1", "itemData" : { "DOI" : "10.1111/j.1365-3040.2008.01921.x", "ISBN" : "0140-7791", "ISSN" : "01407791", "PMID" : "19054347", "abstract" : "We have established a simple soil-based experimental system that allows a small and sustained restriction of growth of Arabidopsis by low nitrogen (N). Plants were grown in a large volume of a peat-vermiculite mix that contained very low levels of inorganic N. As a control, inorganic N was added in solid form to the peat-vermiculite mix, or plants were grown in conventional nutrient-rich solids. The low N growth regime led to a sustained 20% decrease of the relative growth rate over a period of 2 weeks, resulting in a two- to threefold decrease in biomass in 35- to 40-day-old plants. Plants in the low N regime contained lower levels of nitrate, lower nitrate reductase activity, lower levels of malate, fumarate and other organic acids and slightly higher levels of starch, as expected from published studies of N-limited plants. However, their rosette protein content was unaltered, and total and many individual amino acid levels increased compared with N-replete plants. This metabolic phenotype reveals that Arabidopsis responds adaptively to low N by decreasing the rate of growth, while maintaining the overall protein content, and maintaining or even increasing the levels of many amino acids.", "author" : [ { "dropping-particle" : "", "family" : "Tschoep", "given" : "Hendrik", "non-dropping-particle" : "", "parse-names" : false, "suffix" : "" }, { "dropping-particle" : "", "family" : "Gibon", "given" : "Yves", "non-dropping-particle" : "", "parse-names" : false, "suffix" : "" }, { "dropping-particle" : "", "family" : "Carillo", "given" : "Petronia", "non-dropping-particle" : "", "parse-names" : false, "suffix" : "" }, { "dropping-particle" : "", "family" : "Armengaud", "given" : "Patrick", "non-dropping-particle" : "", "parse-names" : false, "suffix" : "" }, { "dropping-particle" : "", "family" : "Szecowka", "given" : "Marek", "non-dropping-particle" : "", "parse-names" : false, "suffix" : "" }, { "dropping-particle" : "", "family" : "Nunes-Nesi", "given" : "Adriano", "non-dropping-particle" : "", "parse-names" : false, "suffix" : "" }, { "dropping-particle" : "", "family" : "Fernie", "given" : "Alisdair R.", "non-dropping-particle" : "", "parse-names" : false, "suffix" : "" }, { "dropping-particle" : "", "family" : "Koehl", "given" : "Karin", "non-dropping-particle" : "", "parse-names" : false, "suffix" : "" }, { "dropping-particle" : "", "family" : "Stitt", "given" : "Mark", "non-dropping-particle" : "", "parse-names" : false, "suffix" : "" } ], "container-title" : "Plant, Cell and Environment", "id" : "ITEM-1", "issue" : "3", "issued" : { "date-parts" : [ [ "2009" ] ] }, "page" : "300-318", "title" : "Adjustment of growth and central metabolism to a mild but sustained nitrogen-limitation in Arabidopsis", "type" : "article-journal", "volume" : "32" }, "uris" : [ "http://www.mendeley.com/documents/?uuid=a1b5efe4-01e2-46dc-9876-e0a6d891bcac" ] } ], "mendeley" : { "formattedCitation" : "(Tschoep &lt;i&gt;et al.&lt;/i&gt;, 2009)", "plainTextFormattedCitation" : "(Tschoep et al., 2009)", "previouslyFormattedCitation" : "(Tschoep &lt;i&gt;et al.&lt;/i&gt;, 2009)"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(Tschoep </w:t>
      </w:r>
      <w:r w:rsidRPr="002C5907">
        <w:rPr>
          <w:rFonts w:ascii="Cambria" w:hAnsi="Cambria"/>
          <w:i/>
          <w:noProof/>
        </w:rPr>
        <w:t>et al.</w:t>
      </w:r>
      <w:r w:rsidRPr="002C5907">
        <w:rPr>
          <w:rFonts w:ascii="Cambria" w:hAnsi="Cambria"/>
          <w:noProof/>
        </w:rPr>
        <w:t>, 2009)</w:t>
      </w:r>
      <w:r w:rsidRPr="00531789">
        <w:rPr>
          <w:rFonts w:ascii="Cambria" w:hAnsi="Cambria"/>
        </w:rPr>
        <w:fldChar w:fldCharType="end"/>
      </w:r>
      <w:r w:rsidRPr="00531789">
        <w:rPr>
          <w:rFonts w:ascii="Cambria" w:hAnsi="Cambria"/>
        </w:rPr>
        <w:t xml:space="preserve"> and, along with protein, constitutes a key store for nitrogen in herbaceous plants </w:t>
      </w:r>
      <w:r w:rsidRPr="00531789">
        <w:rPr>
          <w:rFonts w:ascii="Cambria" w:hAnsi="Cambria"/>
        </w:rPr>
        <w:fldChar w:fldCharType="begin" w:fldLock="1"/>
      </w:r>
      <w:r w:rsidRPr="00531789">
        <w:rPr>
          <w:rFonts w:ascii="Cambria" w:hAnsi="Cambria"/>
        </w:rPr>
        <w:instrText>ADDIN CSL_CITATION { "citationItems" : [ { "id" : "ITEM-1", "itemData" : { "author" : [ { "dropping-particle" : "", "family" : "Millard", "given" : "P.", "non-dropping-particle" : "", "parse-names" : false, "suffix" : "" } ], "container-title" : "Plant, Cell &amp; Environment", "id" : "ITEM-1", "issued" : { "date-parts" : [ [ "1988" ] ] }, "page" : "1-8", "title" : "The accumulation and storage of nitrogen by herbaceous plants", "type" : "article-journal", "volume" : "11" }, "uris" : [ "http://www.mendeley.com/documents/?uuid=81023930-70fc-4fdb-9327-066de39c948d" ] } ], "mendeley" : { "formattedCitation" : "(Millard, 1988)", "plainTextFormattedCitation" : "(Millard, 1988)", "previouslyFormattedCitation" : "(Millard, 1988)"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(Millard, 1988)</w:t>
      </w:r>
      <w:r w:rsidRPr="00531789">
        <w:rPr>
          <w:rFonts w:ascii="Cambria" w:hAnsi="Cambria"/>
        </w:rPr>
        <w:fldChar w:fldCharType="end"/>
      </w:r>
      <w:r w:rsidRPr="00531789">
        <w:rPr>
          <w:rFonts w:ascii="Cambria" w:hAnsi="Cambria"/>
        </w:rPr>
        <w:t>.  Here, the raw material for nitrogen uptake is nitrate, and this is readily accumulated in plant tissues with relatively low cost since there is no assimilation cost (as would be required for converting nitrate into amino acids).  Accumulating nitrate therefore means that nitrogen can readily be acquired under high nitrogen treatment levels, even if carbon is limiting.  Such carbon limitation could quickly arise in young plants because greater leaf area is required in order to create the carbon skeletons needed for amino acid synthesis; in the leaf, nitrate accumulates with increasing nitrogen treatment 14 days after germination (Fig. 5A), but 42 days after germination amino acids accumulate instead (Fig. 5C) and also build up in the leaf sheath (Fig. 5E).  Compared to nitrate and amino acids, protein concentration remains relatively constant at all nitrogen treatment levels (Fig. 5).  Excess nitrogen is thus stored as nitrate or amino acids, or invested in growth, but is not used to elevate protein concentration.  The lack of an ontogenetic effect on leaf protein during vegetative growth is also notable (Fig. 5): rather than increase leaf protein concentration as leaves get older, plants create more leaf tissue and maintain the same protein concentrations.</w:t>
      </w:r>
    </w:p>
    <w:p w14:paraId="3DCE218E" w14:textId="77777777" w:rsidR="00DF4522" w:rsidRPr="00531789" w:rsidRDefault="00DF4522" w:rsidP="00DF4522">
      <w:pPr>
        <w:spacing w:line="360" w:lineRule="auto"/>
        <w:jc w:val="both"/>
        <w:rPr>
          <w:rFonts w:ascii="Cambria" w:hAnsi="Cambria"/>
        </w:rPr>
      </w:pPr>
    </w:p>
    <w:p w14:paraId="27EA167C" w14:textId="77777777" w:rsidR="00DF4522" w:rsidRPr="00531789" w:rsidRDefault="00DF4522" w:rsidP="00DF4522">
      <w:pPr>
        <w:spacing w:line="360" w:lineRule="auto"/>
        <w:jc w:val="both"/>
        <w:rPr>
          <w:rFonts w:ascii="Cambria" w:hAnsi="Cambria"/>
          <w:b/>
        </w:rPr>
      </w:pPr>
      <w:r w:rsidRPr="00531789">
        <w:rPr>
          <w:rFonts w:ascii="Cambria" w:hAnsi="Cambria"/>
          <w:b/>
        </w:rPr>
        <w:t>High nitrogen increases carbon source limitation</w:t>
      </w:r>
    </w:p>
    <w:p w14:paraId="5A6D5AFA" w14:textId="77777777" w:rsidR="00DF4522" w:rsidRPr="00531789" w:rsidRDefault="00DF4522" w:rsidP="00DF4522">
      <w:pPr>
        <w:spacing w:line="360" w:lineRule="auto"/>
        <w:jc w:val="both"/>
        <w:rPr>
          <w:rFonts w:ascii="Cambria" w:hAnsi="Cambria"/>
        </w:rPr>
      </w:pPr>
    </w:p>
    <w:p w14:paraId="3048110C" w14:textId="77777777" w:rsidR="00DF4522" w:rsidRPr="00531789" w:rsidRDefault="00DF4522" w:rsidP="00DF4522">
      <w:pPr>
        <w:spacing w:line="360" w:lineRule="auto"/>
        <w:jc w:val="both"/>
        <w:rPr>
          <w:rFonts w:ascii="Cambria" w:hAnsi="Cambria"/>
        </w:rPr>
      </w:pPr>
      <w:r w:rsidRPr="00531789">
        <w:rPr>
          <w:rFonts w:ascii="Cambria" w:hAnsi="Cambria"/>
        </w:rPr>
        <w:t xml:space="preserve">Total non-structural carbohydrate (TNC) concentration decreases when nitrogen treatment is increased from 20 to 100% in both species (Fig. 6) due to increasing carbon source limitation.  Both species show an increase in N concentration and a decrease in C:N ratio as the nitrogen treatment is increased (Fig. 7).  This corresponds with a shift from excess carbon to excess nitrogen in the plants, imposed by the nitrogen treatment: nitrogen limitation increases TNC concentration, and nitrogen excess reduces it </w:t>
      </w:r>
      <w:r w:rsidRPr="00531789">
        <w:rPr>
          <w:rFonts w:ascii="Cambria" w:hAnsi="Cambria"/>
        </w:rPr>
        <w:fldChar w:fldCharType="begin" w:fldLock="1"/>
      </w:r>
      <w:r w:rsidRPr="00531789">
        <w:rPr>
          <w:rFonts w:ascii="Cambria" w:hAnsi="Cambria"/>
        </w:rPr>
        <w:instrText>ADDIN CSL_CITATION { "citationItems" : [ { "id" : "ITEM-1", "itemData" : { "DOI" : "10.1046/j.1365-3040.1999.00386.x", "ISSN" : "0140-7791", "author" : [ { "dropping-particle" : "", "family" : "Stitt", "given" : "M.", "non-dropping-particle" : "", "parse-names" : false, "suffix" : "" }, { "dropping-particle" : "", "family" : "Krapp", "given" : "A.", "non-dropping-particle" : "", "parse-names" : false, "suffix" : "" } ], "container-title" : "Plant, Cell &amp; Environment", "id" : "ITEM-1", "issue" : "6", "issued" : { "date-parts" : [ [ "1999", "6" ] ] }, "page" : "583-621", "title" : "The interaction between elevated carbon dioxide and nitrogen nutrition: the physiological and molecular background", "type" : "article-journal", "volume" : "22" }, "uris" : [ "http://www.mendeley.com/documents/?uuid=12d0f917-f3d6-43c6-92fa-0d13f38659a0" ] } ], "mendeley" : { "formattedCitation" : "(Stitt and Krapp, 1999)", "plainTextFormattedCitation" : "(Stitt and Krapp, 1999)", "previouslyFormattedCitation" : "(Stitt and Krapp, 1999)"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(Stitt and Krapp, 1999)</w:t>
      </w:r>
      <w:r w:rsidRPr="00531789">
        <w:rPr>
          <w:rFonts w:ascii="Cambria" w:hAnsi="Cambria"/>
        </w:rPr>
        <w:fldChar w:fldCharType="end"/>
      </w:r>
      <w:r w:rsidRPr="00531789">
        <w:rPr>
          <w:rFonts w:ascii="Cambria" w:hAnsi="Cambria"/>
        </w:rPr>
        <w:t>.  However, this effect is observed when nitrogen treatment is increased from 1% to 20%, but not to 100% (Fig. 7) despite a high nitrate availability and uptake rate, suggesting that plants are reaching their maximum capacity for nitrogen storage.</w:t>
      </w:r>
    </w:p>
    <w:p w14:paraId="57C2C63C" w14:textId="77777777" w:rsidR="00DF4522" w:rsidRPr="00531789" w:rsidRDefault="00DF4522" w:rsidP="00DF4522">
      <w:pPr>
        <w:spacing w:line="360" w:lineRule="auto"/>
        <w:jc w:val="both"/>
        <w:rPr>
          <w:rFonts w:ascii="Cambria" w:hAnsi="Cambria"/>
        </w:rPr>
      </w:pPr>
    </w:p>
    <w:p w14:paraId="663BD392" w14:textId="0A44269A" w:rsidR="00DF4522" w:rsidRPr="00531789" w:rsidRDefault="00DF4522" w:rsidP="00DF4522">
      <w:pPr>
        <w:spacing w:line="360" w:lineRule="auto"/>
        <w:jc w:val="both"/>
        <w:rPr>
          <w:rFonts w:ascii="Cambria" w:hAnsi="Cambria"/>
        </w:rPr>
      </w:pPr>
      <w:r w:rsidRPr="00531789">
        <w:rPr>
          <w:rFonts w:ascii="Cambria" w:hAnsi="Cambria"/>
        </w:rPr>
        <w:t xml:space="preserve">The increase in leaf and sheath mass ratios in both species at higher nitrogen treatment levels (Table 1) enables greater acquisition of carbon, which becomes an increasingly limiting resource at higher nitrogen treatment levels; conversely, more biomass is allocated to roots in low nutrient environments </w:t>
      </w:r>
      <w:r w:rsidRPr="00531789">
        <w:rPr>
          <w:rFonts w:ascii="Cambria" w:hAnsi="Cambria"/>
        </w:rPr>
        <w:fldChar w:fldCharType="begin" w:fldLock="1"/>
      </w:r>
      <w:r w:rsidRPr="00531789">
        <w:rPr>
          <w:rFonts w:ascii="Cambria" w:hAnsi="Cambria"/>
        </w:rPr>
        <w:instrText>ADDIN CSL_CITATION { "citationItems" : [ { "id" : "ITEM-1", "itemData" : { "DOI" : "10.1016/S0065-2504(08)60016-1", "ISBN" : "0065-2504", "author" : [ { "dropping-particle" : "", "family" : "Aerts", "given" : "R", "non-dropping-particle" : "", "parse-names" : false, "suffix" : "" }, { "dropping-particle" : "", "family" : "Chapin", "given" : "F.S.", "non-dropping-particle" : "", "parse-names" : false, "suffix" : "" } ], "container-title" : "Advances in Ecological Research", "id" : "ITEM-1", "issued" : { "date-parts" : [ [ "2000" ] ] }, "page" : "1-67", "title" : "The mineral nutrition of wild plants revisited: a Re-evaluation of processes and patterns", "type" : "article-journal", "volume" : "30" }, "uris" : [ "http://www.mendeley.com/documents/?uuid=78864d17-4b0b-47d3-980a-c2188ad14edb" ] } ], "mendeley" : { "formattedCitation" : "(Aerts and Chapin, 2000)", "plainTextFormattedCitation" : "(Aerts and Chapin, 2000)", "previouslyFormattedCitation" : "(Aerts and Chapin, 2000)"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(Aerts and Chapin, 2000)</w:t>
      </w:r>
      <w:r w:rsidRPr="00531789">
        <w:rPr>
          <w:rFonts w:ascii="Cambria" w:hAnsi="Cambria"/>
        </w:rPr>
        <w:fldChar w:fldCharType="end"/>
      </w:r>
      <w:r w:rsidRPr="00531789">
        <w:rPr>
          <w:rFonts w:ascii="Cambria" w:hAnsi="Cambria"/>
        </w:rPr>
        <w:t xml:space="preserve">.  Not only does leaf mass ratio increase with nitrogen treatment in both species, but leaf area ratio also increases, as observed by </w:t>
      </w:r>
      <w:proofErr w:type="spellStart"/>
      <w:r w:rsidRPr="00531789">
        <w:rPr>
          <w:rFonts w:ascii="Cambria" w:hAnsi="Cambria"/>
        </w:rPr>
        <w:t>Garnier</w:t>
      </w:r>
      <w:proofErr w:type="spellEnd"/>
      <w:r w:rsidRPr="00531789">
        <w:rPr>
          <w:rFonts w:ascii="Cambria" w:hAnsi="Cambria"/>
        </w:rPr>
        <w:t xml:space="preserve"> et al. </w:t>
      </w:r>
      <w:r w:rsidRPr="00531789">
        <w:rPr>
          <w:rFonts w:ascii="Cambria" w:hAnsi="Cambria"/>
        </w:rPr>
        <w:fldChar w:fldCharType="begin" w:fldLock="1"/>
      </w:r>
      <w:r>
        <w:rPr>
          <w:rFonts w:ascii="Cambria" w:hAnsi="Cambria"/>
        </w:rPr>
        <w:instrText>ADDIN CSL_CITATION { "citationItems" : [ { "id" : "ITEM-1", "itemData" : { "author" : [ { "dropping-particle" : "", "family" : "Garnier", "given" : "E.", "non-dropping-particle" : "", "parse-names" : false, "suffix" : "" }, { "dropping-particle" : "", "family" : "Koch", "given" : "G.W.", "non-dropping-particle" : "", "parse-names" : false, "suffix" : "" }, { "dropping-particle" : "", "family" : "Roy", "given" : "J.", "non-dropping-particle" : "", "parse-names" : false, "suffix" : "" }, { "dropping-particle" : "", "family" : "Mooney", "given" : "H.A.", "non-dropping-particle" : "", "parse-names" : false, "suffix" : "" } ], "container-title" : "Oecologia", "id" : "ITEM-1", "issue" : "4", "issued" : { "date-parts" : [ [ "1989" ] ] }, "page" : "542-550", "title" : "Responses of wild plants to nitrate availability", "type" : "article-journal", "volume" : "79" }, "uris" : [ "http://www.mendeley.com/documents/?uuid=a21d0d74-fe6c-4a9e-9501-97751865a7be" ] } ], "mendeley" : { "formattedCitation" : "(Garnier &lt;i&gt;et al.&lt;/i&gt;, 1989)", "manualFormatting" : "(1989)", "plainTextFormattedCitation" : "(Garnier et al., 1989)", "previouslyFormattedCitation" : "(Garnier &lt;i&gt;et al.&lt;/i&gt;, 1989)"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(1989)</w:t>
      </w:r>
      <w:r w:rsidRPr="00531789">
        <w:rPr>
          <w:rFonts w:ascii="Cambria" w:hAnsi="Cambria"/>
        </w:rPr>
        <w:fldChar w:fldCharType="end"/>
      </w:r>
      <w:r w:rsidRPr="00531789">
        <w:rPr>
          <w:rFonts w:ascii="Cambria" w:hAnsi="Cambria"/>
        </w:rPr>
        <w:t xml:space="preserve">, enabling greater photosynthetic carbon acquisition since there is a greater, thinner leaf area for light harvesting.  Both species show an increase in tillering as nitrogen treatment is increased (Fig. 4), as observed in wheat by </w:t>
      </w:r>
      <w:r w:rsidRPr="00531789">
        <w:rPr>
          <w:rFonts w:ascii="Cambria" w:hAnsi="Cambria"/>
        </w:rPr>
        <w:fldChar w:fldCharType="begin" w:fldLock="1"/>
      </w:r>
      <w:r w:rsidR="00D05EDB">
        <w:rPr>
          <w:rFonts w:ascii="Cambria" w:hAnsi="Cambria"/>
        </w:rPr>
        <w:instrText>ADDIN CSL_CITATION { "citationItems" : [ { "id" : "ITEM-1", "itemData" : { "DOI" : "10.1371/journal.pone.0120291", "ISSN" : "19326203", "PMID" : "25798624", "abstract" : "In bread wheat (Triticum aestivum L.), the simultaneous improvement of both yield and grain protein is difficult because of the strong negative relationship between these two traits. However, some genotypes deviate positively from this relationship and this has been linked to their ability to take up nitrogen (N) during the post-flowering period, regardless of their N status at flowering. The physiological and genetic determinants of post-flowering N uptake relating to N satiety are poorly understood. This study uses semi-hydroponic culture of cv. R\u00e9cital under controlled conditions to explore these controls. The first objective was to record the effects of contrasting N status at flowering on post-flowering nitrate (NO3-) uptake under non-limiting NO3- conditions, while following the expression of key genes involved in NO3- uptake and assimilation. We found that post-flowering NO3- uptake was strongly influenced by plant N status at flowering during the first 300-400 degree-days after flowering, overlapping with a probable regulation of nitrate uptake exerted by N demand for growth. The uptake of NO3- correlated well with the expression of the gene TaNRT2.1, coding for a root NO3- transporter, which seems to play a major role in post-flowering NO3- uptake. These results provide a useful knowledge base for future investigation of genetic variability in post-flowering N uptake and may lead to concomitant gains in both grain yield and grain protein in wheat.", "author" : [ { "dropping-particle" : "", "family" : "Taulemesse", "given" : "Francois", "non-dropping-particle" : "", "parse-names" : false, "suffix" : "" }, { "dropping-particle" : "", "family" : "Gouis", "given" : "Jacques", "non-dropping-particle" : "Le", "parse-names" : false, "suffix" : "" }, { "dropping-particle" : "", "family" : "Gouache", "given" : "David", "non-dropping-particle" : "", "parse-names" : false, "suffix" : "" }, { "dropping-particle" : "", "family" : "Gibon", "given" : "Yves", "non-dropping-particle" : "", "parse-names" : false, "suffix" : "" }, { "dropping-particle" : "", "family" : "Allard", "given" : "Vincent", "non-dropping-particle" : "", "parse-names" : false, "suffix" : "" } ], "container-title" : "PLoS ONE", "id" : "ITEM-1", "issue" : "3", "issued" : { "date-parts" : [ [ "2015" ] ] }, "page" : "1-23", "title" : "Post-flowering nitrate uptake in wheat is controlled by N Status at Flowering, with a putative major role of root nitrate transporter NRT2.1", "type" : "article-journal", "volume" : "10" }, "uris" : [ "http://www.mendeley.com/documents/?uuid=5e6fcb31-e2c7-4b25-aaf0-2671b2f21a6f" ] } ], "mendeley" : { "formattedCitation" : "(Taulemesse &lt;i&gt;et al.&lt;/i&gt;, 2015)", "manualFormatting" : "Taulemesse et al. (2015)", "plainTextFormattedCitation" : "(Taulemesse et al., 2015)", "previouslyFormattedCitation" : "(Taulemesse &lt;i&gt;et al.&lt;/i&gt;, 2015)" }, "properties" : { "noteIndex" : 0 }, "schema" : "https://github.com/citation-style-language/schema/raw/master/csl-citation.json" }</w:instrText>
      </w:r>
      <w:r w:rsidRPr="00531789">
        <w:rPr>
          <w:rFonts w:ascii="Cambria" w:hAnsi="Cambria"/>
        </w:rPr>
        <w:fldChar w:fldCharType="separate"/>
      </w:r>
      <w:r>
        <w:rPr>
          <w:rFonts w:ascii="Cambria" w:hAnsi="Cambria"/>
          <w:noProof/>
        </w:rPr>
        <w:t>Taulemesse et al.</w:t>
      </w:r>
      <w:r w:rsidRPr="00531789">
        <w:rPr>
          <w:rFonts w:ascii="Cambria" w:hAnsi="Cambria"/>
          <w:noProof/>
        </w:rPr>
        <w:t xml:space="preserve"> (2015)</w:t>
      </w:r>
      <w:r w:rsidRPr="00531789">
        <w:rPr>
          <w:rFonts w:ascii="Cambria" w:hAnsi="Cambria"/>
        </w:rPr>
        <w:fldChar w:fldCharType="end"/>
      </w:r>
      <w:r>
        <w:rPr>
          <w:rFonts w:ascii="Cambria" w:hAnsi="Cambria"/>
        </w:rPr>
        <w:t>,</w:t>
      </w:r>
      <w:r w:rsidRPr="00531789">
        <w:rPr>
          <w:rFonts w:ascii="Cambria" w:hAnsi="Cambria"/>
        </w:rPr>
        <w:t xml:space="preserve"> and especially when plants are older, facilitating a rapid increase in allocation to shoots and thus to carbon acquisition.</w:t>
      </w:r>
    </w:p>
    <w:p w14:paraId="203077D6" w14:textId="77777777" w:rsidR="00DF4522" w:rsidRPr="00531789" w:rsidRDefault="00DF4522" w:rsidP="00DF4522">
      <w:pPr>
        <w:spacing w:line="360" w:lineRule="auto"/>
        <w:jc w:val="both"/>
        <w:rPr>
          <w:rFonts w:ascii="Cambria" w:hAnsi="Cambria"/>
        </w:rPr>
      </w:pPr>
    </w:p>
    <w:p w14:paraId="7E720084" w14:textId="6F474E20" w:rsidR="00DF4522" w:rsidRDefault="00DF4522" w:rsidP="00DF4522">
      <w:pPr>
        <w:spacing w:line="360" w:lineRule="auto"/>
        <w:jc w:val="both"/>
        <w:rPr>
          <w:rFonts w:ascii="Cambria" w:hAnsi="Cambria"/>
        </w:rPr>
      </w:pPr>
      <w:r w:rsidRPr="00531789">
        <w:rPr>
          <w:rFonts w:ascii="Cambria" w:hAnsi="Cambria"/>
        </w:rPr>
        <w:t xml:space="preserve">Perennial barley has a higher amino </w:t>
      </w:r>
      <w:proofErr w:type="spellStart"/>
      <w:r w:rsidRPr="00531789">
        <w:rPr>
          <w:rFonts w:ascii="Cambria" w:hAnsi="Cambria"/>
        </w:rPr>
        <w:t>acid:sucrose</w:t>
      </w:r>
      <w:proofErr w:type="spellEnd"/>
      <w:r w:rsidRPr="00531789">
        <w:rPr>
          <w:rFonts w:ascii="Cambria" w:hAnsi="Cambria"/>
        </w:rPr>
        <w:t xml:space="preserve"> ratio than the annual (Fig. 8) which indicates that it is more carbon source limited than the annual, since the available amino acids that could be used for growth outstrip the corresponding supply of available carbon </w:t>
      </w:r>
      <w:r w:rsidRPr="00531789">
        <w:rPr>
          <w:rFonts w:ascii="Cambria" w:hAnsi="Cambria"/>
        </w:rPr>
        <w:fldChar w:fldCharType="begin" w:fldLock="1"/>
      </w:r>
      <w:r>
        <w:rPr>
          <w:rFonts w:ascii="Cambria" w:hAnsi="Cambria"/>
        </w:rPr>
        <w:instrText>ADDIN CSL_CITATION { "citationItems" : [ { "id" : "ITEM-1", "itemData" : { "DOI" : "10.1046/j.1365-3040.1997.d01-17.x", "ISSN" : "0140-7791", "author" : [ { "dropping-particle" : "", "family" : "Paul", "given" : "M. J.", "non-dropping-particle" : "", "parse-names" : false, "suffix" : "" }, { "dropping-particle" : "", "family" : "Driscoll", "given" : "S. P.", "non-dropping-particle" : "", "parse-names" : false, "suffix" : "" } ], "container-title" : "Plant, Cell &amp; Environment", "id" : "ITEM-1", "issue" : "1", "issued" : { "date-parts" : [ [ "1997", "1" ] ] }, "page" : "110-116", "title" : "Sugar repression of photosynthesis: the role of carbohydrates in signalling nitrogen deficiency through source:sink imbalance", "type" : "article-journal", "volume" : "20" }, "uris" : [ "http://www.mendeley.com/documents/?uuid=3d653e08-ab32-4dc7-9d29-fef13b1e5636" ] }, { "id" : "ITEM-2", "itemData" : { "DOI" : "10.1046/j.1365-3040.2000.00583.x", "ISSN" : "01407791", "PMID" : "4284", "abstract" : "ABSTRACT Lolium perenne, a main component species in managed grassland, is well adapted to defoliation, fertilization, and regrowth cycles; and hence, to changes in the assimilatory carbon source-sink ratio. In the Swiss Free Air CO2 Enrichment experiment the source-sink ratio is (i) increased by elevated partial pressure of CO2 (pCO2), (ii) decreased by enhanced carbon use under high N fertilization, and (iii) gradually increased during regrowth after defoliation. Since sucrose synthesis plays a central role in leaf carbohydrate metabolism in this fructan-accumulating species, we investigated how sucrose-phosphate synthase (SPS) responds to the differing assimilatory carbon fluxes and source-sink ratios in the field. Assimilatory carbon flux, as estimated by leaf gas exchange, strongly depended on pCO2. Surprisingly, the SPS content per leaf area did not increase with pCO2, but increased with N fertilization. During later regrowth, when a dense canopy had formed, the SPS content decreased; in particular, SPS was decreased at high N under elevated pCO2. Further, the higher assimilatory carbon flux through SPS at elevated pCO2 was accompanied by a higher activation state of SPS. The SPS content correlated very strongly with the ratio of free sucrose to free amino acid in leaves, which represents the carbon source-sink ratio. Hence, SPS content in L. perenne appears to be regulated by the current, strongly nitrogen-dependent, source-sink relation.", "author" : [ { "dropping-particle" : "", "family" : "Isopp", "given" : "H.", "non-dropping-particle" : "", "parse-names" : false, "suffix" : "" }, { "dropping-particle" : "", "family" : "Frehner", "given" : "M.", "non-dropping-particle" : "", "parse-names" : false, "suffix" : "" }, { "dropping-particle" : "", "family" : "Long", "given" : "S. P.", "non-dropping-particle" : "", "parse-names" : false, "suffix" : "" }, { "dropping-particle" : "", "family" : "N\u00f6sberger", "given" : "J.", "non-dropping-particle" : "", "parse-names" : false, "suffix" : "" } ], "container-title" : "Plant, Cell and Environment", "id" : "ITEM-2", "issued" : { "date-parts" : [ [ "2000" ] ] }, "page" : "597-607", "title" : "Sucrose-phosphate synthase responds differently to source-sink relations and to photosynthetic rates: Lolium perenne L. growing at elevated p(CO2) in the field", "type" : "article-journal", "volume" : "23" }, "uris" : [ "http://www.mendeley.com/documents/?uuid=c2cb93b7-f751-46ba-b6ad-a77f9f36afdf" ] }, { "id" : "ITEM-3", "itemData" : { "DOI" : "10.1046/j.1365-3040.1999.00386.x", "ISSN" : "0140-7791", "author" : [ { "dropping-particle" : "", "family" : "Stitt", "given" : "M.", "non-dropping-particle" : "", "parse-names" : false, "suffix" : "" }, { "dropping-particle" : "", "family" : "Krapp", "given" : "A.", "non-dropping-particle" : "", "parse-names" : false, "suffix" : "" } ], "container-title" : "Plant, Cell &amp; Environment", "id" : "ITEM-3", "issue" : "6", "issued" : { "date-parts" : [ [ "1999", "6" ] ] }, "page" : "583-621", "title" : "The interaction between elevated carbon dioxide and nitrogen nutrition: the physiological and molecular background", "type" : "article-journal", "volume" : "22" }, "uris" : [ "http://www.mendeley.com/documents/?uuid=12d0f917-f3d6-43c6-92fa-0d13f38659a0" ] } ], "mendeley" : { "formattedCitation" : "(Paul and Driscoll, 1997; Stitt and Krapp, 1999; Isopp &lt;i&gt;et al.&lt;/i&gt;, 2000)", "plainTextFormattedCitation" : "(Paul and Driscoll, 1997; Stitt and Krapp, 1999; Isopp et al., 2000)", "previouslyFormattedCitation" : "(Paul and Driscoll, 1997; Stitt and Krapp, 1999; Isopp &lt;i&gt;et al.&lt;/i&gt;, 2000)"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(Paul and Driscoll, 1997; Stitt and Krapp, 1999; Isopp </w:t>
      </w:r>
      <w:r w:rsidRPr="002C5907">
        <w:rPr>
          <w:rFonts w:ascii="Cambria" w:hAnsi="Cambria"/>
          <w:i/>
          <w:noProof/>
        </w:rPr>
        <w:t>et al.</w:t>
      </w:r>
      <w:r w:rsidRPr="002C5907">
        <w:rPr>
          <w:rFonts w:ascii="Cambria" w:hAnsi="Cambria"/>
          <w:noProof/>
        </w:rPr>
        <w:t>, 2000)</w:t>
      </w:r>
      <w:r w:rsidRPr="00531789">
        <w:rPr>
          <w:rFonts w:ascii="Cambria" w:hAnsi="Cambria"/>
        </w:rPr>
        <w:fldChar w:fldCharType="end"/>
      </w:r>
      <w:r w:rsidRPr="00531789">
        <w:rPr>
          <w:rFonts w:ascii="Cambria" w:hAnsi="Cambria"/>
        </w:rPr>
        <w:t xml:space="preserve">.  This corroborates the evidence from our previous work </w:t>
      </w:r>
      <w:r w:rsidRPr="00531789">
        <w:rPr>
          <w:rFonts w:ascii="Cambria" w:hAnsi="Cambria"/>
        </w:rPr>
        <w:fldChar w:fldCharType="begin" w:fldLock="1"/>
      </w:r>
      <w:r w:rsidR="002B4FD9">
        <w:rPr>
          <w:rFonts w:ascii="Cambria" w:hAnsi="Cambria"/>
        </w:rPr>
        <w:instrText>ADDIN CSL_CITATION { "citationItems" : [ { "id" : "ITEM-1", "itemData" : { "author" : [ { "dropping-particle" : "", "family" : "Burnett",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"Plant Cell and Environment", "id" : "ITEM-1", "issued" : { "date-parts" : [ [ "2016" ] ] }, "title" : "Source-sink limitations differ between two species with contrasting growth strategies. In press.", "type" : "article-journal" }, "uris" : [ "http://www.mendeley.com/documents/?uuid=f5338dba-5628-426b-8811-253c230d7ad4" ] } ], "mendeley" : { "formattedCitation" : "(Burnett &lt;i&gt;et al.&lt;/i&gt;, 2016)", "manualFormatting" : "(Burnett et al., 2016)", "plainTextFormattedCitation" : "(Burnett et al., 2016)", "previouslyFormattedCitation" : "(Burnett &lt;i&gt;et al.&lt;/i&gt;, 2016)"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w:t>
      </w:r>
      <w:r w:rsidR="000055CC">
        <w:rPr>
          <w:rFonts w:ascii="Cambria" w:hAnsi="Cambria"/>
          <w:noProof/>
        </w:rPr>
        <w:t>Burnett</w:t>
      </w:r>
      <w:r w:rsidRPr="002C5907">
        <w:rPr>
          <w:rFonts w:ascii="Cambria" w:hAnsi="Cambria"/>
          <w:noProof/>
        </w:rPr>
        <w:t xml:space="preserve"> </w:t>
      </w:r>
      <w:r w:rsidRPr="002C5907">
        <w:rPr>
          <w:rFonts w:ascii="Cambria" w:hAnsi="Cambria"/>
          <w:i/>
          <w:noProof/>
        </w:rPr>
        <w:t>et al.</w:t>
      </w:r>
      <w:r w:rsidRPr="002C5907">
        <w:rPr>
          <w:rFonts w:ascii="Cambria" w:hAnsi="Cambria"/>
          <w:noProof/>
        </w:rPr>
        <w:t xml:space="preserve">, </w:t>
      </w:r>
      <w:r w:rsidR="000055CC">
        <w:rPr>
          <w:rFonts w:ascii="Cambria" w:hAnsi="Cambria"/>
          <w:noProof/>
        </w:rPr>
        <w:t>2016</w:t>
      </w:r>
      <w:r w:rsidRPr="002C5907">
        <w:rPr>
          <w:rFonts w:ascii="Cambria" w:hAnsi="Cambria"/>
          <w:noProof/>
        </w:rPr>
        <w:t>)</w:t>
      </w:r>
      <w:r w:rsidRPr="00531789">
        <w:rPr>
          <w:rFonts w:ascii="Cambria" w:hAnsi="Cambria"/>
        </w:rPr>
        <w:fldChar w:fldCharType="end"/>
      </w:r>
      <w:r w:rsidRPr="00531789">
        <w:rPr>
          <w:rFonts w:ascii="Cambria" w:hAnsi="Cambria"/>
        </w:rPr>
        <w:t xml:space="preserve">.  </w:t>
      </w:r>
    </w:p>
    <w:p w14:paraId="77FEED57" w14:textId="77777777" w:rsidR="0052480D" w:rsidRPr="00531789" w:rsidRDefault="0052480D" w:rsidP="00DF4522">
      <w:pPr>
        <w:spacing w:line="360" w:lineRule="auto"/>
        <w:jc w:val="both"/>
        <w:rPr>
          <w:rFonts w:ascii="Cambria" w:hAnsi="Cambria"/>
        </w:rPr>
      </w:pPr>
    </w:p>
    <w:p w14:paraId="768AB57F" w14:textId="6B346FBD" w:rsidR="00DF4522" w:rsidRPr="00531789" w:rsidRDefault="00DF4522" w:rsidP="00DF4522">
      <w:pPr>
        <w:spacing w:line="360" w:lineRule="auto"/>
        <w:jc w:val="both"/>
        <w:rPr>
          <w:rFonts w:ascii="Cambria" w:hAnsi="Cambria"/>
          <w:b/>
        </w:rPr>
      </w:pPr>
      <w:r w:rsidRPr="00531789">
        <w:rPr>
          <w:rFonts w:ascii="Cambria" w:hAnsi="Cambria"/>
          <w:b/>
        </w:rPr>
        <w:t xml:space="preserve">Annual </w:t>
      </w:r>
      <w:r w:rsidR="0052480D">
        <w:rPr>
          <w:rFonts w:ascii="Cambria" w:hAnsi="Cambria"/>
          <w:b/>
        </w:rPr>
        <w:t>is more</w:t>
      </w:r>
      <w:r w:rsidRPr="00531789">
        <w:rPr>
          <w:rFonts w:ascii="Cambria" w:hAnsi="Cambria"/>
          <w:b/>
        </w:rPr>
        <w:t xml:space="preserve"> nitrogen sink limited </w:t>
      </w:r>
      <w:r w:rsidR="0052480D">
        <w:rPr>
          <w:rFonts w:ascii="Cambria" w:hAnsi="Cambria"/>
          <w:b/>
        </w:rPr>
        <w:t xml:space="preserve">than perennial barley </w:t>
      </w:r>
      <w:r w:rsidRPr="00531789">
        <w:rPr>
          <w:rFonts w:ascii="Cambria" w:hAnsi="Cambria"/>
          <w:b/>
        </w:rPr>
        <w:t>at 20% nitrogen</w:t>
      </w:r>
    </w:p>
    <w:p w14:paraId="4261B88E" w14:textId="77777777" w:rsidR="00DF4522" w:rsidRPr="00531789" w:rsidRDefault="00DF4522" w:rsidP="00DF4522">
      <w:pPr>
        <w:spacing w:line="360" w:lineRule="auto"/>
        <w:jc w:val="both"/>
        <w:rPr>
          <w:rFonts w:ascii="Cambria" w:hAnsi="Cambria"/>
        </w:rPr>
      </w:pPr>
    </w:p>
    <w:p w14:paraId="39F1FD52" w14:textId="078F54B1" w:rsidR="00DF4522" w:rsidRPr="00531789" w:rsidRDefault="00DF4522" w:rsidP="00DF4522">
      <w:pPr>
        <w:spacing w:line="360" w:lineRule="auto"/>
        <w:jc w:val="both"/>
        <w:rPr>
          <w:rFonts w:ascii="Cambria" w:hAnsi="Cambria"/>
        </w:rPr>
      </w:pPr>
      <w:r w:rsidRPr="00531789">
        <w:rPr>
          <w:rFonts w:ascii="Cambria" w:hAnsi="Cambria"/>
        </w:rPr>
        <w:t>In addition to the species differences in their nitrogen responses, there are broad similarities revealed by the nitrogen treatment.  The treatment conditions are sufficiently strong that</w:t>
      </w:r>
      <w:r>
        <w:rPr>
          <w:rFonts w:ascii="Cambria" w:hAnsi="Cambria"/>
        </w:rPr>
        <w:t>,</w:t>
      </w:r>
      <w:r w:rsidRPr="00531789">
        <w:rPr>
          <w:rFonts w:ascii="Cambria" w:hAnsi="Cambria"/>
        </w:rPr>
        <w:t xml:space="preserve"> at 1% nitrogen treatment, growth in both annual and perennial barley is nitrogen source limited, shown by their high C:N ratios (Fig. 7D-F), low nitrogen uptake rates (Fig. 1) and low growth rates compared to 20% nitrogen (Fig. 2A,B).  </w:t>
      </w:r>
      <w:r w:rsidR="0052480D">
        <w:rPr>
          <w:rFonts w:ascii="Cambria" w:hAnsi="Cambria"/>
        </w:rPr>
        <w:t xml:space="preserve">At </w:t>
      </w:r>
      <w:r w:rsidRPr="00531789">
        <w:rPr>
          <w:rFonts w:ascii="Cambria" w:hAnsi="Cambria"/>
        </w:rPr>
        <w:t xml:space="preserve">100% nitrogen, growth in </w:t>
      </w:r>
      <w:r w:rsidR="0052480D">
        <w:rPr>
          <w:rFonts w:ascii="Cambria" w:hAnsi="Cambria"/>
        </w:rPr>
        <w:t>the annual</w:t>
      </w:r>
      <w:r w:rsidRPr="00531789">
        <w:rPr>
          <w:rFonts w:ascii="Cambria" w:hAnsi="Cambria"/>
        </w:rPr>
        <w:t xml:space="preserve"> is </w:t>
      </w:r>
      <w:r w:rsidR="00515E55">
        <w:rPr>
          <w:rFonts w:ascii="Cambria" w:hAnsi="Cambria"/>
        </w:rPr>
        <w:t xml:space="preserve">more </w:t>
      </w:r>
      <w:r w:rsidRPr="00531789">
        <w:rPr>
          <w:rFonts w:ascii="Cambria" w:hAnsi="Cambria"/>
        </w:rPr>
        <w:t xml:space="preserve">nitrogen sink limited, shown by </w:t>
      </w:r>
      <w:r w:rsidR="00515E55">
        <w:rPr>
          <w:rFonts w:ascii="Cambria" w:hAnsi="Cambria"/>
        </w:rPr>
        <w:t>its lower ability</w:t>
      </w:r>
      <w:r w:rsidRPr="00531789">
        <w:rPr>
          <w:rFonts w:ascii="Cambria" w:hAnsi="Cambria"/>
        </w:rPr>
        <w:t xml:space="preserve"> to increase growth </w:t>
      </w:r>
      <w:r w:rsidR="00515E55">
        <w:rPr>
          <w:rFonts w:ascii="Cambria" w:hAnsi="Cambria"/>
        </w:rPr>
        <w:t xml:space="preserve">compared to the perennial </w:t>
      </w:r>
      <w:r w:rsidRPr="00531789">
        <w:rPr>
          <w:rFonts w:ascii="Cambria" w:hAnsi="Cambria"/>
        </w:rPr>
        <w:t>(Fig. 2B,C; Fig. 3</w:t>
      </w:r>
      <w:r w:rsidR="00515E55">
        <w:rPr>
          <w:rFonts w:ascii="Cambria" w:hAnsi="Cambria"/>
        </w:rPr>
        <w:t>)</w:t>
      </w:r>
      <w:r w:rsidRPr="00531789">
        <w:rPr>
          <w:rFonts w:ascii="Cambria" w:hAnsi="Cambria"/>
        </w:rPr>
        <w:t xml:space="preserve">.  Growth under control conditions appears to be </w:t>
      </w:r>
      <w:r w:rsidR="00515E55">
        <w:rPr>
          <w:rFonts w:ascii="Cambria" w:hAnsi="Cambria"/>
        </w:rPr>
        <w:t>more</w:t>
      </w:r>
      <w:r w:rsidR="00515E55" w:rsidRPr="00531789">
        <w:rPr>
          <w:rFonts w:ascii="Cambria" w:hAnsi="Cambria"/>
        </w:rPr>
        <w:t xml:space="preserve"> </w:t>
      </w:r>
      <w:r w:rsidRPr="00531789">
        <w:rPr>
          <w:rFonts w:ascii="Cambria" w:hAnsi="Cambria"/>
        </w:rPr>
        <w:t xml:space="preserve">nitrogen sink limited in </w:t>
      </w:r>
      <w:r w:rsidR="00515E55">
        <w:rPr>
          <w:rFonts w:ascii="Cambria" w:hAnsi="Cambria"/>
        </w:rPr>
        <w:t>annual barley,</w:t>
      </w:r>
      <w:r w:rsidRPr="00531789">
        <w:rPr>
          <w:rFonts w:ascii="Cambria" w:hAnsi="Cambria"/>
        </w:rPr>
        <w:t xml:space="preserve"> since increasing the nitrogen level dramatically above 20% </w:t>
      </w:r>
      <w:r w:rsidR="00515E55">
        <w:rPr>
          <w:rFonts w:ascii="Cambria" w:hAnsi="Cambria"/>
        </w:rPr>
        <w:t>has a much greater effect in the perennial species</w:t>
      </w:r>
      <w:r w:rsidRPr="00531789">
        <w:rPr>
          <w:rFonts w:ascii="Cambria" w:hAnsi="Cambria"/>
        </w:rPr>
        <w:t>.</w:t>
      </w:r>
    </w:p>
    <w:p w14:paraId="1390158C" w14:textId="77777777" w:rsidR="00DF4522" w:rsidRPr="00531789" w:rsidRDefault="00DF4522" w:rsidP="00DF4522">
      <w:pPr>
        <w:spacing w:line="360" w:lineRule="auto"/>
        <w:jc w:val="both"/>
        <w:rPr>
          <w:rFonts w:ascii="Cambria" w:hAnsi="Cambria"/>
          <w:b/>
        </w:rPr>
      </w:pPr>
    </w:p>
    <w:p w14:paraId="19975EC6" w14:textId="77777777" w:rsidR="00DF4522" w:rsidRPr="00531789" w:rsidRDefault="00DF4522" w:rsidP="00DF4522">
      <w:pPr>
        <w:spacing w:line="360" w:lineRule="auto"/>
        <w:jc w:val="both"/>
        <w:rPr>
          <w:rFonts w:ascii="Cambria" w:hAnsi="Cambria"/>
        </w:rPr>
      </w:pPr>
      <w:r w:rsidRPr="00531789">
        <w:rPr>
          <w:rFonts w:ascii="Cambria" w:hAnsi="Cambria"/>
        </w:rPr>
        <w:t xml:space="preserve">Contrary to the hypothesis that annual and perennial barley would move from nitrogen sink to source limitation during vegetative growth, there are very few effects of time on the nitrogen </w:t>
      </w:r>
      <w:proofErr w:type="spellStart"/>
      <w:r w:rsidRPr="00531789">
        <w:rPr>
          <w:rFonts w:ascii="Cambria" w:hAnsi="Cambria"/>
        </w:rPr>
        <w:t>source:sink</w:t>
      </w:r>
      <w:proofErr w:type="spellEnd"/>
      <w:r w:rsidRPr="00531789">
        <w:rPr>
          <w:rFonts w:ascii="Cambria" w:hAnsi="Cambria"/>
        </w:rPr>
        <w:t xml:space="preserve"> ratio revealed by this study, suggesting either that such a transition does not occur, or that the duration of this study is insufficient to detect it.</w:t>
      </w:r>
    </w:p>
    <w:p w14:paraId="5F1B8D45" w14:textId="77777777" w:rsidR="00DF4522" w:rsidRPr="00531789" w:rsidRDefault="00DF4522" w:rsidP="00DF4522">
      <w:pPr>
        <w:spacing w:line="360" w:lineRule="auto"/>
        <w:jc w:val="both"/>
        <w:rPr>
          <w:rFonts w:ascii="Cambria" w:hAnsi="Cambria"/>
        </w:rPr>
      </w:pPr>
    </w:p>
    <w:p w14:paraId="3F078AE0" w14:textId="77777777" w:rsidR="00DF4522" w:rsidRPr="00531789" w:rsidRDefault="00DF4522" w:rsidP="00DF4522">
      <w:pPr>
        <w:spacing w:line="360" w:lineRule="auto"/>
        <w:jc w:val="both"/>
        <w:rPr>
          <w:rFonts w:ascii="Cambria" w:hAnsi="Cambria"/>
          <w:b/>
        </w:rPr>
      </w:pPr>
      <w:r w:rsidRPr="00531789">
        <w:rPr>
          <w:rFonts w:ascii="Cambria" w:hAnsi="Cambria"/>
          <w:b/>
        </w:rPr>
        <w:t>Conclusions</w:t>
      </w:r>
    </w:p>
    <w:p w14:paraId="1F67820D" w14:textId="77777777" w:rsidR="00DF4522" w:rsidRPr="00531789" w:rsidRDefault="00DF4522" w:rsidP="00DF4522">
      <w:pPr>
        <w:spacing w:line="360" w:lineRule="auto"/>
        <w:jc w:val="both"/>
        <w:rPr>
          <w:rFonts w:ascii="Cambria" w:hAnsi="Cambria"/>
        </w:rPr>
      </w:pPr>
    </w:p>
    <w:p w14:paraId="60F4FBEC" w14:textId="39887312" w:rsidR="00DF4522" w:rsidRPr="00531789" w:rsidRDefault="00DF4522" w:rsidP="00DF4522">
      <w:pPr>
        <w:spacing w:line="360" w:lineRule="auto"/>
        <w:jc w:val="both"/>
        <w:rPr>
          <w:rFonts w:ascii="Cambria" w:hAnsi="Cambria"/>
        </w:rPr>
      </w:pPr>
      <w:r w:rsidRPr="00531789">
        <w:rPr>
          <w:rFonts w:ascii="Cambria" w:hAnsi="Cambria"/>
        </w:rPr>
        <w:t xml:space="preserve">Growth in annual barley is </w:t>
      </w:r>
      <w:r w:rsidR="00515E55">
        <w:rPr>
          <w:rFonts w:ascii="Cambria" w:hAnsi="Cambria"/>
        </w:rPr>
        <w:t>more</w:t>
      </w:r>
      <w:r w:rsidR="00515E55" w:rsidRPr="00531789">
        <w:rPr>
          <w:rFonts w:ascii="Cambria" w:hAnsi="Cambria"/>
        </w:rPr>
        <w:t xml:space="preserve"> </w:t>
      </w:r>
      <w:r w:rsidRPr="00531789">
        <w:rPr>
          <w:rFonts w:ascii="Cambria" w:hAnsi="Cambria"/>
        </w:rPr>
        <w:t>nitrogen sink limite</w:t>
      </w:r>
      <w:r w:rsidR="00515E55">
        <w:rPr>
          <w:rFonts w:ascii="Cambria" w:hAnsi="Cambria"/>
        </w:rPr>
        <w:t xml:space="preserve">d than </w:t>
      </w:r>
      <w:r w:rsidR="0047399B">
        <w:rPr>
          <w:rFonts w:ascii="Cambria" w:hAnsi="Cambria"/>
        </w:rPr>
        <w:t xml:space="preserve">growth </w:t>
      </w:r>
      <w:r w:rsidR="00515E55">
        <w:rPr>
          <w:rFonts w:ascii="Cambria" w:hAnsi="Cambria"/>
        </w:rPr>
        <w:t xml:space="preserve">in perennial </w:t>
      </w:r>
      <w:r w:rsidR="0047399B">
        <w:rPr>
          <w:rFonts w:ascii="Cambria" w:hAnsi="Cambria"/>
        </w:rPr>
        <w:t>barley during the vegetative stage</w:t>
      </w:r>
      <w:r w:rsidRPr="00531789">
        <w:rPr>
          <w:rFonts w:ascii="Cambria" w:hAnsi="Cambria"/>
        </w:rPr>
        <w:t>.  A</w:t>
      </w:r>
      <w:r w:rsidR="00515E55">
        <w:rPr>
          <w:rFonts w:ascii="Cambria" w:hAnsi="Cambria"/>
        </w:rPr>
        <w:t>t 20% nitrogen, a</w:t>
      </w:r>
      <w:r w:rsidRPr="00531789">
        <w:rPr>
          <w:rFonts w:ascii="Cambria" w:hAnsi="Cambria"/>
        </w:rPr>
        <w:t>nnual barley invests more nitrogen in growth, whilst perennial barley invests more nitrogen in storage, consistent with the hypothesis that growth in the annual is relatively more nitrogen source limited and growth in the perennial is relatively more nitrogen sink limited.</w:t>
      </w:r>
      <w:r w:rsidR="00515E55">
        <w:rPr>
          <w:rFonts w:ascii="Cambria" w:hAnsi="Cambria"/>
        </w:rPr>
        <w:t xml:space="preserve"> </w:t>
      </w:r>
      <w:r w:rsidRPr="00531789">
        <w:rPr>
          <w:rFonts w:ascii="Cambria" w:hAnsi="Cambria"/>
        </w:rPr>
        <w:t xml:space="preserve"> </w:t>
      </w:r>
      <w:r w:rsidR="00515E55">
        <w:rPr>
          <w:rFonts w:ascii="Cambria" w:hAnsi="Cambria"/>
        </w:rPr>
        <w:t xml:space="preserve">However, increasing </w:t>
      </w:r>
      <w:r w:rsidR="008E3844">
        <w:rPr>
          <w:rFonts w:ascii="Cambria" w:hAnsi="Cambria"/>
        </w:rPr>
        <w:t>the nitrogen treatment reveals</w:t>
      </w:r>
      <w:r w:rsidR="00515E55">
        <w:rPr>
          <w:rFonts w:ascii="Cambria" w:hAnsi="Cambria"/>
        </w:rPr>
        <w:t xml:space="preserve"> </w:t>
      </w:r>
      <w:r w:rsidR="008E3844">
        <w:rPr>
          <w:rFonts w:ascii="Cambria" w:hAnsi="Cambria"/>
        </w:rPr>
        <w:t>a more flexible growth response</w:t>
      </w:r>
      <w:r w:rsidR="00515E55">
        <w:rPr>
          <w:rFonts w:ascii="Cambria" w:hAnsi="Cambria"/>
        </w:rPr>
        <w:t xml:space="preserve"> in the perennial species, indicating that it is</w:t>
      </w:r>
      <w:r w:rsidR="0047399B">
        <w:rPr>
          <w:rFonts w:ascii="Cambria" w:hAnsi="Cambria"/>
        </w:rPr>
        <w:t xml:space="preserve"> actually less nitrogen sink limited </w:t>
      </w:r>
      <w:r w:rsidR="00104212">
        <w:rPr>
          <w:rFonts w:ascii="Cambria" w:hAnsi="Cambria"/>
        </w:rPr>
        <w:t>than the annual</w:t>
      </w:r>
      <w:r w:rsidR="00515E55">
        <w:rPr>
          <w:rFonts w:ascii="Cambria" w:hAnsi="Cambria"/>
        </w:rPr>
        <w:t>.  A</w:t>
      </w:r>
      <w:r w:rsidRPr="00531789">
        <w:rPr>
          <w:rFonts w:ascii="Cambria" w:hAnsi="Cambria"/>
        </w:rPr>
        <w:t xml:space="preserve">nnual barley is more carbon sink limited and perennial barley is more carbon source limited, revealed here by the higher amino </w:t>
      </w:r>
      <w:proofErr w:type="spellStart"/>
      <w:r w:rsidRPr="00531789">
        <w:rPr>
          <w:rFonts w:ascii="Cambria" w:hAnsi="Cambria"/>
        </w:rPr>
        <w:t>acid:sucrose</w:t>
      </w:r>
      <w:proofErr w:type="spellEnd"/>
      <w:r w:rsidRPr="00531789">
        <w:rPr>
          <w:rFonts w:ascii="Cambria" w:hAnsi="Cambria"/>
        </w:rPr>
        <w:t xml:space="preserve"> ratio in the perennial, in agreement with previous work on these species </w:t>
      </w:r>
      <w:r w:rsidRPr="00531789">
        <w:rPr>
          <w:rFonts w:ascii="Cambria" w:hAnsi="Cambria"/>
        </w:rPr>
        <w:fldChar w:fldCharType="begin" w:fldLock="1"/>
      </w:r>
      <w:r w:rsidR="002B4FD9">
        <w:rPr>
          <w:rFonts w:ascii="Cambria" w:hAnsi="Cambria"/>
        </w:rPr>
        <w:instrText>ADDIN CSL_CITATION { "citationItems" : [ { "id" : "ITEM-1", "itemData" : { "author" : [ { "dropping-particle" : "", "family" : "Burnett",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"Plant Cell and Environment", "id" : "ITEM-1", "issued" : { "date-parts" : [ [ "2016" ] ] }, "title" : "Source-sink limitations differ between two species with contrasting growth strategies. In press.", "type" : "article-journal" }, "uris" : [ "http://www.mendeley.com/documents/?uuid=f5338dba-5628-426b-8811-253c230d7ad4" ] } ], "mendeley" : { "formattedCitation" : "(Burnett &lt;i&gt;et al.&lt;/i&gt;, 2016)", "manualFormatting" : "(Burnett et al., 2016)", "plainTextFormattedCitation" : "(Burnett et al., 2016)", "previouslyFormattedCitation" : "(Burnett &lt;i&gt;et al.&lt;/i&gt;, 2016)"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w:t>
      </w:r>
      <w:r w:rsidR="000055CC">
        <w:rPr>
          <w:rFonts w:ascii="Cambria" w:hAnsi="Cambria"/>
          <w:noProof/>
        </w:rPr>
        <w:t xml:space="preserve">Burnett </w:t>
      </w:r>
      <w:r w:rsidRPr="002C5907">
        <w:rPr>
          <w:rFonts w:ascii="Cambria" w:hAnsi="Cambria"/>
          <w:i/>
          <w:noProof/>
        </w:rPr>
        <w:t>et al.</w:t>
      </w:r>
      <w:r w:rsidRPr="002C5907">
        <w:rPr>
          <w:rFonts w:ascii="Cambria" w:hAnsi="Cambria"/>
          <w:noProof/>
        </w:rPr>
        <w:t xml:space="preserve">, </w:t>
      </w:r>
      <w:r w:rsidR="000055CC">
        <w:rPr>
          <w:rFonts w:ascii="Cambria" w:hAnsi="Cambria"/>
          <w:noProof/>
        </w:rPr>
        <w:t>2016</w:t>
      </w:r>
      <w:r w:rsidRPr="002C5907">
        <w:rPr>
          <w:rFonts w:ascii="Cambria" w:hAnsi="Cambria"/>
          <w:noProof/>
        </w:rPr>
        <w:t>)</w:t>
      </w:r>
      <w:r w:rsidRPr="00531789">
        <w:rPr>
          <w:rFonts w:ascii="Cambria" w:hAnsi="Cambria"/>
        </w:rPr>
        <w:fldChar w:fldCharType="end"/>
      </w:r>
      <w:r w:rsidRPr="00531789">
        <w:rPr>
          <w:rFonts w:ascii="Cambria" w:hAnsi="Cambria"/>
        </w:rPr>
        <w:t xml:space="preserve">.  Crosstalk between nitrogen and carbon metabolic pathways </w:t>
      </w:r>
      <w:r w:rsidRPr="00531789">
        <w:rPr>
          <w:rFonts w:ascii="Cambria" w:hAnsi="Cambria"/>
        </w:rPr>
        <w:fldChar w:fldCharType="begin" w:fldLock="1"/>
      </w:r>
      <w:r w:rsidR="009133B6">
        <w:rPr>
          <w:rFonts w:ascii="Cambria" w:hAnsi="Cambria"/>
        </w:rPr>
        <w:instrText>ADDIN CSL_CITATION { "citationItems" : [ { "id" : "ITEM-1", "itemData" : { "DOI" : "10.1093/aob/mcq028", "ISBN" : "0305-7364", "ISSN" : "03057364", "PMID" : "20299346", "abstract" : "Productive agriculture needs a large amount of expensive nitrogenous fertilizers. Improving nitrogen use efficiency (NUE) of crop plants is thus of key importance. NUE definitions differ depending on whether plants are cultivated to produce biomass or grain yields. However, for most plant species, NUE mainly depends on how plants extract inorganic nitrogen from the soil, assimilate nitrate and ammonium, and recycle organic nitrogen. Efforts have been made to study the genetic basis as well as the biochemical and enzymatic mechanisms involved in nitrogen uptake, assimilation, and remobilization in crops and model plants. The detection of the limiting factors that could be manipulated to increase NUE is the major goal of such research.", "author" : [ { "dropping-particle" : "", "family" : "Masclaux-Daubresse", "given" : "C\u00e9line", "non-dropping-particle" : "", "parse-names" : false, "suffix" : "" }, { "dropping-particle" : "", "family" : "Daniel-Vedele", "given" : "Franoise", "non-dropping-particle" : "", "parse-names" : false, "suffix" : "" }, { "dropping-particle" : "", "family" : "Dechorgnat", "given" : "Julie", "non-dropping-particle" : "", "parse-names" : false, "suffix" : "" }, { "dropping-particle" : "", "family" : "Chardon", "given" : "Fabien", "non-dropping-particle" : "", "parse-names" : false, "suffix" : "" }, { "dropping-particle" : "", "family" : "Gaufichon", "given" : "Laure", "non-dropping-particle" : "", "parse-names" : false, "suffix" : "" }, { "dropping-particle" : "", "family" : "Suzuki", "given" : "Akira", "non-dropping-particle" : "", "parse-names" : false, "suffix" : "" } ], "container-title" : "Annals of Botany", "id" : "ITEM-1", "issue" : "7", "issued" : { "date-parts" : [ [ "2010" ] ] }, "page" : "1141-1157", "title" : "Nitrogen uptake, assimilation and remobilization in plants: Challenges for sustainable and productive agriculture", "type" : "article-journal", "volume" : "105" }, "uris" : [ "http://www.mendeley.com/documents/?uuid=b92ca514-eac6-4c5b-98a3-db622e6a4797" ] }, { "id" : "ITEM-2", "itemData" : { "DOI" : "10.1007/BF00202587", "ISSN" : "0032-0935", "author" : [ { "dropping-particle" : "", "family" : "Krapp", "given" : "Anne", "non-dropping-particle" : "", "parse-names" : false, "suffix" : "" }, { "dropping-particle" : "", "family" : "Stitt", "given" : "Mark", "non-dropping-particle" : "", "parse-names" : false, "suffix" : "" } ], "container-title" : "Planta", "id" : "ITEM-2", "issue" : "3", "issued" : { "date-parts" : [ [ "1995", "1" ] ] }, "page" : "313-323", "title" : "An evaluation of direct and indirect mechanisms for the \"sink-regulation\" of photosynthesis in spinach: Changes in gas exchange, carbohydrates, metabolites, enzyme activities and steady-state transcript levels after cold-girdling source leaves", "type" : "article-journal", "volume" : "195" }, "uris" : [ "http://www.mendeley.com/documents/?uuid=2e09295b-0652-4c38-8f92-61b9f9f4dfc8" ] }, { "id" : "ITEM-3", "itemData" : { "DOI" : "10.1093/jxb/erv447", "ISSN" : "0022-0957", "author" : [ { "dropping-particle" : "", "family" : "White",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"Journal of Experimental Botany", "id" : "ITEM-3", "issue" : "1", "issued" : { "date-parts" : [ [ "2016" ] ] }, "page" : "31-45", "title" : "How can we make plants grow faster? A source\u2013sink perspective on growth rate", "type" : "article-journal", "volume" : "67" }, "uris" : [ "http://www.mendeley.com/documents/?uuid=071fcd57-e076-410e-903a-444abfb30785" ] } ], "mendeley" : { "formattedCitation" : "(Krapp and Stitt, 1995; Masclaux-Daubresse &lt;i&gt;et al.&lt;/i&gt;, 2010; White &lt;i&gt;et al.&lt;/i&gt;, 2016)", "manualFormatting" : "(Krapp and Stitt, 1995; Masclaux-Daubresse et al., 2010; White et al., 2016)", "plainTextFormattedCitation" : "(Krapp and Stitt, 1995; Masclaux-Daubresse et al., 2010; White et al., 2016)", "previouslyFormattedCitation" : "(Krapp and Stitt, 1995; Masclaux-Daubresse &lt;i&gt;et al.&lt;/i&gt;, 2010; White &lt;i&gt;et al.&lt;/i&gt;, 2016)"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(Krapp and Stitt, 1995; Masclaux-Daubresse </w:t>
      </w:r>
      <w:r w:rsidRPr="002C5907">
        <w:rPr>
          <w:rFonts w:ascii="Cambria" w:hAnsi="Cambria"/>
          <w:i/>
          <w:noProof/>
        </w:rPr>
        <w:t>et al.</w:t>
      </w:r>
      <w:r w:rsidRPr="002C5907">
        <w:rPr>
          <w:rFonts w:ascii="Cambria" w:hAnsi="Cambria"/>
          <w:noProof/>
        </w:rPr>
        <w:t xml:space="preserve">, 2010; White </w:t>
      </w:r>
      <w:r w:rsidRPr="002C5907">
        <w:rPr>
          <w:rFonts w:ascii="Cambria" w:hAnsi="Cambria"/>
          <w:i/>
          <w:noProof/>
        </w:rPr>
        <w:t>et al.</w:t>
      </w:r>
      <w:r w:rsidRPr="002C5907">
        <w:rPr>
          <w:rFonts w:ascii="Cambria" w:hAnsi="Cambria"/>
          <w:noProof/>
        </w:rPr>
        <w:t xml:space="preserve">, </w:t>
      </w:r>
      <w:r w:rsidR="000055CC">
        <w:rPr>
          <w:rFonts w:ascii="Cambria" w:hAnsi="Cambria"/>
          <w:noProof/>
        </w:rPr>
        <w:t>2016</w:t>
      </w:r>
      <w:r w:rsidRPr="002C5907">
        <w:rPr>
          <w:rFonts w:ascii="Cambria" w:hAnsi="Cambria"/>
          <w:noProof/>
        </w:rPr>
        <w:t>)</w:t>
      </w:r>
      <w:r w:rsidRPr="00531789">
        <w:rPr>
          <w:rFonts w:ascii="Cambria" w:hAnsi="Cambria"/>
        </w:rPr>
        <w:fldChar w:fldCharType="end"/>
      </w:r>
      <w:r w:rsidRPr="00531789">
        <w:rPr>
          <w:rFonts w:ascii="Cambria" w:hAnsi="Cambria"/>
        </w:rPr>
        <w:t xml:space="preserve"> means that plants must not only regulate nitrogen sources and sinks but also balance these with carbon sources and sinks.  The efficiency of nutrient utilisation – not just acquisition – is important for breeders </w:t>
      </w:r>
      <w:r w:rsidRPr="00531789">
        <w:rPr>
          <w:rFonts w:ascii="Cambria" w:hAnsi="Cambria"/>
        </w:rPr>
        <w:fldChar w:fldCharType="begin" w:fldLock="1"/>
      </w:r>
      <w:r>
        <w:rPr>
          <w:rFonts w:ascii="Cambria" w:hAnsi="Cambria"/>
        </w:rPr>
        <w:instrText>ADDIN CSL_CITATION { "citationItems" : [ { "id" : "ITEM-1", "itemData" : { "DOI" : "10.1093/jxb/erv162", "ISSN" : "0022-0957", "author" : [ { "dropping-particle" : "", "family" : "Santa-Maria", "given" : "G. E.", "non-dropping-particle" : "", "parse-names" : false, "suffix" : "" }, { "dropping-particle" : "", "family" : "Moriconi", "given" : "J. I.", "non-dropping-particle" : "", "parse-names" : false, "suffix" : "" }, { "dropping-particle" : "", "family" : "Oliferuk", "given" : "S.", "non-dropping-particle" : "", "parse-names" : false, "suffix" : "" } ], "container-title" : "Journal of Experimental Botany", "id" : "ITEM-1", "issue" : "11", "issued" : { "date-parts" : [ [ "2015" ] ] }, "page" : "3011-3018", "title" : "Internal efficiency of nutrient utilization: what is it and how to measure it during vegetative plant growth?", "type" : "article-journal", "volume" : "66" }, "uris" : [ "http://www.mendeley.com/documents/?uuid=d946beee-7a44-4d16-b64f-4d3983f0066e" ] } ], "mendeley" : { "formattedCitation" : "(Santa-Maria &lt;i&gt;et al.&lt;/i&gt;, 2015)", "plainTextFormattedCitation" : "(Santa-Maria et al., 2015)", "previouslyFormattedCitation" : "(Santa-Maria &lt;i&gt;et al.&lt;/i&gt;, 2015)"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(Santa-Maria </w:t>
      </w:r>
      <w:r w:rsidRPr="002C5907">
        <w:rPr>
          <w:rFonts w:ascii="Cambria" w:hAnsi="Cambria"/>
          <w:i/>
          <w:noProof/>
        </w:rPr>
        <w:t>et al.</w:t>
      </w:r>
      <w:r w:rsidRPr="002C5907">
        <w:rPr>
          <w:rFonts w:ascii="Cambria" w:hAnsi="Cambria"/>
          <w:noProof/>
        </w:rPr>
        <w:t>, 2015)</w:t>
      </w:r>
      <w:r w:rsidRPr="00531789">
        <w:rPr>
          <w:rFonts w:ascii="Cambria" w:hAnsi="Cambria"/>
        </w:rPr>
        <w:fldChar w:fldCharType="end"/>
      </w:r>
      <w:r w:rsidRPr="00531789">
        <w:rPr>
          <w:rFonts w:ascii="Cambria" w:hAnsi="Cambria"/>
        </w:rPr>
        <w:t xml:space="preserve">, and nitrogen use efficiency is an important target for crop improvement </w:t>
      </w:r>
      <w:r w:rsidRPr="00531789">
        <w:rPr>
          <w:rFonts w:ascii="Cambria" w:hAnsi="Cambria"/>
        </w:rPr>
        <w:fldChar w:fldCharType="begin" w:fldLock="1"/>
      </w:r>
      <w:r>
        <w:rPr>
          <w:rFonts w:ascii="Cambria" w:hAnsi="Cambria"/>
        </w:rPr>
        <w:instrText>ADDIN CSL_CITATION { "citationItems" : [ { "id" : "ITEM-1", "itemData" : { "DOI" : "10.1093/aob/mcq028", "ISBN" : "0305-7364", "ISSN" : "03057364", "PMID" : "20299346", "abstract" : "Productive agriculture needs a large amount of expensive nitrogenous fertilizers. Improving nitrogen use efficiency (NUE) of crop plants is thus of key importance. NUE definitions differ depending on whether plants are cultivated to produce biomass or grain yields. However, for most plant species, NUE mainly depends on how plants extract inorganic nitrogen from the soil, assimilate nitrate and ammonium, and recycle organic nitrogen. Efforts have been made to study the genetic basis as well as the biochemical and enzymatic mechanisms involved in nitrogen uptake, assimilation, and remobilization in crops and model plants. The detection of the limiting factors that could be manipulated to increase NUE is the major goal of such research.", "author" : [ { "dropping-particle" : "", "family" : "Masclaux-Daubresse", "given" : "C\u00e9line", "non-dropping-particle" : "", "parse-names" : false, "suffix" : "" }, { "dropping-particle" : "", "family" : "Daniel-Vedele", "given" : "Franoise", "non-dropping-particle" : "", "parse-names" : false, "suffix" : "" }, { "dropping-particle" : "", "family" : "Dechorgnat", "given" : "Julie", "non-dropping-particle" : "", "parse-names" : false, "suffix" : "" }, { "dropping-particle" : "", "family" : "Chardon", "given" : "Fabien", "non-dropping-particle" : "", "parse-names" : false, "suffix" : "" }, { "dropping-particle" : "", "family" : "Gaufichon", "given" : "Laure", "non-dropping-particle" : "", "parse-names" : false, "suffix" : "" }, { "dropping-particle" : "", "family" : "Suzuki", "given" : "Akira", "non-dropping-particle" : "", "parse-names" : false, "suffix" : "" } ], "container-title" : "Annals of Botany", "id" : "ITEM-1", "issue" : "7", "issued" : { "date-parts" : [ [ "2010" ] ] }, "page" : "1141-1157", "title" : "Nitrogen uptake, assimilation and remobilization in plants: Challenges for sustainable and productive agriculture", "type" : "article-journal", "volume" : "105" }, "uris" : [ "http://www.mendeley.com/documents/?uuid=b92ca514-eac6-4c5b-98a3-db622e6a4797" ] }, { "id" : "ITEM-2", "itemData" : { "DOI" : "10.1111/j.1469-8137.2008.02705.x", "ISSN" : "1469-8137", "PMID" : "19140947", "abstract" : "A rising human population and changing patterns of land use mean that world food production rates will need to be increased by at least 50% by 2050, a massive rise in harvestable yield per hectare of the major crops such as rice (Oryza sativa) and wheat (Triticum aestivum). Combinations of breeding for improved morphology-related traits such as harvest index and increased inputs of water and fertilizer, which have sustained yield increases since the 1960s, will be neither sufficient nor sustainable. An important limiting factor will be the capacity to produce sufficient biomass during favourable growing periods. Here we analyse this problem in the context of increasing the efficiency of conversion of solar energy into biomass, that is, leaf and canopy photosynthesis. Focussing on crops carrying out C3 photosynthesis, we analyse the evidence for 'losses' in the process of conversion of solar energy into crop biomass and we explore novel mechanisms of improving biomass production rates, which have arisen from recent research into the fundamental primary processes of photosynthesis and carbohydrate metabolism. We show that there are several lines of evidence that these processes are not fully optimized for maximum yield. We put forward the hypothesis that the chloroplast itself should be given greater prominence as a sensor, processor and integrator of highly variable environmental signals to allow a more efficient transduction of energy supply into biomass production.", "author" : [ { "dropping-particle" : "", "family" : "Murchie", "given" : "E H", "non-dropping-particle" : "", "parse-names" : false, "suffix" : "" }, { "dropping-particle" : "", "family" : "Pinto", "given" : "M", "non-dropping-particle" : "", "parse-names" : false, "suffix" : "" }, { "dropping-particle" : "", "family" : "Horton", "given" : "P", "non-dropping-particle" : "", "parse-names" : false, "suffix" : "" } ], "container-title" : "New Phytologist", "id" : "ITEM-2", "issue" : "3", "issued" : { "date-parts" : [ [ "2009", "1" ] ] }, "page" : "532-52", "title" : "Agriculture and the new challenges for photosynthesis research.", "type" : "article-journal", "volume" : "181" }, "uris" : [ "http://www.mendeley.com/documents/?uuid=a952d5fc-e3dc-47e7-b25d-704d57b6d009" ] } ], "mendeley" : { "formattedCitation" : "(Murchie &lt;i&gt;et al.&lt;/i&gt;, 2009; Masclaux-Daubresse &lt;i&gt;et al.&lt;/i&gt;, 2010)", "plainTextFormattedCitation" : "(Murchie et al., 2009; Masclaux-Daubresse et al., 2010)", "previouslyFormattedCitation" : "(Murchie &lt;i&gt;et al.&lt;/i&gt;, 2009; Masclaux-Daubresse &lt;i&gt;et al.&lt;/i&gt;, 2010)"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(Murchie </w:t>
      </w:r>
      <w:r w:rsidRPr="002C5907">
        <w:rPr>
          <w:rFonts w:ascii="Cambria" w:hAnsi="Cambria"/>
          <w:i/>
          <w:noProof/>
        </w:rPr>
        <w:t>et al.</w:t>
      </w:r>
      <w:r w:rsidRPr="002C5907">
        <w:rPr>
          <w:rFonts w:ascii="Cambria" w:hAnsi="Cambria"/>
          <w:noProof/>
        </w:rPr>
        <w:t xml:space="preserve">, 2009; Masclaux-Daubresse </w:t>
      </w:r>
      <w:r w:rsidRPr="002C5907">
        <w:rPr>
          <w:rFonts w:ascii="Cambria" w:hAnsi="Cambria"/>
          <w:i/>
          <w:noProof/>
        </w:rPr>
        <w:t>et al.</w:t>
      </w:r>
      <w:r w:rsidRPr="002C5907">
        <w:rPr>
          <w:rFonts w:ascii="Cambria" w:hAnsi="Cambria"/>
          <w:noProof/>
        </w:rPr>
        <w:t>, 2010)</w:t>
      </w:r>
      <w:r w:rsidRPr="00531789">
        <w:rPr>
          <w:rFonts w:ascii="Cambria" w:hAnsi="Cambria"/>
        </w:rPr>
        <w:fldChar w:fldCharType="end"/>
      </w:r>
      <w:r w:rsidRPr="00531789">
        <w:rPr>
          <w:rFonts w:ascii="Cambria" w:hAnsi="Cambria"/>
        </w:rPr>
        <w:t xml:space="preserve">, not least because it is an important contributor to photosynthetic efficiency.  The sink limitation uncovered here for annual barley under control conditions implies that barley crops are unable to invest excess nitrogen into growth and storage during the vegetative stage.  Additional nitrogen storage, in order to build up nitrogen reserves for subsequent grain filling, would require greater nitrogen sinks during vegetative growth.  This could reduce the dosage level of fertiliser application later in development and increase yield (rather than grain nitrogen), which is of interest for breeders and farmers working with malting barley </w:t>
      </w:r>
      <w:r w:rsidRPr="00531789">
        <w:rPr>
          <w:rFonts w:ascii="Cambria" w:hAnsi="Cambria"/>
        </w:rPr>
        <w:fldChar w:fldCharType="begin" w:fldLock="1"/>
      </w:r>
      <w:r>
        <w:rPr>
          <w:rFonts w:ascii="Cambria" w:hAnsi="Cambria"/>
        </w:rPr>
        <w:instrText>ADDIN CSL_CITATION { "citationItems" : [ { "id" : "ITEM-1", "itemData" : { "author" : [ { "dropping-particle" : "", "family" : "Syngenta Crop Protection", "given" : "", "non-dropping-particle" : "", "parse-names" : false, "suffix" : "" } ], "id" : "ITEM-1", "issued" : { "date-parts" : [ [ "2011" ] ] }, "title" : "NFC Tipple", "type" : "report" }, "uris" : [ "http://www.mendeley.com/documents/?uuid=a970ea63-981a-444c-a148-12cd43069cb0" ] } ], "mendeley" : { "formattedCitation" : "(Syngenta Crop Protection, 2011)", "plainTextFormattedCitation" : "(Syngenta Crop Protection, 2011)", "previouslyFormattedCitation" : "(Syngenta Crop Protection, 2011)" }, "properties" : { "noteIndex" : 0 }, "schema" : "https://github.com/citation-style-language/schema/raw/master/csl-citation.json" }</w:instrText>
      </w:r>
      <w:r w:rsidRPr="00531789">
        <w:rPr>
          <w:rFonts w:ascii="Cambria" w:hAnsi="Cambria"/>
        </w:rPr>
        <w:fldChar w:fldCharType="separate"/>
      </w:r>
      <w:r w:rsidRPr="00531789">
        <w:rPr>
          <w:rFonts w:ascii="Cambria" w:hAnsi="Cambria"/>
          <w:noProof/>
        </w:rPr>
        <w:t>(Syngenta Crop Protection, 2011)</w:t>
      </w:r>
      <w:r w:rsidRPr="00531789">
        <w:rPr>
          <w:rFonts w:ascii="Cambria" w:hAnsi="Cambria"/>
        </w:rPr>
        <w:fldChar w:fldCharType="end"/>
      </w:r>
      <w:r w:rsidRPr="00531789">
        <w:rPr>
          <w:rFonts w:ascii="Cambria" w:hAnsi="Cambria"/>
        </w:rPr>
        <w:t xml:space="preserve">.  Improving source and sink will enable crop ideotypes to be realised </w:t>
      </w:r>
      <w:r w:rsidRPr="00531789">
        <w:rPr>
          <w:rFonts w:ascii="Cambria" w:hAnsi="Cambria"/>
        </w:rPr>
        <w:fldChar w:fldCharType="begin" w:fldLock="1"/>
      </w:r>
      <w:r>
        <w:rPr>
          <w:rFonts w:ascii="Cambria" w:hAnsi="Cambria"/>
        </w:rPr>
        <w:instrText>ADDIN CSL_CITATION { "citationItems" : [ { "id" : "ITEM-1", "itemData" : { "DOI" : "10.1093/jxb/erq300", "ISSN" : "1460-2431", "PMID" : "20952627", "abstract" : "A substantial increase in grain yield potential is required, along with better use of water and fertilizer, to ensure food security and environmental protection in future decades. For improvements in photosynthetic capacity to result in additional wheat yield, extra assimilates must be partitioned to developing spikes and grains and/or potential grain weight increased to accommodate the extra assimilates. At the same time, improvement in dry matter partitioning to spikes should ensure that it does not increase stem or root lodging. It is therefore crucial that improvements in structural and reproductive aspects of growth accompany increases in photosynthesis to enhance the net agronomic benefits of genetic modifications. In this article, six complementary approaches are proposed, namely: (i) optimizing developmental pattern to maximize spike fertility and grain number, (ii) optimizing spike growth to maximize grain number and dry matter harvest index, (iii) improving spike fertility through desensitizing floret abortion to environmental cues, (iv) improving potential grain size and grain filling, and (v) improving lodging resistance. Since many of the traits tackled in these approaches interact strongly, an integrative modelling approach is also proposed, to (vi) identify any trade-offs between key traits, hence to define target ideotypes in quantitative terms. The potential for genetic dissection of key traits via quantitative trait loci analysis is discussed for the efficient deployment of existing variation in breeding programmes. These proposals should maximize returns in food production from investments in increased crop biomass by increasing spike fertility, grain number per unit area and harvest index whilst optimizing the trade-offs with potential grain weight and lodging resistance.", "author" : [ { "dropping-particle" : "", "family" : "Foulkes", "given" : "M John", "non-dropping-particle" : "", "parse-names" : false, "suffix" : "" }, { "dropping-particle" : "", "family" : "Slafer", "given" : "Gustavo A", "non-dropping-particle" : "", "parse-names" : false, "suffix" : "" }, { "dropping-particle" : "", "family" : "Davies", "given" : "William J", "non-dropping-particle" : "", "parse-names" : false, "suffix" : "" }, { "dropping-particle" : "", "family" : "Berry", "given" : "Pete M", "non-dropping-particle" : "", "parse-names" : false, "suffix" : "" }, { "dropping-particle" : "", "family" : "Sylvester-Bradley", "given" : "Roger", "non-dropping-particle" : "", "parse-names" : false, "suffix" : "" }, { "dropping-particle" : "", "family" : "Martre", "given" : "Pierre", "non-dropping-particle" : "", "parse-names" : false, "suffix" : "" }, { "dropping-particle" : "", "family" : "Calderini", "given" : "Daniel F", "non-dropping-particle" : "", "parse-names" : false, "suffix" : "" }, { "dropping-particle" : "", "family" : "Griffiths", "given" : "Simon", "non-dropping-particle" : "", "parse-names" : false, "suffix" : "" }, { "dropping-particle" : "", "family" : "Reynolds", "given" : "Matthew P", "non-dropping-particle" : "", "parse-names" : false, "suffix" : "" } ], "container-title" : "Journal of Experimental Botany", "id" : "ITEM-1", "issue" : "2", "issued" : { "date-parts" : [ [ "2011", "1" ] ] }, "page" : "469-86", "title" : "Raising yield potential of wheat. III. Optimizing partitioning to grain while maintaining lodging resistance.", "type" : "article-journal", "volume" : "62" }, "uris" : [ "http://www.mendeley.com/documents/?uuid=c14691dd-6133-4c29-a786-2265a333692d" ] } ], "mendeley" : { "formattedCitation" : "(Foulkes &lt;i&gt;et al.&lt;/i&gt;, 2011)", "plainTextFormattedCitation" : "(Foulkes et al., 2011)", "previouslyFormattedCitation" : "(Foulkes &lt;i&gt;et al.&lt;/i&gt;, 2011)" }, "properties" : { "noteIndex" : 0 }, "schema" : "https://github.com/citation-style-language/schema/raw/master/csl-citation.json" }</w:instrText>
      </w:r>
      <w:r w:rsidRPr="00531789">
        <w:rPr>
          <w:rFonts w:ascii="Cambria" w:hAnsi="Cambria"/>
        </w:rPr>
        <w:fldChar w:fldCharType="separate"/>
      </w:r>
      <w:r w:rsidRPr="002C5907">
        <w:rPr>
          <w:rFonts w:ascii="Cambria" w:hAnsi="Cambria"/>
          <w:noProof/>
        </w:rPr>
        <w:t xml:space="preserve">(Foulkes </w:t>
      </w:r>
      <w:r w:rsidRPr="002C5907">
        <w:rPr>
          <w:rFonts w:ascii="Cambria" w:hAnsi="Cambria"/>
          <w:i/>
          <w:noProof/>
        </w:rPr>
        <w:t>et al.</w:t>
      </w:r>
      <w:r w:rsidRPr="002C5907">
        <w:rPr>
          <w:rFonts w:ascii="Cambria" w:hAnsi="Cambria"/>
          <w:noProof/>
        </w:rPr>
        <w:t>, 2011)</w:t>
      </w:r>
      <w:r w:rsidRPr="00531789">
        <w:rPr>
          <w:rFonts w:ascii="Cambria" w:hAnsi="Cambria"/>
        </w:rPr>
        <w:fldChar w:fldCharType="end"/>
      </w:r>
      <w:r w:rsidRPr="00531789">
        <w:rPr>
          <w:rFonts w:ascii="Cambria" w:hAnsi="Cambria"/>
        </w:rPr>
        <w:t xml:space="preserve"> and in addition to an understanding of the contribution of source and sink to growth, it will be important to investigate mechanisms linking supply and demand to effectively improve the nitrogen </w:t>
      </w:r>
      <w:proofErr w:type="spellStart"/>
      <w:r w:rsidRPr="00531789">
        <w:rPr>
          <w:rFonts w:ascii="Cambria" w:hAnsi="Cambria"/>
        </w:rPr>
        <w:t>source:sink</w:t>
      </w:r>
      <w:proofErr w:type="spellEnd"/>
      <w:r w:rsidRPr="00531789">
        <w:rPr>
          <w:rFonts w:ascii="Cambria" w:hAnsi="Cambria"/>
        </w:rPr>
        <w:t xml:space="preserve"> balance. </w:t>
      </w:r>
    </w:p>
    <w:p w14:paraId="3171665A" w14:textId="77777777" w:rsidR="00DF4522" w:rsidRPr="005C2FFC" w:rsidRDefault="00DF4522" w:rsidP="00DF4522">
      <w:pPr>
        <w:spacing w:line="360" w:lineRule="auto"/>
        <w:jc w:val="both"/>
        <w:rPr>
          <w:rFonts w:ascii="Cambria" w:hAnsi="Cambria"/>
          <w:b/>
        </w:rPr>
      </w:pPr>
      <w:r>
        <w:rPr>
          <w:rFonts w:ascii="Cambria" w:hAnsi="Cambria"/>
        </w:rPr>
        <w:br w:type="page"/>
      </w:r>
    </w:p>
    <w:p w14:paraId="7141088E" w14:textId="77777777" w:rsidR="00DF4522" w:rsidRDefault="00DF4522" w:rsidP="00DF4522">
      <w:pPr>
        <w:pStyle w:val="Heading1"/>
        <w:jc w:val="center"/>
        <w:rPr>
          <w:rFonts w:ascii="Cambria" w:hAnsi="Cambria"/>
          <w:color w:val="auto"/>
        </w:rPr>
      </w:pPr>
      <w:bookmarkStart w:id="135" w:name="_Toc322267608"/>
      <w:bookmarkStart w:id="136" w:name="_Toc322267730"/>
      <w:bookmarkStart w:id="137" w:name="_Toc322267894"/>
      <w:r>
        <w:rPr>
          <w:rFonts w:ascii="Cambria" w:hAnsi="Cambria"/>
          <w:color w:val="auto"/>
        </w:rPr>
        <w:br w:type="page"/>
      </w:r>
    </w:p>
    <w:p w14:paraId="66F22765" w14:textId="77777777" w:rsidR="00DF4522" w:rsidRDefault="00DF4522" w:rsidP="00DF4522">
      <w:pPr>
        <w:pStyle w:val="Heading1"/>
        <w:jc w:val="center"/>
        <w:rPr>
          <w:rFonts w:ascii="Cambria" w:hAnsi="Cambria"/>
          <w:color w:val="auto"/>
        </w:rPr>
      </w:pPr>
    </w:p>
    <w:p w14:paraId="72DE389C" w14:textId="77777777" w:rsidR="00DF4522" w:rsidRPr="00531789" w:rsidRDefault="00DF4522" w:rsidP="00DF4522">
      <w:pPr>
        <w:pStyle w:val="Heading1"/>
        <w:jc w:val="center"/>
        <w:rPr>
          <w:rFonts w:ascii="Cambria" w:hAnsi="Cambria"/>
          <w:color w:val="auto"/>
        </w:rPr>
      </w:pPr>
      <w:bookmarkStart w:id="138" w:name="_Toc331253033"/>
      <w:r w:rsidRPr="00531789">
        <w:rPr>
          <w:rFonts w:ascii="Cambria" w:hAnsi="Cambria"/>
          <w:color w:val="auto"/>
        </w:rPr>
        <w:t>Chapter 6: General discussion</w:t>
      </w:r>
      <w:bookmarkEnd w:id="135"/>
      <w:bookmarkEnd w:id="136"/>
      <w:bookmarkEnd w:id="137"/>
      <w:bookmarkEnd w:id="138"/>
    </w:p>
    <w:p w14:paraId="522EC097" w14:textId="77777777" w:rsidR="00DF4522" w:rsidRPr="00531789" w:rsidRDefault="00DF4522" w:rsidP="00DF4522">
      <w:pPr>
        <w:rPr>
          <w:rFonts w:ascii="Cambria" w:hAnsi="Cambria"/>
        </w:rPr>
      </w:pPr>
    </w:p>
    <w:p w14:paraId="669F4DE0" w14:textId="77777777" w:rsidR="00DF4522" w:rsidRDefault="00DF4522" w:rsidP="00DF4522">
      <w:pPr>
        <w:spacing w:line="360" w:lineRule="auto"/>
        <w:jc w:val="both"/>
        <w:rPr>
          <w:rFonts w:ascii="Cambria" w:hAnsi="Cambria"/>
        </w:rPr>
      </w:pPr>
    </w:p>
    <w:p w14:paraId="087B6F3B" w14:textId="77777777" w:rsidR="00DF4522" w:rsidRPr="00531789" w:rsidRDefault="00DF4522" w:rsidP="00DF4522">
      <w:pPr>
        <w:spacing w:line="360" w:lineRule="auto"/>
        <w:jc w:val="both"/>
        <w:rPr>
          <w:rFonts w:ascii="Cambria" w:hAnsi="Cambria"/>
        </w:rPr>
      </w:pPr>
      <w:r w:rsidRPr="00531789">
        <w:rPr>
          <w:rFonts w:ascii="Cambria" w:hAnsi="Cambria"/>
        </w:rPr>
        <w:t xml:space="preserve">This thesis has examined the fundamental role played by sources and sinks in </w:t>
      </w:r>
      <w:r>
        <w:rPr>
          <w:rFonts w:ascii="Cambria" w:hAnsi="Cambria"/>
        </w:rPr>
        <w:t xml:space="preserve">determining </w:t>
      </w:r>
      <w:r w:rsidRPr="00531789">
        <w:rPr>
          <w:rFonts w:ascii="Cambria" w:hAnsi="Cambria"/>
        </w:rPr>
        <w:t xml:space="preserve">plant growth, by outlining an innovative holistic approach to plant growth and applying this </w:t>
      </w:r>
      <w:r>
        <w:rPr>
          <w:rFonts w:ascii="Cambria" w:hAnsi="Cambria"/>
        </w:rPr>
        <w:t>framework</w:t>
      </w:r>
      <w:r w:rsidRPr="00531789">
        <w:rPr>
          <w:rFonts w:ascii="Cambria" w:hAnsi="Cambria"/>
        </w:rPr>
        <w:t xml:space="preserve"> to an important crop, comparing domesticated annual and wild perennial barley species to investigate the impact of carbon and nitrogen sources and sinks on growth.  </w:t>
      </w:r>
    </w:p>
    <w:p w14:paraId="0266F0A5" w14:textId="77777777" w:rsidR="00DF4522" w:rsidRPr="00531789" w:rsidRDefault="00DF4522" w:rsidP="00DF4522">
      <w:pPr>
        <w:spacing w:line="360" w:lineRule="auto"/>
        <w:jc w:val="both"/>
        <w:rPr>
          <w:rFonts w:ascii="Cambria" w:hAnsi="Cambria"/>
        </w:rPr>
      </w:pPr>
    </w:p>
    <w:p w14:paraId="422AA4FC" w14:textId="7DFA3F65" w:rsidR="00DF4522" w:rsidRPr="00531789" w:rsidRDefault="00DF4522" w:rsidP="00DF4522">
      <w:pPr>
        <w:spacing w:line="360" w:lineRule="auto"/>
        <w:jc w:val="both"/>
        <w:rPr>
          <w:rFonts w:ascii="Cambria" w:hAnsi="Cambria"/>
        </w:rPr>
      </w:pPr>
      <w:r w:rsidRPr="00531789">
        <w:rPr>
          <w:rFonts w:ascii="Cambria" w:hAnsi="Cambria"/>
        </w:rPr>
        <w:t>Firstly, Chapter 2 laid out the basis for source and sink limitation of growth</w:t>
      </w:r>
      <w:r>
        <w:rPr>
          <w:rFonts w:ascii="Cambria" w:hAnsi="Cambria"/>
        </w:rPr>
        <w:t>, synthesised the literature in this area, and created a novel perspective which showed</w:t>
      </w:r>
      <w:r w:rsidRPr="00531789">
        <w:rPr>
          <w:rFonts w:ascii="Cambria" w:hAnsi="Cambria"/>
        </w:rPr>
        <w:t xml:space="preserve"> that growth is underpinned by source-sink interactions whether viewed through the lens of physiology, allocation or development.  Chapter 3 put the holistic viewpoint advocated in Chapter 2 into practice by investigating carbon source and sink limitation in annual barley through measurements of photosynthesis, metabolites, allocation</w:t>
      </w:r>
      <w:r>
        <w:rPr>
          <w:rFonts w:ascii="Cambria" w:hAnsi="Cambria"/>
        </w:rPr>
        <w:t xml:space="preserve"> </w:t>
      </w:r>
      <w:r w:rsidRPr="00531789">
        <w:rPr>
          <w:rFonts w:ascii="Cambria" w:hAnsi="Cambria"/>
        </w:rPr>
        <w:t>and growth in response to defoliation and transient elevated CO</w:t>
      </w:r>
      <w:r w:rsidRPr="00531789">
        <w:rPr>
          <w:rFonts w:ascii="Cambria" w:hAnsi="Cambria"/>
          <w:vertAlign w:val="subscript"/>
        </w:rPr>
        <w:t>2</w:t>
      </w:r>
      <w:r w:rsidRPr="00531789">
        <w:rPr>
          <w:rFonts w:ascii="Cambria" w:hAnsi="Cambria"/>
        </w:rPr>
        <w:t xml:space="preserve"> treatments, and found that </w:t>
      </w:r>
      <w:r>
        <w:rPr>
          <w:rFonts w:ascii="Cambria" w:hAnsi="Cambria"/>
        </w:rPr>
        <w:t>annual barley</w:t>
      </w:r>
      <w:r w:rsidRPr="00531789">
        <w:rPr>
          <w:rFonts w:ascii="Cambria" w:hAnsi="Cambria"/>
        </w:rPr>
        <w:t xml:space="preserve"> transition</w:t>
      </w:r>
      <w:r>
        <w:rPr>
          <w:rFonts w:ascii="Cambria" w:hAnsi="Cambria"/>
        </w:rPr>
        <w:t>s</w:t>
      </w:r>
      <w:r w:rsidRPr="00531789">
        <w:rPr>
          <w:rFonts w:ascii="Cambria" w:hAnsi="Cambria"/>
        </w:rPr>
        <w:t xml:space="preserve"> from being more </w:t>
      </w:r>
      <w:r>
        <w:rPr>
          <w:rFonts w:ascii="Cambria" w:hAnsi="Cambria"/>
        </w:rPr>
        <w:t xml:space="preserve">carbon </w:t>
      </w:r>
      <w:r w:rsidRPr="00531789">
        <w:rPr>
          <w:rFonts w:ascii="Cambria" w:hAnsi="Cambria"/>
        </w:rPr>
        <w:t xml:space="preserve">sink limited to more </w:t>
      </w:r>
      <w:r>
        <w:rPr>
          <w:rFonts w:ascii="Cambria" w:hAnsi="Cambria"/>
        </w:rPr>
        <w:t xml:space="preserve">carbon </w:t>
      </w:r>
      <w:r w:rsidRPr="00531789">
        <w:rPr>
          <w:rFonts w:ascii="Cambria" w:hAnsi="Cambria"/>
        </w:rPr>
        <w:t xml:space="preserve">source limited during vegetative </w:t>
      </w:r>
      <w:r>
        <w:rPr>
          <w:rFonts w:ascii="Cambria" w:hAnsi="Cambria"/>
        </w:rPr>
        <w:t>growth</w:t>
      </w:r>
      <w:r w:rsidRPr="00531789">
        <w:rPr>
          <w:rFonts w:ascii="Cambria" w:hAnsi="Cambria"/>
        </w:rPr>
        <w:t>.  Chapter 4 expanded on the work of Chapter 3, using a longer-term CO</w:t>
      </w:r>
      <w:r w:rsidRPr="00531789">
        <w:rPr>
          <w:rFonts w:ascii="Cambria" w:hAnsi="Cambria"/>
          <w:vertAlign w:val="subscript"/>
        </w:rPr>
        <w:t>2</w:t>
      </w:r>
      <w:r w:rsidRPr="00531789">
        <w:rPr>
          <w:rFonts w:ascii="Cambria" w:hAnsi="Cambria"/>
        </w:rPr>
        <w:t xml:space="preserve"> gradient to manipulate the carbon source, carrying out many more metabolite measurements, and including a second species in order to investigate the differen</w:t>
      </w:r>
      <w:r>
        <w:rPr>
          <w:rFonts w:ascii="Cambria" w:hAnsi="Cambria"/>
        </w:rPr>
        <w:t>ce in source-sink interactions between</w:t>
      </w:r>
      <w:r w:rsidRPr="00531789">
        <w:rPr>
          <w:rFonts w:ascii="Cambria" w:hAnsi="Cambria"/>
        </w:rPr>
        <w:t xml:space="preserve"> species with different growth rates.  </w:t>
      </w:r>
      <w:r>
        <w:rPr>
          <w:rFonts w:ascii="Cambria" w:hAnsi="Cambria"/>
        </w:rPr>
        <w:t>This work showed</w:t>
      </w:r>
      <w:r w:rsidRPr="00531789">
        <w:rPr>
          <w:rFonts w:ascii="Cambria" w:hAnsi="Cambria"/>
        </w:rPr>
        <w:t xml:space="preserve"> that growth in annual barley is more carbon sink limited whilst growth in perennial barley is more carbon source limited during vegetative development.  Finally, Chapter 5 shifted the focus from carbon to nitrogen sources and sinks in order to </w:t>
      </w:r>
      <w:r>
        <w:rPr>
          <w:rFonts w:ascii="Cambria" w:hAnsi="Cambria"/>
        </w:rPr>
        <w:t>test their limiting effects on growth</w:t>
      </w:r>
      <w:r w:rsidRPr="00531789">
        <w:rPr>
          <w:rFonts w:ascii="Cambria" w:hAnsi="Cambria"/>
        </w:rPr>
        <w:t xml:space="preserve">, and measured nitrogen uptake, metabolites, allocation and growth in annual and perennial barley grown along a nitrogen gradient and harvested at three time points during vegetative growth.  </w:t>
      </w:r>
      <w:r>
        <w:rPr>
          <w:rFonts w:ascii="Cambria" w:hAnsi="Cambria"/>
        </w:rPr>
        <w:t>This work</w:t>
      </w:r>
      <w:r w:rsidRPr="00531789">
        <w:rPr>
          <w:rFonts w:ascii="Cambria" w:hAnsi="Cambria"/>
        </w:rPr>
        <w:t xml:space="preserve"> found that both species are nitrogen sink limited during vegetative growth, but that this nitrogen sink limitation is particularly strong in the </w:t>
      </w:r>
      <w:r w:rsidR="009F095C">
        <w:rPr>
          <w:rFonts w:ascii="Cambria" w:hAnsi="Cambria"/>
        </w:rPr>
        <w:t>annual</w:t>
      </w:r>
      <w:r w:rsidRPr="00531789">
        <w:rPr>
          <w:rFonts w:ascii="Cambria" w:hAnsi="Cambria"/>
        </w:rPr>
        <w:t xml:space="preserve">.  </w:t>
      </w:r>
    </w:p>
    <w:p w14:paraId="113DB4A1" w14:textId="15AC194E" w:rsidR="00DF4522" w:rsidRDefault="00740304" w:rsidP="00DF4522">
      <w:pPr>
        <w:spacing w:line="360" w:lineRule="auto"/>
        <w:jc w:val="both"/>
        <w:rPr>
          <w:rFonts w:ascii="Cambria" w:hAnsi="Cambria"/>
          <w:b/>
        </w:rPr>
      </w:pPr>
      <w:r>
        <w:rPr>
          <w:rFonts w:ascii="Cambria" w:hAnsi="Cambria"/>
          <w:b/>
        </w:rPr>
        <w:t xml:space="preserve">Elasticities </w:t>
      </w:r>
    </w:p>
    <w:p w14:paraId="59EA898F" w14:textId="77777777" w:rsidR="00740304" w:rsidRPr="00740304" w:rsidRDefault="00740304" w:rsidP="00DF4522">
      <w:pPr>
        <w:spacing w:line="360" w:lineRule="auto"/>
        <w:jc w:val="both"/>
        <w:rPr>
          <w:rFonts w:ascii="Cambria" w:hAnsi="Cambria"/>
          <w:b/>
        </w:rPr>
      </w:pPr>
    </w:p>
    <w:p w14:paraId="074742C2" w14:textId="77777777" w:rsidR="00DF4522" w:rsidRPr="00531789" w:rsidRDefault="00DF4522" w:rsidP="00DF4522">
      <w:pPr>
        <w:spacing w:line="360" w:lineRule="auto"/>
        <w:jc w:val="both"/>
        <w:rPr>
          <w:rFonts w:ascii="Cambria" w:hAnsi="Cambria"/>
        </w:rPr>
      </w:pPr>
      <w:r w:rsidRPr="00531789">
        <w:rPr>
          <w:rFonts w:ascii="Cambria" w:hAnsi="Cambria"/>
        </w:rPr>
        <w:t xml:space="preserve">Plotting elasticities of the parameters measured in chapters 4 and 5 provides a unification of responses to carbon and nitrogen gradients in annual and perennial barley, which is especially pertinent given the crossover between carbon and nitrogen sinks and sources.  Elasticities, or proportional sensitivities, </w:t>
      </w:r>
      <w:r>
        <w:rPr>
          <w:rFonts w:ascii="Cambria" w:hAnsi="Cambria"/>
        </w:rPr>
        <w:t xml:space="preserve">estimate the </w:t>
      </w:r>
      <w:r w:rsidRPr="00531789">
        <w:rPr>
          <w:rFonts w:ascii="Cambria" w:hAnsi="Cambria"/>
        </w:rPr>
        <w:t xml:space="preserve">fractional change in </w:t>
      </w:r>
      <w:r>
        <w:rPr>
          <w:rFonts w:ascii="Cambria" w:hAnsi="Cambria"/>
        </w:rPr>
        <w:t xml:space="preserve">one parameter as a result of a fractional change in another, </w:t>
      </w:r>
      <w:r w:rsidRPr="00531789">
        <w:rPr>
          <w:rFonts w:ascii="Cambria" w:hAnsi="Cambria"/>
        </w:rPr>
        <w:t xml:space="preserve">and may be obtained directly from the slope of log-log plots.  A high elasticity value therefore denotes a strong response of the </w:t>
      </w:r>
      <w:r w:rsidRPr="005427C3">
        <w:rPr>
          <w:rFonts w:ascii="Cambria" w:hAnsi="Cambria"/>
          <w:i/>
        </w:rPr>
        <w:t>y</w:t>
      </w:r>
      <w:r w:rsidRPr="00531789">
        <w:rPr>
          <w:rFonts w:ascii="Cambria" w:hAnsi="Cambria"/>
        </w:rPr>
        <w:t xml:space="preserve">-axis parameter to the </w:t>
      </w:r>
      <w:r w:rsidRPr="001B19B3">
        <w:rPr>
          <w:rFonts w:ascii="Cambria" w:hAnsi="Cambria"/>
          <w:i/>
        </w:rPr>
        <w:t>x</w:t>
      </w:r>
      <w:r w:rsidRPr="00531789">
        <w:rPr>
          <w:rFonts w:ascii="Cambria" w:hAnsi="Cambria"/>
        </w:rPr>
        <w:t>-axis parameter</w:t>
      </w:r>
      <w:r>
        <w:rPr>
          <w:rFonts w:ascii="Cambria" w:hAnsi="Cambria"/>
        </w:rPr>
        <w:t xml:space="preserve">: for example, an elasticity of +0.1 denotes a 10% increase in </w:t>
      </w:r>
      <w:r>
        <w:rPr>
          <w:rFonts w:ascii="Cambria" w:hAnsi="Cambria"/>
          <w:i/>
        </w:rPr>
        <w:t xml:space="preserve">y </w:t>
      </w:r>
      <w:r>
        <w:rPr>
          <w:rFonts w:ascii="Cambria" w:hAnsi="Cambria"/>
        </w:rPr>
        <w:t xml:space="preserve">for a 100% increase in </w:t>
      </w:r>
      <w:r>
        <w:rPr>
          <w:rFonts w:ascii="Cambria" w:hAnsi="Cambria"/>
          <w:i/>
        </w:rPr>
        <w:t>x</w:t>
      </w:r>
      <w:r w:rsidRPr="00531789">
        <w:rPr>
          <w:rFonts w:ascii="Cambria" w:hAnsi="Cambria"/>
        </w:rPr>
        <w:t>.</w:t>
      </w:r>
      <w:r>
        <w:rPr>
          <w:rFonts w:ascii="Cambria" w:hAnsi="Cambria"/>
        </w:rPr>
        <w:t xml:space="preserve">  Although e</w:t>
      </w:r>
      <w:r w:rsidRPr="00531789">
        <w:rPr>
          <w:rFonts w:ascii="Cambria" w:hAnsi="Cambria"/>
        </w:rPr>
        <w:t xml:space="preserve">lasticities alone are informative, </w:t>
      </w:r>
      <w:r>
        <w:rPr>
          <w:rFonts w:ascii="Cambria" w:hAnsi="Cambria"/>
        </w:rPr>
        <w:t>they</w:t>
      </w:r>
      <w:r w:rsidRPr="00531789">
        <w:rPr>
          <w:rFonts w:ascii="Cambria" w:hAnsi="Cambria"/>
        </w:rPr>
        <w:t xml:space="preserve"> may also be used to obtain flux control coefficients, which describe relationships between the activity of each process measured (resource uptake, storage and use in growth) and the system as a whole</w:t>
      </w:r>
      <w:r>
        <w:rPr>
          <w:rFonts w:ascii="Cambria" w:hAnsi="Cambria"/>
        </w:rPr>
        <w:t>.  This gives</w:t>
      </w:r>
      <w:r w:rsidRPr="00531789">
        <w:rPr>
          <w:rFonts w:ascii="Cambria" w:hAnsi="Cambria"/>
        </w:rPr>
        <w:t xml:space="preserve"> even better information </w:t>
      </w:r>
      <w:r>
        <w:rPr>
          <w:rFonts w:ascii="Cambria" w:hAnsi="Cambria"/>
        </w:rPr>
        <w:t>about</w:t>
      </w:r>
      <w:r w:rsidRPr="00531789">
        <w:rPr>
          <w:rFonts w:ascii="Cambria" w:hAnsi="Cambria"/>
        </w:rPr>
        <w:t xml:space="preserve"> the degree of control exerted by each process over growth, and will be considered in future work.  Here, elasticities are presented </w:t>
      </w:r>
      <w:r>
        <w:rPr>
          <w:rFonts w:ascii="Cambria" w:hAnsi="Cambria"/>
        </w:rPr>
        <w:t>to show</w:t>
      </w:r>
      <w:r w:rsidRPr="00531789">
        <w:rPr>
          <w:rFonts w:ascii="Cambria" w:hAnsi="Cambria"/>
        </w:rPr>
        <w:t xml:space="preserve"> the response</w:t>
      </w:r>
      <w:r>
        <w:rPr>
          <w:rFonts w:ascii="Cambria" w:hAnsi="Cambria"/>
        </w:rPr>
        <w:t>s</w:t>
      </w:r>
      <w:r w:rsidRPr="00531789">
        <w:rPr>
          <w:rFonts w:ascii="Cambria" w:hAnsi="Cambria"/>
        </w:rPr>
        <w:t xml:space="preserve"> of resource uptake, storage and use in growth</w:t>
      </w:r>
      <w:r>
        <w:rPr>
          <w:rFonts w:ascii="Cambria" w:hAnsi="Cambria"/>
        </w:rPr>
        <w:t>:</w:t>
      </w:r>
      <w:r w:rsidRPr="00531789">
        <w:rPr>
          <w:rFonts w:ascii="Cambria" w:hAnsi="Cambria"/>
        </w:rPr>
        <w:t xml:space="preserve"> firstly to CO</w:t>
      </w:r>
      <w:r w:rsidRPr="00531789">
        <w:rPr>
          <w:rFonts w:ascii="Cambria" w:hAnsi="Cambria"/>
          <w:vertAlign w:val="subscript"/>
        </w:rPr>
        <w:t>2</w:t>
      </w:r>
      <w:r w:rsidRPr="00531789">
        <w:rPr>
          <w:rFonts w:ascii="Cambria" w:hAnsi="Cambria"/>
        </w:rPr>
        <w:t xml:space="preserve"> and nitrogen gradients</w:t>
      </w:r>
      <w:r>
        <w:rPr>
          <w:rFonts w:ascii="Cambria" w:hAnsi="Cambria"/>
        </w:rPr>
        <w:t>;</w:t>
      </w:r>
      <w:r w:rsidRPr="00531789">
        <w:rPr>
          <w:rFonts w:ascii="Cambria" w:hAnsi="Cambria"/>
        </w:rPr>
        <w:t xml:space="preserve"> and secondly to the intermediate pool of transport sugars.  Manipulating CO</w:t>
      </w:r>
      <w:r w:rsidRPr="00531789">
        <w:rPr>
          <w:rFonts w:ascii="Cambria" w:hAnsi="Cambria"/>
          <w:vertAlign w:val="subscript"/>
        </w:rPr>
        <w:t>2</w:t>
      </w:r>
      <w:r w:rsidRPr="00531789">
        <w:rPr>
          <w:rFonts w:ascii="Cambria" w:hAnsi="Cambria"/>
        </w:rPr>
        <w:t xml:space="preserve"> affects the carbon source and the nitrogen sink; conversely, manipulating nitrogen affects the nitrogen source and the carbon sink; transport sugars provide an intermediate pool that is linked to </w:t>
      </w:r>
      <w:r>
        <w:rPr>
          <w:rFonts w:ascii="Cambria" w:hAnsi="Cambria"/>
        </w:rPr>
        <w:t xml:space="preserve">resource </w:t>
      </w:r>
      <w:r w:rsidRPr="00531789">
        <w:rPr>
          <w:rFonts w:ascii="Cambria" w:hAnsi="Cambria"/>
        </w:rPr>
        <w:t>uptake, storage and growth.  To enable unification, data shown here are from plants measured 6-7 weeks after germination (47-49 days after germination for the CO</w:t>
      </w:r>
      <w:r w:rsidRPr="00531789">
        <w:rPr>
          <w:rFonts w:ascii="Cambria" w:hAnsi="Cambria"/>
          <w:vertAlign w:val="subscript"/>
        </w:rPr>
        <w:t>2</w:t>
      </w:r>
      <w:r w:rsidRPr="00531789">
        <w:rPr>
          <w:rFonts w:ascii="Cambria" w:hAnsi="Cambria"/>
        </w:rPr>
        <w:t xml:space="preserve"> gradient; 42 days after germination for the nitrogen gradient) and are from plants harvested pre-dawn. </w:t>
      </w:r>
    </w:p>
    <w:p w14:paraId="53D8BDC7" w14:textId="77777777" w:rsidR="00DF4522" w:rsidRPr="00531789" w:rsidRDefault="00DF4522" w:rsidP="00DF4522">
      <w:pPr>
        <w:spacing w:line="360" w:lineRule="auto"/>
        <w:jc w:val="both"/>
        <w:rPr>
          <w:rFonts w:ascii="Cambria" w:hAnsi="Cambria"/>
        </w:rPr>
      </w:pPr>
    </w:p>
    <w:p w14:paraId="3CF56910" w14:textId="2A6D9878" w:rsidR="00DF4522" w:rsidRPr="001576E2" w:rsidRDefault="00DF4522" w:rsidP="00DF4522">
      <w:pPr>
        <w:spacing w:line="360" w:lineRule="auto"/>
        <w:jc w:val="both"/>
        <w:rPr>
          <w:rFonts w:ascii="Cambria" w:hAnsi="Cambria"/>
        </w:rPr>
      </w:pPr>
      <w:r w:rsidRPr="00531789">
        <w:rPr>
          <w:rFonts w:ascii="Cambria" w:hAnsi="Cambria"/>
        </w:rPr>
        <w:t xml:space="preserve">In annual barley, RGR (Fig. 1A and B) responds more strongly to </w:t>
      </w:r>
      <w:r w:rsidR="00967B94">
        <w:rPr>
          <w:rFonts w:ascii="Cambria" w:hAnsi="Cambria"/>
        </w:rPr>
        <w:t>nitrogen</w:t>
      </w:r>
      <w:r w:rsidRPr="00531789">
        <w:rPr>
          <w:rFonts w:ascii="Cambria" w:hAnsi="Cambria"/>
        </w:rPr>
        <w:t xml:space="preserve"> gradient than to </w:t>
      </w:r>
      <w:r w:rsidR="00967B94">
        <w:rPr>
          <w:rFonts w:ascii="Cambria" w:hAnsi="Cambria"/>
        </w:rPr>
        <w:t>CO</w:t>
      </w:r>
      <w:r w:rsidR="00967B94" w:rsidRPr="00967B94">
        <w:rPr>
          <w:rFonts w:ascii="Cambria" w:hAnsi="Cambria"/>
          <w:vertAlign w:val="subscript"/>
        </w:rPr>
        <w:t>2</w:t>
      </w:r>
      <w:r w:rsidRPr="00531789">
        <w:rPr>
          <w:rFonts w:ascii="Cambria" w:hAnsi="Cambria"/>
        </w:rPr>
        <w:t xml:space="preserve"> gradient, with an elasticity of -0.175 for CO</w:t>
      </w:r>
      <w:r w:rsidRPr="00531789">
        <w:rPr>
          <w:rFonts w:ascii="Cambria" w:hAnsi="Cambria"/>
          <w:vertAlign w:val="subscript"/>
        </w:rPr>
        <w:t>2</w:t>
      </w:r>
      <w:r w:rsidR="00967B94">
        <w:rPr>
          <w:rFonts w:ascii="Cambria" w:hAnsi="Cambria"/>
        </w:rPr>
        <w:t xml:space="preserve"> and 0.263</w:t>
      </w:r>
      <w:r w:rsidRPr="00531789">
        <w:rPr>
          <w:rFonts w:ascii="Cambria" w:hAnsi="Cambria"/>
        </w:rPr>
        <w:t xml:space="preserve"> for nitrogen; in the perennial, RGR is more responsive to nitrogen gradient (0.</w:t>
      </w:r>
      <w:r w:rsidR="00967B94">
        <w:rPr>
          <w:rFonts w:ascii="Cambria" w:hAnsi="Cambria"/>
        </w:rPr>
        <w:t>263</w:t>
      </w:r>
      <w:r w:rsidRPr="00531789">
        <w:rPr>
          <w:rFonts w:ascii="Cambria" w:hAnsi="Cambria"/>
        </w:rPr>
        <w:t>) than CO</w:t>
      </w:r>
      <w:r w:rsidRPr="00531789">
        <w:rPr>
          <w:rFonts w:ascii="Cambria" w:hAnsi="Cambria"/>
          <w:vertAlign w:val="subscript"/>
        </w:rPr>
        <w:t>2</w:t>
      </w:r>
      <w:r w:rsidRPr="00531789">
        <w:rPr>
          <w:rFonts w:ascii="Cambria" w:hAnsi="Cambria"/>
        </w:rPr>
        <w:t xml:space="preserve"> gradient (-0.003).  The overall r</w:t>
      </w:r>
      <w:r w:rsidRPr="00531789">
        <w:rPr>
          <w:rFonts w:ascii="Cambria" w:hAnsi="Cambria"/>
          <w:vertAlign w:val="superscript"/>
        </w:rPr>
        <w:t>2</w:t>
      </w:r>
      <w:r w:rsidRPr="00531789">
        <w:rPr>
          <w:rFonts w:ascii="Cambria" w:hAnsi="Cambria"/>
        </w:rPr>
        <w:t xml:space="preserve"> value is 0.97 for RGR </w:t>
      </w:r>
      <w:r>
        <w:rPr>
          <w:rFonts w:ascii="Cambria" w:hAnsi="Cambria"/>
        </w:rPr>
        <w:t>across the</w:t>
      </w:r>
      <w:r w:rsidRPr="00531789">
        <w:rPr>
          <w:rFonts w:ascii="Cambria" w:hAnsi="Cambria"/>
        </w:rPr>
        <w:t xml:space="preserve"> CO</w:t>
      </w:r>
      <w:r w:rsidRPr="00531789">
        <w:rPr>
          <w:rFonts w:ascii="Cambria" w:hAnsi="Cambria"/>
          <w:vertAlign w:val="subscript"/>
        </w:rPr>
        <w:t>2</w:t>
      </w:r>
      <w:r w:rsidR="00967B94">
        <w:rPr>
          <w:rFonts w:ascii="Cambria" w:hAnsi="Cambria"/>
        </w:rPr>
        <w:t xml:space="preserve"> gradient and 0.71</w:t>
      </w:r>
      <w:r w:rsidRPr="00531789">
        <w:rPr>
          <w:rFonts w:ascii="Cambria" w:hAnsi="Cambria"/>
        </w:rPr>
        <w:t xml:space="preserve"> for RGR </w:t>
      </w:r>
      <w:r>
        <w:rPr>
          <w:rFonts w:ascii="Cambria" w:hAnsi="Cambria"/>
        </w:rPr>
        <w:t>across the</w:t>
      </w:r>
      <w:r w:rsidRPr="00531789">
        <w:rPr>
          <w:rFonts w:ascii="Cambria" w:hAnsi="Cambria"/>
        </w:rPr>
        <w:t xml:space="preserve"> nitrogen gradient.  However, all these responses are relatively low, suggesting relatively low control of growth rate by resource availability.  </w:t>
      </w:r>
      <w:r>
        <w:rPr>
          <w:rFonts w:ascii="Cambria" w:hAnsi="Cambria"/>
        </w:rPr>
        <w:t>Because RGR peaks earlier when plants are grown under elevated CO</w:t>
      </w:r>
      <w:r w:rsidRPr="00AF4948">
        <w:rPr>
          <w:rFonts w:ascii="Cambria" w:hAnsi="Cambria"/>
          <w:vertAlign w:val="subscript"/>
        </w:rPr>
        <w:t>2</w:t>
      </w:r>
      <w:r>
        <w:rPr>
          <w:rFonts w:ascii="Cambria" w:hAnsi="Cambria"/>
        </w:rPr>
        <w:t xml:space="preserve"> (Chapter 4), growth in plants measured 6-7 weeks after germination is faster at low CO</w:t>
      </w:r>
      <w:r w:rsidRPr="00AF4948">
        <w:rPr>
          <w:rFonts w:ascii="Cambria" w:hAnsi="Cambria"/>
          <w:vertAlign w:val="subscript"/>
        </w:rPr>
        <w:t>2</w:t>
      </w:r>
      <w:r>
        <w:rPr>
          <w:rFonts w:ascii="Cambria" w:hAnsi="Cambria"/>
        </w:rPr>
        <w:t xml:space="preserve"> than at elevated CO</w:t>
      </w:r>
      <w:r w:rsidRPr="00AF4948">
        <w:rPr>
          <w:rFonts w:ascii="Cambria" w:hAnsi="Cambria"/>
          <w:vertAlign w:val="subscript"/>
        </w:rPr>
        <w:t>2</w:t>
      </w:r>
      <w:r>
        <w:rPr>
          <w:rFonts w:ascii="Cambria" w:hAnsi="Cambria"/>
          <w:vertAlign w:val="subscript"/>
        </w:rPr>
        <w:t xml:space="preserve"> </w:t>
      </w:r>
      <w:r>
        <w:rPr>
          <w:rFonts w:ascii="Cambria" w:hAnsi="Cambria"/>
        </w:rPr>
        <w:t>giving a negative elasticity, but this is an ontogenetic artefact and the relationship between RGR and CO</w:t>
      </w:r>
      <w:r w:rsidRPr="00184078">
        <w:rPr>
          <w:rFonts w:ascii="Cambria" w:hAnsi="Cambria"/>
          <w:vertAlign w:val="subscript"/>
        </w:rPr>
        <w:t>2</w:t>
      </w:r>
      <w:r>
        <w:rPr>
          <w:rFonts w:ascii="Cambria" w:hAnsi="Cambria"/>
        </w:rPr>
        <w:t xml:space="preserve"> is usually positive (Chapter 4).  </w:t>
      </w:r>
      <w:r w:rsidR="00D35C0F">
        <w:rPr>
          <w:rFonts w:ascii="Cambria" w:hAnsi="Cambria"/>
        </w:rPr>
        <w:t xml:space="preserve">For these elasticity plots, </w:t>
      </w:r>
      <w:r w:rsidR="001576E2">
        <w:rPr>
          <w:rFonts w:ascii="Cambria" w:hAnsi="Cambria"/>
        </w:rPr>
        <w:t>RGR values for CO</w:t>
      </w:r>
      <w:r w:rsidR="001576E2" w:rsidRPr="001576E2">
        <w:rPr>
          <w:rFonts w:ascii="Cambria" w:hAnsi="Cambria"/>
          <w:vertAlign w:val="subscript"/>
        </w:rPr>
        <w:t>2</w:t>
      </w:r>
      <w:r w:rsidR="001576E2">
        <w:rPr>
          <w:rFonts w:ascii="Cambria" w:hAnsi="Cambria"/>
          <w:vertAlign w:val="subscript"/>
        </w:rPr>
        <w:t xml:space="preserve"> </w:t>
      </w:r>
      <w:r w:rsidR="00D35C0F">
        <w:rPr>
          <w:rFonts w:ascii="Cambria" w:hAnsi="Cambria"/>
        </w:rPr>
        <w:t>show RGR</w:t>
      </w:r>
      <w:r w:rsidR="001576E2">
        <w:rPr>
          <w:rFonts w:ascii="Cambria" w:hAnsi="Cambria"/>
        </w:rPr>
        <w:t xml:space="preserve"> at time of harvest, wh</w:t>
      </w:r>
      <w:r w:rsidR="00D35C0F">
        <w:rPr>
          <w:rFonts w:ascii="Cambria" w:hAnsi="Cambria"/>
        </w:rPr>
        <w:t>ilst RGR values for nitrogen show</w:t>
      </w:r>
      <w:r w:rsidR="001576E2">
        <w:rPr>
          <w:rFonts w:ascii="Cambria" w:hAnsi="Cambria"/>
        </w:rPr>
        <w:t xml:space="preserve"> overall RGR (Cha</w:t>
      </w:r>
      <w:r w:rsidR="00D35C0F">
        <w:rPr>
          <w:rFonts w:ascii="Cambria" w:hAnsi="Cambria"/>
        </w:rPr>
        <w:t>p</w:t>
      </w:r>
      <w:r w:rsidR="001576E2">
        <w:rPr>
          <w:rFonts w:ascii="Cambria" w:hAnsi="Cambria"/>
        </w:rPr>
        <w:t>ter 5</w:t>
      </w:r>
      <w:r w:rsidR="00D35C0F">
        <w:rPr>
          <w:rFonts w:ascii="Cambria" w:hAnsi="Cambria"/>
        </w:rPr>
        <w:t>)</w:t>
      </w:r>
      <w:r w:rsidR="001576E2">
        <w:rPr>
          <w:rFonts w:ascii="Cambria" w:hAnsi="Cambria"/>
        </w:rPr>
        <w:t>.</w:t>
      </w:r>
    </w:p>
    <w:p w14:paraId="2DCC68A0" w14:textId="77777777" w:rsidR="00DF4522" w:rsidRPr="00531789" w:rsidRDefault="00DF4522" w:rsidP="00DF4522">
      <w:pPr>
        <w:spacing w:line="360" w:lineRule="auto"/>
        <w:jc w:val="both"/>
        <w:rPr>
          <w:rFonts w:ascii="Cambria" w:hAnsi="Cambria"/>
        </w:rPr>
      </w:pPr>
    </w:p>
    <w:p w14:paraId="15D6857D" w14:textId="77777777" w:rsidR="00DF4522" w:rsidRPr="00531789" w:rsidRDefault="00DF4522" w:rsidP="00DF4522">
      <w:pPr>
        <w:spacing w:line="360" w:lineRule="auto"/>
        <w:jc w:val="both"/>
        <w:rPr>
          <w:rFonts w:ascii="Cambria" w:hAnsi="Cambria"/>
        </w:rPr>
      </w:pPr>
      <w:r w:rsidRPr="00531789">
        <w:rPr>
          <w:rFonts w:ascii="Cambria" w:hAnsi="Cambria"/>
        </w:rPr>
        <w:t xml:space="preserve">In both species, resource uptake (Fig. 1C and D) responds to resource availability, with </w:t>
      </w:r>
      <w:r>
        <w:rPr>
          <w:rFonts w:ascii="Cambria" w:hAnsi="Cambria"/>
        </w:rPr>
        <w:t>higher</w:t>
      </w:r>
      <w:r w:rsidRPr="00531789">
        <w:rPr>
          <w:rFonts w:ascii="Cambria" w:hAnsi="Cambria"/>
        </w:rPr>
        <w:t xml:space="preserve"> elasticity than that seen for RGR.  This resp</w:t>
      </w:r>
      <w:r>
        <w:rPr>
          <w:rFonts w:ascii="Cambria" w:hAnsi="Cambria"/>
        </w:rPr>
        <w:t xml:space="preserve">onse is especially strong across the </w:t>
      </w:r>
      <w:r w:rsidRPr="00531789">
        <w:rPr>
          <w:rFonts w:ascii="Cambria" w:hAnsi="Cambria"/>
        </w:rPr>
        <w:t>CO</w:t>
      </w:r>
      <w:r w:rsidRPr="00531789">
        <w:rPr>
          <w:rFonts w:ascii="Cambria" w:hAnsi="Cambria"/>
          <w:vertAlign w:val="subscript"/>
        </w:rPr>
        <w:t>2</w:t>
      </w:r>
      <w:r w:rsidRPr="00531789">
        <w:rPr>
          <w:rFonts w:ascii="Cambria" w:hAnsi="Cambria"/>
        </w:rPr>
        <w:t xml:space="preserve"> gradient in the perennial, which has an elasticity of 0.531, whilst the annual has an elasticity of 0.284, and both species have an elasticity of</w:t>
      </w:r>
      <w:r>
        <w:rPr>
          <w:rFonts w:ascii="Cambria" w:hAnsi="Cambria"/>
        </w:rPr>
        <w:t xml:space="preserve"> 0.333 for nitrogen uptake across the</w:t>
      </w:r>
      <w:r w:rsidRPr="00531789">
        <w:rPr>
          <w:rFonts w:ascii="Cambria" w:hAnsi="Cambria"/>
        </w:rPr>
        <w:t xml:space="preserve"> nitrogen gradient.  The overall r</w:t>
      </w:r>
      <w:r w:rsidRPr="00531789">
        <w:rPr>
          <w:rFonts w:ascii="Cambria" w:hAnsi="Cambria"/>
          <w:vertAlign w:val="superscript"/>
        </w:rPr>
        <w:t>2</w:t>
      </w:r>
      <w:r w:rsidRPr="00531789">
        <w:rPr>
          <w:rFonts w:ascii="Cambria" w:hAnsi="Cambria"/>
        </w:rPr>
        <w:t xml:space="preserve"> value</w:t>
      </w:r>
      <w:r>
        <w:rPr>
          <w:rFonts w:ascii="Cambria" w:hAnsi="Cambria"/>
        </w:rPr>
        <w:t xml:space="preserve"> is 0.91 for carbon uptake across the</w:t>
      </w:r>
      <w:r w:rsidRPr="00531789">
        <w:rPr>
          <w:rFonts w:ascii="Cambria" w:hAnsi="Cambria"/>
        </w:rPr>
        <w:t xml:space="preserve"> CO</w:t>
      </w:r>
      <w:r w:rsidRPr="00531789">
        <w:rPr>
          <w:rFonts w:ascii="Cambria" w:hAnsi="Cambria"/>
          <w:vertAlign w:val="subscript"/>
        </w:rPr>
        <w:t>2</w:t>
      </w:r>
      <w:r w:rsidRPr="00531789">
        <w:rPr>
          <w:rFonts w:ascii="Cambria" w:hAnsi="Cambria"/>
        </w:rPr>
        <w:t xml:space="preserve"> gradient and 0.75 for nitrogen uptake </w:t>
      </w:r>
      <w:r>
        <w:rPr>
          <w:rFonts w:ascii="Cambria" w:hAnsi="Cambria"/>
        </w:rPr>
        <w:t>across the</w:t>
      </w:r>
      <w:r w:rsidRPr="00531789">
        <w:rPr>
          <w:rFonts w:ascii="Cambria" w:hAnsi="Cambria"/>
        </w:rPr>
        <w:t xml:space="preserve"> nitrogen gradient.  Thus increasing carbon and nitrogen source</w:t>
      </w:r>
      <w:r>
        <w:rPr>
          <w:rFonts w:ascii="Cambria" w:hAnsi="Cambria"/>
        </w:rPr>
        <w:t>s</w:t>
      </w:r>
      <w:r w:rsidRPr="00531789">
        <w:rPr>
          <w:rFonts w:ascii="Cambria" w:hAnsi="Cambria"/>
        </w:rPr>
        <w:t xml:space="preserve"> respectively has a strong influence on uptake of carbon and nitrogen resources.</w:t>
      </w:r>
    </w:p>
    <w:p w14:paraId="61CBCB33" w14:textId="77777777" w:rsidR="00DF4522" w:rsidRPr="00531789" w:rsidRDefault="00DF4522" w:rsidP="00DF4522">
      <w:pPr>
        <w:spacing w:line="360" w:lineRule="auto"/>
        <w:jc w:val="both"/>
        <w:rPr>
          <w:rFonts w:ascii="Cambria" w:hAnsi="Cambria"/>
        </w:rPr>
      </w:pPr>
    </w:p>
    <w:p w14:paraId="623F459B" w14:textId="3633E1AA" w:rsidR="00DF4522" w:rsidRPr="00531789" w:rsidRDefault="00DF4522" w:rsidP="00DF4522">
      <w:pPr>
        <w:spacing w:line="360" w:lineRule="auto"/>
        <w:jc w:val="both"/>
        <w:rPr>
          <w:rFonts w:ascii="Cambria" w:hAnsi="Cambria"/>
        </w:rPr>
      </w:pPr>
      <w:r w:rsidRPr="00531789">
        <w:rPr>
          <w:rFonts w:ascii="Cambria" w:hAnsi="Cambria"/>
        </w:rPr>
        <w:t>Carbon concentration (Fig. 1E and F) increases with CO</w:t>
      </w:r>
      <w:r w:rsidRPr="00531789">
        <w:rPr>
          <w:rFonts w:ascii="Cambria" w:hAnsi="Cambria"/>
          <w:vertAlign w:val="subscript"/>
        </w:rPr>
        <w:t>2</w:t>
      </w:r>
      <w:r w:rsidRPr="00531789">
        <w:rPr>
          <w:rFonts w:ascii="Cambria" w:hAnsi="Cambria"/>
        </w:rPr>
        <w:t xml:space="preserve"> gradient in the perennial, having an elasticity of 0.196, but is unresponsive to CO</w:t>
      </w:r>
      <w:r w:rsidRPr="00531789">
        <w:rPr>
          <w:rFonts w:ascii="Cambria" w:hAnsi="Cambria"/>
          <w:vertAlign w:val="subscript"/>
        </w:rPr>
        <w:t>2</w:t>
      </w:r>
      <w:r w:rsidRPr="00531789">
        <w:rPr>
          <w:rFonts w:ascii="Cambria" w:hAnsi="Cambria"/>
        </w:rPr>
        <w:t xml:space="preserve"> gradient in the annual (0.014) or to nitrogen gradient in either the annual (-0.005) or the perennial (0.015).  The overall r</w:t>
      </w:r>
      <w:r w:rsidRPr="00531789">
        <w:rPr>
          <w:rFonts w:ascii="Cambria" w:hAnsi="Cambria"/>
          <w:vertAlign w:val="superscript"/>
        </w:rPr>
        <w:t>2</w:t>
      </w:r>
      <w:r w:rsidRPr="00531789">
        <w:rPr>
          <w:rFonts w:ascii="Cambria" w:hAnsi="Cambria"/>
        </w:rPr>
        <w:t xml:space="preserve"> value is 0.70 for carbon storage </w:t>
      </w:r>
      <w:r>
        <w:rPr>
          <w:rFonts w:ascii="Cambria" w:hAnsi="Cambria"/>
        </w:rPr>
        <w:t>across the</w:t>
      </w:r>
      <w:r w:rsidRPr="00531789">
        <w:rPr>
          <w:rFonts w:ascii="Cambria" w:hAnsi="Cambria"/>
        </w:rPr>
        <w:t xml:space="preserve"> CO</w:t>
      </w:r>
      <w:r w:rsidRPr="00531789">
        <w:rPr>
          <w:rFonts w:ascii="Cambria" w:hAnsi="Cambria"/>
          <w:vertAlign w:val="subscript"/>
        </w:rPr>
        <w:t>2</w:t>
      </w:r>
      <w:r w:rsidRPr="00531789">
        <w:rPr>
          <w:rFonts w:ascii="Cambria" w:hAnsi="Cambria"/>
        </w:rPr>
        <w:t xml:space="preserve"> gradient and 0.46 for carbon storage </w:t>
      </w:r>
      <w:r>
        <w:rPr>
          <w:rFonts w:ascii="Cambria" w:hAnsi="Cambria"/>
        </w:rPr>
        <w:t>across the</w:t>
      </w:r>
      <w:r w:rsidRPr="00531789">
        <w:rPr>
          <w:rFonts w:ascii="Cambria" w:hAnsi="Cambria"/>
        </w:rPr>
        <w:t xml:space="preserve"> nitrogen gradient.  This highlights the carbon source limitation of the perennial in contrast to the carbon sink limitation of the annual, which is unable to utilise additional carbon; neither species alters carbon concentration in response to nitrogen gradient.  In contrast, nitrogen concentration (Fig. 1G and H) responds to </w:t>
      </w:r>
      <w:r>
        <w:rPr>
          <w:rFonts w:ascii="Cambria" w:hAnsi="Cambria"/>
        </w:rPr>
        <w:t xml:space="preserve">the </w:t>
      </w:r>
      <w:r w:rsidRPr="00531789">
        <w:rPr>
          <w:rFonts w:ascii="Cambria" w:hAnsi="Cambria"/>
        </w:rPr>
        <w:t>CO</w:t>
      </w:r>
      <w:r w:rsidRPr="00531789">
        <w:rPr>
          <w:rFonts w:ascii="Cambria" w:hAnsi="Cambria"/>
          <w:vertAlign w:val="subscript"/>
        </w:rPr>
        <w:t>2</w:t>
      </w:r>
      <w:r w:rsidRPr="00531789">
        <w:rPr>
          <w:rFonts w:ascii="Cambria" w:hAnsi="Cambria"/>
        </w:rPr>
        <w:t xml:space="preserve"> gradient </w:t>
      </w:r>
      <w:r w:rsidR="00740304" w:rsidRPr="00531789">
        <w:rPr>
          <w:rFonts w:ascii="Cambria" w:hAnsi="Cambria"/>
        </w:rPr>
        <w:t xml:space="preserve">and </w:t>
      </w:r>
      <w:r w:rsidR="00740304">
        <w:rPr>
          <w:rFonts w:ascii="Cambria" w:hAnsi="Cambria"/>
        </w:rPr>
        <w:t xml:space="preserve">the </w:t>
      </w:r>
      <w:r w:rsidR="00740304" w:rsidRPr="00531789">
        <w:rPr>
          <w:rFonts w:ascii="Cambria" w:hAnsi="Cambria"/>
        </w:rPr>
        <w:t xml:space="preserve">nitrogen gradient in both species.  There are no species differences, and the elasticity of nitrogen concentration is -0.181 </w:t>
      </w:r>
      <w:r w:rsidR="00740304">
        <w:rPr>
          <w:rFonts w:ascii="Cambria" w:hAnsi="Cambria"/>
        </w:rPr>
        <w:t>across the</w:t>
      </w:r>
      <w:r w:rsidR="00740304" w:rsidRPr="00531789">
        <w:rPr>
          <w:rFonts w:ascii="Cambria" w:hAnsi="Cambria"/>
        </w:rPr>
        <w:t xml:space="preserve"> CO</w:t>
      </w:r>
      <w:r w:rsidR="00740304" w:rsidRPr="00531789">
        <w:rPr>
          <w:rFonts w:ascii="Cambria" w:hAnsi="Cambria"/>
          <w:vertAlign w:val="subscript"/>
        </w:rPr>
        <w:t>2</w:t>
      </w:r>
      <w:r w:rsidR="00740304" w:rsidRPr="00531789">
        <w:rPr>
          <w:rFonts w:ascii="Cambria" w:hAnsi="Cambria"/>
        </w:rPr>
        <w:t xml:space="preserve"> gradient and 0.279 </w:t>
      </w:r>
      <w:r w:rsidR="00740304">
        <w:rPr>
          <w:rFonts w:ascii="Cambria" w:hAnsi="Cambria"/>
        </w:rPr>
        <w:t>across the</w:t>
      </w:r>
      <w:r w:rsidR="00740304" w:rsidRPr="00531789">
        <w:rPr>
          <w:rFonts w:ascii="Cambria" w:hAnsi="Cambria"/>
        </w:rPr>
        <w:t xml:space="preserve"> nitrogen gradient (r</w:t>
      </w:r>
      <w:r w:rsidR="00740304" w:rsidRPr="00531789">
        <w:rPr>
          <w:rFonts w:ascii="Cambria" w:hAnsi="Cambria"/>
          <w:vertAlign w:val="superscript"/>
        </w:rPr>
        <w:t>2</w:t>
      </w:r>
      <w:r w:rsidR="00740304" w:rsidRPr="00531789">
        <w:rPr>
          <w:rFonts w:ascii="Cambria" w:hAnsi="Cambria"/>
        </w:rPr>
        <w:t xml:space="preserve"> = 0.48 and 0.94 respectively).  Thus nitrogen storage decreases as the nitrogen sink is increased</w:t>
      </w:r>
      <w:r w:rsidR="00740304">
        <w:rPr>
          <w:rFonts w:ascii="Cambria" w:hAnsi="Cambria"/>
        </w:rPr>
        <w:t xml:space="preserve"> </w:t>
      </w:r>
      <w:r w:rsidR="00740304">
        <w:rPr>
          <w:rFonts w:ascii="Cambria" w:hAnsi="Cambria"/>
          <w:i/>
        </w:rPr>
        <w:t xml:space="preserve">via </w:t>
      </w:r>
      <w:r w:rsidR="00740304">
        <w:rPr>
          <w:rFonts w:ascii="Cambria" w:hAnsi="Cambria"/>
        </w:rPr>
        <w:t>elevated CO</w:t>
      </w:r>
      <w:r w:rsidR="00740304" w:rsidRPr="003A7152">
        <w:rPr>
          <w:rFonts w:ascii="Cambria" w:hAnsi="Cambria"/>
          <w:vertAlign w:val="subscript"/>
        </w:rPr>
        <w:t>2</w:t>
      </w:r>
      <w:r w:rsidR="00740304">
        <w:rPr>
          <w:rFonts w:ascii="Cambria" w:hAnsi="Cambria"/>
        </w:rPr>
        <w:t xml:space="preserve">, since nitrogen becomes increasingly limiting to growth, </w:t>
      </w:r>
      <w:r w:rsidR="00740304" w:rsidRPr="00531789">
        <w:rPr>
          <w:rFonts w:ascii="Cambria" w:hAnsi="Cambria"/>
        </w:rPr>
        <w:t xml:space="preserve">and </w:t>
      </w:r>
      <w:r w:rsidR="00740304">
        <w:rPr>
          <w:rFonts w:ascii="Cambria" w:hAnsi="Cambria"/>
        </w:rPr>
        <w:t xml:space="preserve">nitrogen storage </w:t>
      </w:r>
      <w:r w:rsidR="00740304" w:rsidRPr="00531789">
        <w:rPr>
          <w:rFonts w:ascii="Cambria" w:hAnsi="Cambria"/>
        </w:rPr>
        <w:t>increases as the nitrogen source is increased</w:t>
      </w:r>
      <w:r w:rsidR="00740304">
        <w:rPr>
          <w:rFonts w:ascii="Cambria" w:hAnsi="Cambria"/>
        </w:rPr>
        <w:t>, since nitrogen sink limitation is exacerbated under high nitrogen</w:t>
      </w:r>
      <w:r w:rsidR="00740304" w:rsidRPr="00531789">
        <w:rPr>
          <w:rFonts w:ascii="Cambria" w:hAnsi="Cambria"/>
        </w:rPr>
        <w:t>.</w:t>
      </w:r>
      <w:r w:rsidR="00740304">
        <w:rPr>
          <w:rFonts w:ascii="Cambria" w:hAnsi="Cambria"/>
        </w:rPr>
        <w:t xml:space="preserve">  </w:t>
      </w:r>
    </w:p>
    <w:p w14:paraId="305E4299" w14:textId="388CC71A" w:rsidR="00DF4522" w:rsidRDefault="00A959C8" w:rsidP="00DF4522">
      <w:pPr>
        <w:spacing w:line="360" w:lineRule="auto"/>
        <w:ind w:firstLine="720"/>
        <w:jc w:val="both"/>
        <w:rPr>
          <w:b/>
          <w:sz w:val="20"/>
          <w:szCs w:val="20"/>
        </w:rPr>
      </w:pPr>
      <w:r>
        <w:rPr>
          <w:b/>
          <w:noProof/>
          <w:sz w:val="20"/>
          <w:szCs w:val="20"/>
          <w:lang w:val="en-US"/>
        </w:rPr>
        <w:drawing>
          <wp:anchor distT="0" distB="0" distL="114300" distR="114300" simplePos="0" relativeHeight="251790336" behindDoc="0" locked="0" layoutInCell="1" allowOverlap="1" wp14:anchorId="5C66E554" wp14:editId="1352C34F">
            <wp:simplePos x="0" y="0"/>
            <wp:positionH relativeFrom="column">
              <wp:posOffset>3086100</wp:posOffset>
            </wp:positionH>
            <wp:positionV relativeFrom="paragraph">
              <wp:posOffset>154940</wp:posOffset>
            </wp:positionV>
            <wp:extent cx="1799590" cy="1799590"/>
            <wp:effectExtent l="0" t="0" r="3810" b="3810"/>
            <wp:wrapThrough wrapText="bothSides">
              <wp:wrapPolygon edited="0">
                <wp:start x="0" y="0"/>
                <wp:lineTo x="0" y="21341"/>
                <wp:lineTo x="21341" y="21341"/>
                <wp:lineTo x="21341" y="0"/>
                <wp:lineTo x="0" y="0"/>
              </wp:wrapPolygon>
            </wp:wrapThrough>
            <wp:docPr id="36" name="Picture 36" descr="Macintosh HD:Users:angie:Desktop: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gie:Desktop:1B.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DF4522">
        <w:rPr>
          <w:b/>
          <w:noProof/>
          <w:lang w:val="en-US"/>
        </w:rPr>
        <w:drawing>
          <wp:anchor distT="0" distB="0" distL="114300" distR="114300" simplePos="0" relativeHeight="251773952" behindDoc="0" locked="0" layoutInCell="1" allowOverlap="1" wp14:anchorId="3F935766" wp14:editId="394577DA">
            <wp:simplePos x="0" y="0"/>
            <wp:positionH relativeFrom="column">
              <wp:posOffset>3115310</wp:posOffset>
            </wp:positionH>
            <wp:positionV relativeFrom="paragraph">
              <wp:posOffset>3841750</wp:posOffset>
            </wp:positionV>
            <wp:extent cx="1799590" cy="1799590"/>
            <wp:effectExtent l="0" t="0" r="3810" b="3810"/>
            <wp:wrapThrough wrapText="bothSides">
              <wp:wrapPolygon edited="0">
                <wp:start x="0" y="0"/>
                <wp:lineTo x="0" y="21341"/>
                <wp:lineTo x="21341" y="21341"/>
                <wp:lineTo x="21341" y="0"/>
                <wp:lineTo x="0" y="0"/>
              </wp:wrapPolygon>
            </wp:wrapThrough>
            <wp:docPr id="81" name="Picture 81" descr="Macintosh HD:Users:angie:Dropbox:University of Sheffield:Experiments:Data:Elasticities:Elasticity plots logged:C storage nitrog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gie:Dropbox:University of Sheffield:Experiments:Data:Elasticities:Elasticity plots logged:C storage nitrogen.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DF4522">
        <w:rPr>
          <w:b/>
          <w:noProof/>
          <w:lang w:val="en-US"/>
        </w:rPr>
        <w:drawing>
          <wp:anchor distT="0" distB="0" distL="114300" distR="114300" simplePos="0" relativeHeight="251772928" behindDoc="0" locked="0" layoutInCell="1" allowOverlap="1" wp14:anchorId="3A0506E5" wp14:editId="35A48EE5">
            <wp:simplePos x="0" y="0"/>
            <wp:positionH relativeFrom="column">
              <wp:posOffset>372110</wp:posOffset>
            </wp:positionH>
            <wp:positionV relativeFrom="paragraph">
              <wp:posOffset>3841750</wp:posOffset>
            </wp:positionV>
            <wp:extent cx="1799590" cy="1799590"/>
            <wp:effectExtent l="0" t="0" r="3810" b="3810"/>
            <wp:wrapThrough wrapText="bothSides">
              <wp:wrapPolygon edited="0">
                <wp:start x="0" y="0"/>
                <wp:lineTo x="0" y="21341"/>
                <wp:lineTo x="21341" y="21341"/>
                <wp:lineTo x="21341" y="0"/>
                <wp:lineTo x="0" y="0"/>
              </wp:wrapPolygon>
            </wp:wrapThrough>
            <wp:docPr id="70" name="Picture 70" descr="Macintosh HD:Users:angie:Dropbox:University of Sheffield:Experiments:Data:Elasticities:Elasticity plots logged:C storage carb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gie:Dropbox:University of Sheffield:Experiments:Data:Elasticities:Elasticity plots logged:C storage carbon.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DF4522">
        <w:rPr>
          <w:b/>
          <w:noProof/>
          <w:lang w:val="en-US"/>
        </w:rPr>
        <w:drawing>
          <wp:anchor distT="0" distB="0" distL="114300" distR="114300" simplePos="0" relativeHeight="251771904" behindDoc="0" locked="0" layoutInCell="1" allowOverlap="1" wp14:anchorId="35B95EB2" wp14:editId="5A12D9D3">
            <wp:simplePos x="0" y="0"/>
            <wp:positionH relativeFrom="column">
              <wp:posOffset>3086100</wp:posOffset>
            </wp:positionH>
            <wp:positionV relativeFrom="paragraph">
              <wp:posOffset>1983740</wp:posOffset>
            </wp:positionV>
            <wp:extent cx="1799590" cy="1799590"/>
            <wp:effectExtent l="0" t="0" r="3810" b="3810"/>
            <wp:wrapThrough wrapText="bothSides">
              <wp:wrapPolygon edited="0">
                <wp:start x="0" y="0"/>
                <wp:lineTo x="0" y="21341"/>
                <wp:lineTo x="21341" y="21341"/>
                <wp:lineTo x="21341" y="0"/>
                <wp:lineTo x="0" y="0"/>
              </wp:wrapPolygon>
            </wp:wrapThrough>
            <wp:docPr id="69" name="Picture 69" descr="Macintosh HD:Users:angie:Dropbox:University of Sheffield:Experiments:Data:Elasticities:Elasticity plots logged:Uptake nitrog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gie:Dropbox:University of Sheffield:Experiments:Data:Elasticities:Elasticity plots logged:Uptake nitrogen.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DF4522">
        <w:rPr>
          <w:b/>
          <w:noProof/>
          <w:lang w:val="en-US"/>
        </w:rPr>
        <w:drawing>
          <wp:anchor distT="0" distB="0" distL="114300" distR="114300" simplePos="0" relativeHeight="251770880" behindDoc="0" locked="0" layoutInCell="1" allowOverlap="1" wp14:anchorId="00482E70" wp14:editId="6695DDD6">
            <wp:simplePos x="0" y="0"/>
            <wp:positionH relativeFrom="column">
              <wp:posOffset>429260</wp:posOffset>
            </wp:positionH>
            <wp:positionV relativeFrom="paragraph">
              <wp:posOffset>1983740</wp:posOffset>
            </wp:positionV>
            <wp:extent cx="1799590" cy="1799590"/>
            <wp:effectExtent l="0" t="0" r="3810" b="3810"/>
            <wp:wrapThrough wrapText="bothSides">
              <wp:wrapPolygon edited="0">
                <wp:start x="0" y="0"/>
                <wp:lineTo x="0" y="21341"/>
                <wp:lineTo x="21341" y="21341"/>
                <wp:lineTo x="21341" y="0"/>
                <wp:lineTo x="0" y="0"/>
              </wp:wrapPolygon>
            </wp:wrapThrough>
            <wp:docPr id="68" name="Picture 68" descr="Macintosh HD:Users:angie:Dropbox:University of Sheffield:Experiments:Data:Elasticities:Elasticity plots logged:Uptake carb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gie:Dropbox:University of Sheffield:Experiments:Data:Elasticities:Elasticity plots logged:Uptake carbon.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59C8">
        <w:rPr>
          <w:b/>
          <w:noProof/>
          <w:sz w:val="20"/>
          <w:szCs w:val="20"/>
          <w:lang w:val="en-US"/>
        </w:rPr>
        <w:t xml:space="preserve"> </w:t>
      </w:r>
      <w:r>
        <w:rPr>
          <w:b/>
          <w:noProof/>
          <w:lang w:val="en-US"/>
        </w:rPr>
        <w:t xml:space="preserve"> </w:t>
      </w:r>
      <w:r w:rsidR="00DF4522">
        <w:rPr>
          <w:b/>
          <w:noProof/>
          <w:lang w:val="en-US"/>
        </w:rPr>
        <w:drawing>
          <wp:anchor distT="0" distB="0" distL="114300" distR="114300" simplePos="0" relativeHeight="251768832" behindDoc="0" locked="0" layoutInCell="1" allowOverlap="1" wp14:anchorId="634A4035" wp14:editId="66623E6C">
            <wp:simplePos x="0" y="0"/>
            <wp:positionH relativeFrom="column">
              <wp:posOffset>429260</wp:posOffset>
            </wp:positionH>
            <wp:positionV relativeFrom="paragraph">
              <wp:posOffset>154940</wp:posOffset>
            </wp:positionV>
            <wp:extent cx="1799590" cy="1799590"/>
            <wp:effectExtent l="0" t="0" r="3810" b="3810"/>
            <wp:wrapThrough wrapText="bothSides">
              <wp:wrapPolygon edited="0">
                <wp:start x="0" y="0"/>
                <wp:lineTo x="0" y="21341"/>
                <wp:lineTo x="21341" y="21341"/>
                <wp:lineTo x="21341" y="0"/>
                <wp:lineTo x="0" y="0"/>
              </wp:wrapPolygon>
            </wp:wrapThrough>
            <wp:docPr id="66" name="Picture 66" descr="Macintosh HD:Users:angie:Dropbox:University of Sheffield:Experiments:Data:Elasticities:Elasticity plots logged:Growth carb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gie:Dropbox:University of Sheffield:Experiments:Data:Elasticities:Elasticity plots logged:Growth carbon.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DF4522">
        <w:rPr>
          <w:b/>
          <w:sz w:val="20"/>
          <w:szCs w:val="20"/>
        </w:rPr>
        <w:t xml:space="preserve">                       CO</w:t>
      </w:r>
      <w:r w:rsidR="00DF4522" w:rsidRPr="0068710A">
        <w:rPr>
          <w:b/>
          <w:sz w:val="20"/>
          <w:szCs w:val="20"/>
          <w:vertAlign w:val="subscript"/>
        </w:rPr>
        <w:t>2</w:t>
      </w:r>
      <w:r w:rsidR="00DF4522">
        <w:rPr>
          <w:b/>
          <w:sz w:val="20"/>
          <w:szCs w:val="20"/>
        </w:rPr>
        <w:t xml:space="preserve"> gradient</w:t>
      </w:r>
      <w:r>
        <w:rPr>
          <w:b/>
          <w:sz w:val="20"/>
          <w:szCs w:val="20"/>
        </w:rPr>
        <w:t xml:space="preserve">    </w:t>
      </w:r>
      <w:r w:rsidR="00DF4522">
        <w:rPr>
          <w:b/>
          <w:sz w:val="20"/>
          <w:szCs w:val="20"/>
        </w:rPr>
        <w:tab/>
      </w:r>
      <w:r>
        <w:rPr>
          <w:b/>
          <w:sz w:val="20"/>
          <w:szCs w:val="20"/>
        </w:rPr>
        <w:tab/>
      </w:r>
      <w:r>
        <w:rPr>
          <w:b/>
          <w:sz w:val="20"/>
          <w:szCs w:val="20"/>
        </w:rPr>
        <w:tab/>
      </w:r>
      <w:r>
        <w:rPr>
          <w:b/>
          <w:sz w:val="20"/>
          <w:szCs w:val="20"/>
        </w:rPr>
        <w:tab/>
      </w:r>
      <w:r w:rsidR="00DF4522">
        <w:rPr>
          <w:b/>
          <w:sz w:val="20"/>
          <w:szCs w:val="20"/>
        </w:rPr>
        <w:t>Nitrogen gradient</w:t>
      </w:r>
    </w:p>
    <w:p w14:paraId="2B2DA1A7" w14:textId="77777777" w:rsidR="00DF4522" w:rsidRDefault="00DF4522" w:rsidP="00DF4522">
      <w:pPr>
        <w:jc w:val="both"/>
        <w:rPr>
          <w:b/>
          <w:sz w:val="20"/>
          <w:szCs w:val="20"/>
        </w:rPr>
      </w:pPr>
    </w:p>
    <w:p w14:paraId="109F54BE" w14:textId="77777777" w:rsidR="00DF4522" w:rsidRDefault="00DF4522" w:rsidP="00DF4522">
      <w:pPr>
        <w:jc w:val="both"/>
        <w:rPr>
          <w:b/>
          <w:sz w:val="20"/>
          <w:szCs w:val="20"/>
        </w:rPr>
      </w:pPr>
    </w:p>
    <w:p w14:paraId="4B82C507" w14:textId="6E3719B8" w:rsidR="00DF4522" w:rsidRDefault="00DF4522" w:rsidP="00DF4522">
      <w:pPr>
        <w:jc w:val="both"/>
        <w:rPr>
          <w:b/>
          <w:sz w:val="20"/>
          <w:szCs w:val="20"/>
        </w:rPr>
      </w:pPr>
    </w:p>
    <w:p w14:paraId="72CD8CBC" w14:textId="77777777" w:rsidR="00DF4522" w:rsidRDefault="00DF4522" w:rsidP="00DF4522">
      <w:pPr>
        <w:jc w:val="both"/>
        <w:rPr>
          <w:b/>
          <w:sz w:val="20"/>
          <w:szCs w:val="20"/>
        </w:rPr>
      </w:pPr>
    </w:p>
    <w:p w14:paraId="529CF76A" w14:textId="77777777" w:rsidR="00DF4522" w:rsidRDefault="00DF4522" w:rsidP="00DF4522">
      <w:pPr>
        <w:jc w:val="both"/>
        <w:rPr>
          <w:b/>
          <w:sz w:val="20"/>
          <w:szCs w:val="20"/>
        </w:rPr>
      </w:pPr>
    </w:p>
    <w:p w14:paraId="6ACC85BB" w14:textId="77777777" w:rsidR="00DF4522" w:rsidRDefault="00DF4522" w:rsidP="00DF4522">
      <w:pPr>
        <w:jc w:val="both"/>
        <w:rPr>
          <w:b/>
          <w:sz w:val="20"/>
          <w:szCs w:val="20"/>
        </w:rPr>
      </w:pPr>
    </w:p>
    <w:p w14:paraId="43334A2C" w14:textId="77777777" w:rsidR="00DF4522" w:rsidRDefault="00DF4522" w:rsidP="00DF4522">
      <w:pPr>
        <w:jc w:val="both"/>
        <w:rPr>
          <w:b/>
          <w:sz w:val="20"/>
          <w:szCs w:val="20"/>
        </w:rPr>
      </w:pPr>
    </w:p>
    <w:p w14:paraId="21B161E9" w14:textId="608E0870" w:rsidR="00DF4522" w:rsidRDefault="00DF4522" w:rsidP="00DF4522">
      <w:pPr>
        <w:jc w:val="both"/>
        <w:rPr>
          <w:b/>
          <w:sz w:val="20"/>
          <w:szCs w:val="20"/>
        </w:rPr>
      </w:pPr>
    </w:p>
    <w:p w14:paraId="2D05FF03" w14:textId="77777777" w:rsidR="00DF4522" w:rsidRDefault="00DF4522" w:rsidP="00DF4522">
      <w:pPr>
        <w:jc w:val="both"/>
        <w:rPr>
          <w:b/>
          <w:sz w:val="20"/>
          <w:szCs w:val="20"/>
        </w:rPr>
      </w:pPr>
    </w:p>
    <w:p w14:paraId="5A14E7FC" w14:textId="77777777" w:rsidR="00DF4522" w:rsidRDefault="00DF4522" w:rsidP="00DF4522">
      <w:pPr>
        <w:jc w:val="both"/>
        <w:rPr>
          <w:b/>
          <w:sz w:val="20"/>
          <w:szCs w:val="20"/>
        </w:rPr>
      </w:pPr>
    </w:p>
    <w:p w14:paraId="6F149CD7" w14:textId="77777777" w:rsidR="00DF4522" w:rsidRDefault="00DF4522" w:rsidP="00DF4522">
      <w:pPr>
        <w:jc w:val="both"/>
        <w:rPr>
          <w:b/>
          <w:sz w:val="20"/>
          <w:szCs w:val="20"/>
        </w:rPr>
      </w:pPr>
    </w:p>
    <w:p w14:paraId="04D1CC56" w14:textId="77777777" w:rsidR="00DF4522" w:rsidRDefault="00DF4522" w:rsidP="00DF4522">
      <w:pPr>
        <w:jc w:val="both"/>
        <w:rPr>
          <w:b/>
          <w:sz w:val="20"/>
          <w:szCs w:val="20"/>
        </w:rPr>
      </w:pPr>
    </w:p>
    <w:p w14:paraId="7F98A5D4" w14:textId="77777777" w:rsidR="00DF4522" w:rsidRDefault="00DF4522" w:rsidP="00DF4522">
      <w:pPr>
        <w:jc w:val="both"/>
        <w:rPr>
          <w:b/>
          <w:sz w:val="20"/>
          <w:szCs w:val="20"/>
        </w:rPr>
      </w:pPr>
    </w:p>
    <w:p w14:paraId="1E1EA4C3" w14:textId="77777777" w:rsidR="00DF4522" w:rsidRDefault="00DF4522" w:rsidP="00DF4522">
      <w:pPr>
        <w:jc w:val="both"/>
        <w:rPr>
          <w:b/>
          <w:sz w:val="20"/>
          <w:szCs w:val="20"/>
        </w:rPr>
      </w:pPr>
    </w:p>
    <w:p w14:paraId="18A3924D" w14:textId="77777777" w:rsidR="00DF4522" w:rsidRDefault="00DF4522" w:rsidP="00DF4522">
      <w:pPr>
        <w:jc w:val="both"/>
        <w:rPr>
          <w:b/>
          <w:sz w:val="20"/>
          <w:szCs w:val="20"/>
        </w:rPr>
      </w:pPr>
    </w:p>
    <w:p w14:paraId="5630560F" w14:textId="77777777" w:rsidR="00DF4522" w:rsidRDefault="00DF4522" w:rsidP="00DF4522">
      <w:pPr>
        <w:jc w:val="both"/>
        <w:rPr>
          <w:b/>
          <w:sz w:val="20"/>
          <w:szCs w:val="20"/>
        </w:rPr>
      </w:pPr>
    </w:p>
    <w:p w14:paraId="17625F3C" w14:textId="77777777" w:rsidR="00DF4522" w:rsidRDefault="00DF4522" w:rsidP="00DF4522">
      <w:pPr>
        <w:jc w:val="both"/>
        <w:rPr>
          <w:b/>
          <w:sz w:val="20"/>
          <w:szCs w:val="20"/>
        </w:rPr>
      </w:pPr>
    </w:p>
    <w:p w14:paraId="33EC35D9" w14:textId="77777777" w:rsidR="00DF4522" w:rsidRDefault="00DF4522" w:rsidP="00DF4522">
      <w:pPr>
        <w:jc w:val="both"/>
        <w:rPr>
          <w:b/>
          <w:sz w:val="20"/>
          <w:szCs w:val="20"/>
        </w:rPr>
      </w:pPr>
    </w:p>
    <w:p w14:paraId="07DA9064" w14:textId="77777777" w:rsidR="00DF4522" w:rsidRDefault="00DF4522" w:rsidP="00DF4522">
      <w:pPr>
        <w:jc w:val="both"/>
        <w:rPr>
          <w:b/>
          <w:sz w:val="20"/>
          <w:szCs w:val="20"/>
        </w:rPr>
      </w:pPr>
    </w:p>
    <w:p w14:paraId="66E1F589" w14:textId="77777777" w:rsidR="00DF4522" w:rsidRDefault="00DF4522" w:rsidP="00DF4522">
      <w:pPr>
        <w:jc w:val="both"/>
        <w:rPr>
          <w:b/>
          <w:sz w:val="20"/>
          <w:szCs w:val="20"/>
        </w:rPr>
      </w:pPr>
    </w:p>
    <w:p w14:paraId="0595853B" w14:textId="77777777" w:rsidR="00DF4522" w:rsidRDefault="00DF4522" w:rsidP="00DF4522">
      <w:pPr>
        <w:jc w:val="both"/>
        <w:rPr>
          <w:b/>
          <w:sz w:val="20"/>
          <w:szCs w:val="20"/>
        </w:rPr>
      </w:pPr>
    </w:p>
    <w:p w14:paraId="5424D098" w14:textId="77777777" w:rsidR="00DF4522" w:rsidRDefault="00DF4522" w:rsidP="00DF4522">
      <w:pPr>
        <w:jc w:val="both"/>
        <w:rPr>
          <w:b/>
          <w:sz w:val="20"/>
          <w:szCs w:val="20"/>
        </w:rPr>
      </w:pPr>
    </w:p>
    <w:p w14:paraId="23633ED9" w14:textId="77777777" w:rsidR="00DF4522" w:rsidRDefault="00DF4522" w:rsidP="00DF4522">
      <w:pPr>
        <w:jc w:val="both"/>
        <w:rPr>
          <w:b/>
          <w:sz w:val="20"/>
          <w:szCs w:val="20"/>
        </w:rPr>
      </w:pPr>
    </w:p>
    <w:p w14:paraId="316EC654" w14:textId="77777777" w:rsidR="00DF4522" w:rsidRDefault="00DF4522" w:rsidP="00DF4522">
      <w:pPr>
        <w:jc w:val="both"/>
        <w:rPr>
          <w:b/>
          <w:sz w:val="20"/>
          <w:szCs w:val="20"/>
        </w:rPr>
      </w:pPr>
    </w:p>
    <w:p w14:paraId="01BB408A" w14:textId="77777777" w:rsidR="00DF4522" w:rsidRDefault="00DF4522" w:rsidP="00DF4522">
      <w:pPr>
        <w:jc w:val="both"/>
        <w:rPr>
          <w:b/>
          <w:sz w:val="20"/>
          <w:szCs w:val="20"/>
        </w:rPr>
      </w:pPr>
    </w:p>
    <w:p w14:paraId="07A78E35" w14:textId="77777777" w:rsidR="00DF4522" w:rsidRDefault="00DF4522" w:rsidP="00DF4522">
      <w:pPr>
        <w:jc w:val="both"/>
        <w:rPr>
          <w:b/>
          <w:sz w:val="20"/>
          <w:szCs w:val="20"/>
        </w:rPr>
      </w:pPr>
    </w:p>
    <w:p w14:paraId="420730D7" w14:textId="77777777" w:rsidR="00DF4522" w:rsidRDefault="00DF4522" w:rsidP="00DF4522">
      <w:pPr>
        <w:jc w:val="both"/>
        <w:rPr>
          <w:b/>
          <w:sz w:val="20"/>
          <w:szCs w:val="20"/>
        </w:rPr>
      </w:pPr>
    </w:p>
    <w:p w14:paraId="28E991AC" w14:textId="77777777" w:rsidR="00DF4522" w:rsidRDefault="00DF4522" w:rsidP="00DF4522">
      <w:pPr>
        <w:jc w:val="both"/>
        <w:rPr>
          <w:b/>
          <w:sz w:val="20"/>
          <w:szCs w:val="20"/>
        </w:rPr>
      </w:pPr>
    </w:p>
    <w:p w14:paraId="23863B6B" w14:textId="77777777" w:rsidR="00DF4522" w:rsidRDefault="00DF4522" w:rsidP="00DF4522">
      <w:pPr>
        <w:jc w:val="both"/>
        <w:rPr>
          <w:b/>
          <w:sz w:val="20"/>
          <w:szCs w:val="20"/>
        </w:rPr>
      </w:pPr>
    </w:p>
    <w:p w14:paraId="6FA239BB" w14:textId="77777777" w:rsidR="00DF4522" w:rsidRDefault="00DF4522" w:rsidP="00DF4522">
      <w:pPr>
        <w:jc w:val="both"/>
        <w:rPr>
          <w:b/>
          <w:sz w:val="20"/>
          <w:szCs w:val="20"/>
        </w:rPr>
      </w:pPr>
    </w:p>
    <w:p w14:paraId="3D8DAE2C" w14:textId="77777777" w:rsidR="00DF4522" w:rsidRDefault="00DF4522" w:rsidP="00DF4522">
      <w:pPr>
        <w:jc w:val="both"/>
        <w:rPr>
          <w:b/>
          <w:sz w:val="20"/>
          <w:szCs w:val="20"/>
        </w:rPr>
      </w:pPr>
    </w:p>
    <w:p w14:paraId="7F5FB5E8" w14:textId="77777777" w:rsidR="00DF4522" w:rsidRDefault="00DF4522" w:rsidP="00DF4522">
      <w:pPr>
        <w:jc w:val="both"/>
        <w:rPr>
          <w:b/>
          <w:sz w:val="20"/>
          <w:szCs w:val="20"/>
        </w:rPr>
      </w:pPr>
    </w:p>
    <w:p w14:paraId="15D28304" w14:textId="77777777" w:rsidR="00DF4522" w:rsidRDefault="00DF4522" w:rsidP="00DF4522">
      <w:pPr>
        <w:jc w:val="both"/>
        <w:rPr>
          <w:b/>
          <w:sz w:val="20"/>
          <w:szCs w:val="20"/>
        </w:rPr>
      </w:pPr>
    </w:p>
    <w:p w14:paraId="47F8DC23" w14:textId="77777777" w:rsidR="00DF4522" w:rsidRDefault="00DF4522" w:rsidP="00DF4522">
      <w:pPr>
        <w:jc w:val="both"/>
        <w:rPr>
          <w:b/>
          <w:sz w:val="20"/>
          <w:szCs w:val="20"/>
        </w:rPr>
      </w:pPr>
    </w:p>
    <w:p w14:paraId="31220095" w14:textId="77777777" w:rsidR="00DF4522" w:rsidRDefault="00DF4522" w:rsidP="00DF4522">
      <w:pPr>
        <w:jc w:val="both"/>
        <w:rPr>
          <w:b/>
          <w:sz w:val="20"/>
          <w:szCs w:val="20"/>
        </w:rPr>
      </w:pPr>
    </w:p>
    <w:p w14:paraId="007D341E" w14:textId="0BBEFEE6" w:rsidR="00DF4522" w:rsidRDefault="00787644" w:rsidP="00DF4522">
      <w:pPr>
        <w:jc w:val="both"/>
        <w:rPr>
          <w:b/>
          <w:sz w:val="20"/>
          <w:szCs w:val="20"/>
        </w:rPr>
      </w:pPr>
      <w:r>
        <w:rPr>
          <w:b/>
          <w:noProof/>
          <w:lang w:val="en-US"/>
        </w:rPr>
        <w:drawing>
          <wp:anchor distT="0" distB="0" distL="114300" distR="114300" simplePos="0" relativeHeight="251776000" behindDoc="0" locked="0" layoutInCell="1" allowOverlap="1" wp14:anchorId="747D6A64" wp14:editId="3913A5CF">
            <wp:simplePos x="0" y="0"/>
            <wp:positionH relativeFrom="column">
              <wp:posOffset>3115310</wp:posOffset>
            </wp:positionH>
            <wp:positionV relativeFrom="paragraph">
              <wp:posOffset>170180</wp:posOffset>
            </wp:positionV>
            <wp:extent cx="1799590" cy="1799590"/>
            <wp:effectExtent l="0" t="0" r="3810" b="3810"/>
            <wp:wrapThrough wrapText="bothSides">
              <wp:wrapPolygon edited="0">
                <wp:start x="0" y="0"/>
                <wp:lineTo x="0" y="21341"/>
                <wp:lineTo x="21341" y="21341"/>
                <wp:lineTo x="21341" y="0"/>
                <wp:lineTo x="0" y="0"/>
              </wp:wrapPolygon>
            </wp:wrapThrough>
            <wp:docPr id="87" name="Picture 87" descr="Macintosh HD:Users:angie:Dropbox:University of Sheffield:Experiments:Data:Elasticities:Elasticity plots logged:N storage nitrog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gie:Dropbox:University of Sheffield:Experiments:Data:Elasticities:Elasticity plots logged:N storage nitrogen.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val="en-US"/>
        </w:rPr>
        <w:drawing>
          <wp:anchor distT="0" distB="0" distL="114300" distR="114300" simplePos="0" relativeHeight="251774976" behindDoc="0" locked="0" layoutInCell="1" allowOverlap="1" wp14:anchorId="0DDE2575" wp14:editId="0E4D5557">
            <wp:simplePos x="0" y="0"/>
            <wp:positionH relativeFrom="column">
              <wp:posOffset>372110</wp:posOffset>
            </wp:positionH>
            <wp:positionV relativeFrom="paragraph">
              <wp:posOffset>170180</wp:posOffset>
            </wp:positionV>
            <wp:extent cx="1799590" cy="1799590"/>
            <wp:effectExtent l="0" t="0" r="3810" b="3810"/>
            <wp:wrapThrough wrapText="bothSides">
              <wp:wrapPolygon edited="0">
                <wp:start x="0" y="0"/>
                <wp:lineTo x="0" y="21341"/>
                <wp:lineTo x="21341" y="21341"/>
                <wp:lineTo x="21341" y="0"/>
                <wp:lineTo x="0" y="0"/>
              </wp:wrapPolygon>
            </wp:wrapThrough>
            <wp:docPr id="86" name="Picture 86" descr="Macintosh HD:Users:angie:Dropbox:University of Sheffield:Experiments:Data:Elasticities:Elasticity plots logged:N storage carb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gie:Dropbox:University of Sheffield:Experiments:Data:Elasticities:Elasticity plots logged:N storage carbon.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450A29" w14:textId="77777777" w:rsidR="00DF4522" w:rsidRDefault="00DF4522" w:rsidP="00DF4522">
      <w:pPr>
        <w:jc w:val="both"/>
        <w:rPr>
          <w:b/>
          <w:sz w:val="20"/>
          <w:szCs w:val="20"/>
        </w:rPr>
      </w:pPr>
    </w:p>
    <w:p w14:paraId="19A3A7A1" w14:textId="77777777" w:rsidR="00DF4522" w:rsidRDefault="00DF4522" w:rsidP="00DF4522">
      <w:pPr>
        <w:jc w:val="both"/>
        <w:rPr>
          <w:b/>
          <w:sz w:val="20"/>
          <w:szCs w:val="20"/>
        </w:rPr>
      </w:pPr>
    </w:p>
    <w:p w14:paraId="36629D89" w14:textId="77777777" w:rsidR="00DF4522" w:rsidRDefault="00DF4522" w:rsidP="00DF4522">
      <w:pPr>
        <w:jc w:val="both"/>
        <w:rPr>
          <w:b/>
          <w:sz w:val="20"/>
          <w:szCs w:val="20"/>
        </w:rPr>
      </w:pPr>
    </w:p>
    <w:p w14:paraId="004266A4" w14:textId="77777777" w:rsidR="00DF4522" w:rsidRDefault="00DF4522" w:rsidP="00DF4522">
      <w:pPr>
        <w:jc w:val="both"/>
        <w:rPr>
          <w:b/>
          <w:sz w:val="20"/>
          <w:szCs w:val="20"/>
        </w:rPr>
      </w:pPr>
    </w:p>
    <w:p w14:paraId="0E685B34" w14:textId="77777777" w:rsidR="00DF4522" w:rsidRDefault="00DF4522" w:rsidP="00DF4522">
      <w:pPr>
        <w:jc w:val="both"/>
        <w:rPr>
          <w:b/>
          <w:sz w:val="20"/>
          <w:szCs w:val="20"/>
        </w:rPr>
      </w:pPr>
    </w:p>
    <w:p w14:paraId="547F8127" w14:textId="77777777" w:rsidR="00DF4522" w:rsidRDefault="00DF4522" w:rsidP="00DF4522">
      <w:pPr>
        <w:jc w:val="both"/>
        <w:rPr>
          <w:b/>
          <w:sz w:val="20"/>
          <w:szCs w:val="20"/>
        </w:rPr>
      </w:pPr>
    </w:p>
    <w:p w14:paraId="3A8AA445" w14:textId="77777777" w:rsidR="00DF4522" w:rsidRDefault="00DF4522" w:rsidP="00DF4522">
      <w:pPr>
        <w:jc w:val="both"/>
        <w:rPr>
          <w:b/>
          <w:sz w:val="20"/>
          <w:szCs w:val="20"/>
        </w:rPr>
      </w:pPr>
    </w:p>
    <w:p w14:paraId="73CCB4B8" w14:textId="77777777" w:rsidR="00DF4522" w:rsidRDefault="00DF4522" w:rsidP="00DF4522">
      <w:pPr>
        <w:jc w:val="both"/>
        <w:rPr>
          <w:b/>
          <w:sz w:val="20"/>
          <w:szCs w:val="20"/>
        </w:rPr>
      </w:pPr>
    </w:p>
    <w:p w14:paraId="0F3DE5E4" w14:textId="77777777" w:rsidR="00DF4522" w:rsidRDefault="00DF4522" w:rsidP="00DF4522">
      <w:pPr>
        <w:jc w:val="both"/>
        <w:rPr>
          <w:b/>
          <w:sz w:val="20"/>
          <w:szCs w:val="20"/>
        </w:rPr>
      </w:pPr>
    </w:p>
    <w:p w14:paraId="54A916CC" w14:textId="77777777" w:rsidR="00DF4522" w:rsidRDefault="00DF4522" w:rsidP="00DF4522">
      <w:pPr>
        <w:jc w:val="both"/>
        <w:rPr>
          <w:b/>
          <w:sz w:val="20"/>
          <w:szCs w:val="20"/>
        </w:rPr>
      </w:pPr>
    </w:p>
    <w:p w14:paraId="75DC6812" w14:textId="77777777" w:rsidR="00DF4522" w:rsidRDefault="00DF4522" w:rsidP="00DF4522">
      <w:pPr>
        <w:jc w:val="both"/>
        <w:rPr>
          <w:b/>
          <w:sz w:val="20"/>
          <w:szCs w:val="20"/>
        </w:rPr>
      </w:pPr>
    </w:p>
    <w:p w14:paraId="41CCD835" w14:textId="77777777" w:rsidR="00787644" w:rsidRDefault="00787644" w:rsidP="00DF4522">
      <w:pPr>
        <w:jc w:val="both"/>
        <w:rPr>
          <w:b/>
          <w:sz w:val="20"/>
          <w:szCs w:val="20"/>
        </w:rPr>
      </w:pPr>
    </w:p>
    <w:p w14:paraId="6A8F3335" w14:textId="77777777" w:rsidR="00787644" w:rsidRPr="00787644" w:rsidRDefault="00787644" w:rsidP="00DF4522">
      <w:pPr>
        <w:jc w:val="both"/>
        <w:rPr>
          <w:b/>
          <w:sz w:val="4"/>
          <w:szCs w:val="4"/>
        </w:rPr>
      </w:pPr>
    </w:p>
    <w:p w14:paraId="2391842F" w14:textId="77777777" w:rsidR="00DF4522" w:rsidRDefault="00DF4522" w:rsidP="00DF4522">
      <w:pPr>
        <w:jc w:val="both"/>
        <w:rPr>
          <w:sz w:val="20"/>
          <w:szCs w:val="20"/>
        </w:rPr>
      </w:pPr>
      <w:r>
        <w:rPr>
          <w:b/>
          <w:sz w:val="20"/>
          <w:szCs w:val="20"/>
        </w:rPr>
        <w:t xml:space="preserve">Figure </w:t>
      </w:r>
      <w:r w:rsidRPr="00FC00F0">
        <w:rPr>
          <w:b/>
          <w:sz w:val="20"/>
          <w:szCs w:val="20"/>
        </w:rPr>
        <w:t>1.</w:t>
      </w:r>
      <w:r w:rsidRPr="00FC00F0">
        <w:rPr>
          <w:sz w:val="20"/>
          <w:szCs w:val="20"/>
        </w:rPr>
        <w:t xml:space="preserve">  Response of relative growth rate (RGR), resource uptake and resource storage to carbon dioxide and nitrogen gradients in annual (filled circles) and perennial (hollow circles) barley measured pre-dawn 6-7 weeks after germination.  Linear regression is shown using solid lines for annual barley and evenly dashed lines for perennial barley.  Where there is no species difference in slope or intercept, a </w:t>
      </w:r>
      <w:proofErr w:type="spellStart"/>
      <w:r w:rsidRPr="00FC00F0">
        <w:rPr>
          <w:sz w:val="20"/>
          <w:szCs w:val="20"/>
        </w:rPr>
        <w:t>dotdash</w:t>
      </w:r>
      <w:proofErr w:type="spellEnd"/>
      <w:r w:rsidRPr="00FC00F0">
        <w:rPr>
          <w:sz w:val="20"/>
          <w:szCs w:val="20"/>
        </w:rPr>
        <w:t xml:space="preserve"> line is used to denote the overall relationship.  A </w:t>
      </w:r>
      <w:r>
        <w:rPr>
          <w:sz w:val="20"/>
          <w:szCs w:val="20"/>
        </w:rPr>
        <w:t>&amp;</w:t>
      </w:r>
      <w:r w:rsidRPr="00FC00F0">
        <w:rPr>
          <w:sz w:val="20"/>
          <w:szCs w:val="20"/>
        </w:rPr>
        <w:t xml:space="preserve"> B, RGR </w:t>
      </w:r>
      <w:r>
        <w:rPr>
          <w:sz w:val="20"/>
          <w:szCs w:val="20"/>
        </w:rPr>
        <w:t>across</w:t>
      </w:r>
      <w:r w:rsidRPr="00FC00F0">
        <w:rPr>
          <w:sz w:val="20"/>
          <w:szCs w:val="20"/>
        </w:rPr>
        <w:t xml:space="preserve"> </w:t>
      </w:r>
      <w:r>
        <w:rPr>
          <w:sz w:val="20"/>
          <w:szCs w:val="20"/>
        </w:rPr>
        <w:t>CO</w:t>
      </w:r>
      <w:r w:rsidRPr="002F40B2">
        <w:rPr>
          <w:sz w:val="20"/>
          <w:szCs w:val="20"/>
          <w:vertAlign w:val="subscript"/>
        </w:rPr>
        <w:t>2</w:t>
      </w:r>
      <w:r w:rsidRPr="00FC00F0">
        <w:rPr>
          <w:sz w:val="20"/>
          <w:szCs w:val="20"/>
        </w:rPr>
        <w:t xml:space="preserve"> gradient and nitrogen gradient respectively; C, carbon uptake </w:t>
      </w:r>
      <w:r>
        <w:rPr>
          <w:sz w:val="20"/>
          <w:szCs w:val="20"/>
        </w:rPr>
        <w:t>across</w:t>
      </w:r>
      <w:r w:rsidRPr="00FC00F0">
        <w:rPr>
          <w:sz w:val="20"/>
          <w:szCs w:val="20"/>
        </w:rPr>
        <w:t xml:space="preserve"> </w:t>
      </w:r>
      <w:r>
        <w:rPr>
          <w:sz w:val="20"/>
          <w:szCs w:val="20"/>
        </w:rPr>
        <w:t>CO</w:t>
      </w:r>
      <w:r w:rsidRPr="002F40B2">
        <w:rPr>
          <w:sz w:val="20"/>
          <w:szCs w:val="20"/>
          <w:vertAlign w:val="subscript"/>
        </w:rPr>
        <w:t>2</w:t>
      </w:r>
      <w:r>
        <w:rPr>
          <w:sz w:val="20"/>
          <w:szCs w:val="20"/>
          <w:vertAlign w:val="subscript"/>
        </w:rPr>
        <w:t xml:space="preserve"> </w:t>
      </w:r>
      <w:r>
        <w:rPr>
          <w:sz w:val="20"/>
          <w:szCs w:val="20"/>
        </w:rPr>
        <w:t>gradient; D, nitrogen uptake across</w:t>
      </w:r>
      <w:r w:rsidRPr="00FC00F0">
        <w:rPr>
          <w:sz w:val="20"/>
          <w:szCs w:val="20"/>
        </w:rPr>
        <w:t xml:space="preserve"> nitrogen gradient; E </w:t>
      </w:r>
      <w:r>
        <w:rPr>
          <w:sz w:val="20"/>
          <w:szCs w:val="20"/>
        </w:rPr>
        <w:t>&amp;</w:t>
      </w:r>
      <w:r w:rsidRPr="00FC00F0">
        <w:rPr>
          <w:sz w:val="20"/>
          <w:szCs w:val="20"/>
        </w:rPr>
        <w:t xml:space="preserve"> F, mean plant carbon concentration </w:t>
      </w:r>
      <w:r>
        <w:rPr>
          <w:sz w:val="20"/>
          <w:szCs w:val="20"/>
        </w:rPr>
        <w:t>across</w:t>
      </w:r>
      <w:r w:rsidRPr="00FC00F0">
        <w:rPr>
          <w:sz w:val="20"/>
          <w:szCs w:val="20"/>
        </w:rPr>
        <w:t xml:space="preserve"> </w:t>
      </w:r>
      <w:r>
        <w:rPr>
          <w:sz w:val="20"/>
          <w:szCs w:val="20"/>
        </w:rPr>
        <w:t>CO</w:t>
      </w:r>
      <w:r w:rsidRPr="002F40B2">
        <w:rPr>
          <w:sz w:val="20"/>
          <w:szCs w:val="20"/>
          <w:vertAlign w:val="subscript"/>
        </w:rPr>
        <w:t>2</w:t>
      </w:r>
      <w:r w:rsidRPr="00FC00F0">
        <w:rPr>
          <w:sz w:val="20"/>
          <w:szCs w:val="20"/>
        </w:rPr>
        <w:t xml:space="preserve"> and nitrogen gradient respectively; G </w:t>
      </w:r>
      <w:r>
        <w:rPr>
          <w:sz w:val="20"/>
          <w:szCs w:val="20"/>
        </w:rPr>
        <w:t>&amp;</w:t>
      </w:r>
      <w:r w:rsidRPr="00FC00F0">
        <w:rPr>
          <w:sz w:val="20"/>
          <w:szCs w:val="20"/>
        </w:rPr>
        <w:t xml:space="preserve"> H, mean plant nitrogen concentration </w:t>
      </w:r>
      <w:r>
        <w:rPr>
          <w:sz w:val="20"/>
          <w:szCs w:val="20"/>
        </w:rPr>
        <w:t>across CO</w:t>
      </w:r>
      <w:r w:rsidRPr="002F40B2">
        <w:rPr>
          <w:sz w:val="20"/>
          <w:szCs w:val="20"/>
          <w:vertAlign w:val="subscript"/>
        </w:rPr>
        <w:t>2</w:t>
      </w:r>
      <w:r w:rsidRPr="00FC00F0">
        <w:rPr>
          <w:sz w:val="20"/>
          <w:szCs w:val="20"/>
        </w:rPr>
        <w:t xml:space="preserve"> and nitrogen gradient respectively.  Data shown are individual plant values</w:t>
      </w:r>
      <w:r>
        <w:rPr>
          <w:sz w:val="20"/>
          <w:szCs w:val="20"/>
        </w:rPr>
        <w:t>.</w:t>
      </w:r>
    </w:p>
    <w:p w14:paraId="2088CC7A" w14:textId="5F8D2AEA" w:rsidR="00DF4522" w:rsidRDefault="00DF4522" w:rsidP="00DF4522">
      <w:pPr>
        <w:spacing w:line="360" w:lineRule="auto"/>
        <w:jc w:val="both"/>
        <w:rPr>
          <w:rFonts w:ascii="Cambria" w:hAnsi="Cambria"/>
        </w:rPr>
      </w:pPr>
      <w:r>
        <w:rPr>
          <w:rFonts w:ascii="Cambria" w:hAnsi="Cambria"/>
        </w:rPr>
        <w:t>The carbon and nitrogen concentrations used here show mean values per gram plant, obtained by weighting carbon and nitrogen concentrations from CHN analysis according to the fraction of plant material allocated to each organ type (leaf, leaf sheath and root).</w:t>
      </w:r>
    </w:p>
    <w:p w14:paraId="3B193026" w14:textId="77777777" w:rsidR="00DF4522" w:rsidRDefault="00DF4522" w:rsidP="00DF4522">
      <w:pPr>
        <w:spacing w:line="360" w:lineRule="auto"/>
        <w:jc w:val="both"/>
        <w:rPr>
          <w:rFonts w:ascii="Cambria" w:hAnsi="Cambria"/>
        </w:rPr>
      </w:pPr>
    </w:p>
    <w:p w14:paraId="5058F4C0" w14:textId="7DE08FE4" w:rsidR="00DF4522" w:rsidRPr="00531789" w:rsidRDefault="00DF4522" w:rsidP="00DF4522">
      <w:pPr>
        <w:spacing w:line="360" w:lineRule="auto"/>
        <w:jc w:val="both"/>
        <w:rPr>
          <w:rFonts w:ascii="Cambria" w:hAnsi="Cambria"/>
        </w:rPr>
      </w:pPr>
      <w:r w:rsidRPr="00531789">
        <w:rPr>
          <w:rFonts w:ascii="Cambria" w:hAnsi="Cambria"/>
        </w:rPr>
        <w:t xml:space="preserve">Overall, Figure 1 shows that growth </w:t>
      </w:r>
      <w:r>
        <w:rPr>
          <w:rFonts w:ascii="Cambria" w:hAnsi="Cambria"/>
        </w:rPr>
        <w:t>is not highly responsive</w:t>
      </w:r>
      <w:r w:rsidRPr="00531789">
        <w:rPr>
          <w:rFonts w:ascii="Cambria" w:hAnsi="Cambria"/>
        </w:rPr>
        <w:t xml:space="preserve"> to increasing CO</w:t>
      </w:r>
      <w:r w:rsidRPr="00531789">
        <w:rPr>
          <w:rFonts w:ascii="Cambria" w:hAnsi="Cambria"/>
          <w:vertAlign w:val="subscript"/>
        </w:rPr>
        <w:t>2</w:t>
      </w:r>
      <w:r w:rsidRPr="00531789">
        <w:rPr>
          <w:rFonts w:ascii="Cambria" w:hAnsi="Cambria"/>
        </w:rPr>
        <w:t xml:space="preserve"> or nitrogen in either annual or perennial barley.  Carbon uptake responds strongly to increasing CO</w:t>
      </w:r>
      <w:r w:rsidRPr="00531789">
        <w:rPr>
          <w:rFonts w:ascii="Cambria" w:hAnsi="Cambria"/>
          <w:vertAlign w:val="subscript"/>
        </w:rPr>
        <w:t>2</w:t>
      </w:r>
      <w:r w:rsidRPr="00531789">
        <w:rPr>
          <w:rFonts w:ascii="Cambria" w:hAnsi="Cambria"/>
        </w:rPr>
        <w:t xml:space="preserve">, especially in the perennial, which is more </w:t>
      </w:r>
      <w:r>
        <w:rPr>
          <w:rFonts w:ascii="Cambria" w:hAnsi="Cambria"/>
        </w:rPr>
        <w:t>carbon</w:t>
      </w:r>
      <w:r w:rsidRPr="00531789">
        <w:rPr>
          <w:rFonts w:ascii="Cambria" w:hAnsi="Cambria"/>
        </w:rPr>
        <w:t xml:space="preserve"> source limited, and nitrogen uptake responds strongly to nitrogen gradient in both species</w:t>
      </w:r>
      <w:r>
        <w:rPr>
          <w:rFonts w:ascii="Cambria" w:hAnsi="Cambria"/>
        </w:rPr>
        <w:t>,</w:t>
      </w:r>
      <w:r w:rsidRPr="00531789">
        <w:rPr>
          <w:rFonts w:ascii="Cambria" w:hAnsi="Cambria"/>
        </w:rPr>
        <w:t xml:space="preserve"> in spite of the</w:t>
      </w:r>
      <w:r>
        <w:rPr>
          <w:rFonts w:ascii="Cambria" w:hAnsi="Cambria"/>
        </w:rPr>
        <w:t xml:space="preserve"> nitrogen</w:t>
      </w:r>
      <w:r w:rsidRPr="00531789">
        <w:rPr>
          <w:rFonts w:ascii="Cambria" w:hAnsi="Cambria"/>
        </w:rPr>
        <w:t xml:space="preserve"> sink limitation exhibited by both species</w:t>
      </w:r>
      <w:r>
        <w:rPr>
          <w:rFonts w:ascii="Cambria" w:hAnsi="Cambria"/>
        </w:rPr>
        <w:t xml:space="preserve"> and reflected in the increased nitrogen concentration</w:t>
      </w:r>
      <w:r w:rsidRPr="00531789">
        <w:rPr>
          <w:rFonts w:ascii="Cambria" w:hAnsi="Cambria"/>
        </w:rPr>
        <w:t>.  Carbon concentration increases with CO</w:t>
      </w:r>
      <w:r w:rsidRPr="00531789">
        <w:rPr>
          <w:rFonts w:ascii="Cambria" w:hAnsi="Cambria"/>
          <w:vertAlign w:val="subscript"/>
        </w:rPr>
        <w:t>2</w:t>
      </w:r>
      <w:r w:rsidRPr="00531789">
        <w:rPr>
          <w:rFonts w:ascii="Cambria" w:hAnsi="Cambria"/>
        </w:rPr>
        <w:t xml:space="preserve"> in the perennial, but not in the annual, and does not respond to increasing nitrogen in either species.  In contrast, nitrogen concentration decreases in response to CO</w:t>
      </w:r>
      <w:r w:rsidRPr="00531789">
        <w:rPr>
          <w:rFonts w:ascii="Cambria" w:hAnsi="Cambria"/>
          <w:vertAlign w:val="subscript"/>
        </w:rPr>
        <w:t>2</w:t>
      </w:r>
      <w:r w:rsidRPr="00531789">
        <w:rPr>
          <w:rFonts w:ascii="Cambria" w:hAnsi="Cambria"/>
        </w:rPr>
        <w:t xml:space="preserve"> gradient and increases strongly in response to nitrogen gradient.  These elasticities generally corroborate the findings of this thesis, that increasing the supply of carbon or nitrogen leads to increased uptake and storage of that resource and increases limitation by the other resource.  In annual barley, growth is </w:t>
      </w:r>
      <w:r>
        <w:rPr>
          <w:rFonts w:ascii="Cambria" w:hAnsi="Cambria"/>
        </w:rPr>
        <w:t xml:space="preserve">more </w:t>
      </w:r>
      <w:r w:rsidRPr="00531789">
        <w:rPr>
          <w:rFonts w:ascii="Cambria" w:hAnsi="Cambria"/>
        </w:rPr>
        <w:t>limited by carbon and nitrogen sink capacity, whilst in perennial barley, growth is</w:t>
      </w:r>
      <w:r>
        <w:rPr>
          <w:rFonts w:ascii="Cambria" w:hAnsi="Cambria"/>
        </w:rPr>
        <w:t xml:space="preserve"> more</w:t>
      </w:r>
      <w:r w:rsidRPr="00531789">
        <w:rPr>
          <w:rFonts w:ascii="Cambria" w:hAnsi="Cambria"/>
        </w:rPr>
        <w:t xml:space="preserve"> limited by carbon source and nitrogen sink capacity, and </w:t>
      </w:r>
      <w:r>
        <w:rPr>
          <w:rFonts w:ascii="Cambria" w:hAnsi="Cambria"/>
        </w:rPr>
        <w:t>these findings are</w:t>
      </w:r>
      <w:r w:rsidRPr="00531789">
        <w:rPr>
          <w:rFonts w:ascii="Cambria" w:hAnsi="Cambria"/>
        </w:rPr>
        <w:t xml:space="preserve"> reflected here by the particularly strong response of carbon uptake and concentration in response to </w:t>
      </w:r>
      <w:r>
        <w:rPr>
          <w:rFonts w:ascii="Cambria" w:hAnsi="Cambria"/>
        </w:rPr>
        <w:t xml:space="preserve">the </w:t>
      </w:r>
      <w:r w:rsidRPr="00531789">
        <w:rPr>
          <w:rFonts w:ascii="Cambria" w:hAnsi="Cambria"/>
        </w:rPr>
        <w:t>CO</w:t>
      </w:r>
      <w:r w:rsidRPr="00531789">
        <w:rPr>
          <w:rFonts w:ascii="Cambria" w:hAnsi="Cambria"/>
          <w:vertAlign w:val="subscript"/>
        </w:rPr>
        <w:t>2</w:t>
      </w:r>
      <w:r w:rsidRPr="00531789">
        <w:rPr>
          <w:rFonts w:ascii="Cambria" w:hAnsi="Cambria"/>
        </w:rPr>
        <w:t xml:space="preserve"> gradient in the perennial compared to the annual.</w:t>
      </w:r>
      <w:r>
        <w:rPr>
          <w:rFonts w:ascii="Cambria" w:hAnsi="Cambria"/>
        </w:rPr>
        <w:t xml:space="preserve">  Since the accumulation of non-structural carbohydrates is greater in the annual under elevated CO</w:t>
      </w:r>
      <w:r w:rsidRPr="00610D86">
        <w:rPr>
          <w:rFonts w:ascii="Cambria" w:hAnsi="Cambria"/>
          <w:vertAlign w:val="subscript"/>
        </w:rPr>
        <w:t>2</w:t>
      </w:r>
      <w:r>
        <w:rPr>
          <w:rFonts w:ascii="Cambria" w:hAnsi="Cambria"/>
        </w:rPr>
        <w:t xml:space="preserve"> (Chapter 4), the greater increase in whole plant carbon concentration in response to CO</w:t>
      </w:r>
      <w:r w:rsidRPr="001478D2">
        <w:rPr>
          <w:rFonts w:ascii="Cambria" w:hAnsi="Cambria"/>
          <w:vertAlign w:val="subscript"/>
        </w:rPr>
        <w:t>2</w:t>
      </w:r>
      <w:r>
        <w:rPr>
          <w:rFonts w:ascii="Cambria" w:hAnsi="Cambria"/>
        </w:rPr>
        <w:t xml:space="preserve"> seen in the perennial suggests investment of additional carbon into structural components in this species facilitating its flexible response of growth and development to increased CO</w:t>
      </w:r>
      <w:r w:rsidRPr="00610D86">
        <w:rPr>
          <w:rFonts w:ascii="Cambria" w:hAnsi="Cambria"/>
          <w:vertAlign w:val="subscript"/>
        </w:rPr>
        <w:t>2</w:t>
      </w:r>
      <w:r>
        <w:rPr>
          <w:rFonts w:ascii="Cambria" w:hAnsi="Cambria"/>
        </w:rPr>
        <w:t>.</w:t>
      </w:r>
    </w:p>
    <w:p w14:paraId="7FB24682" w14:textId="77777777" w:rsidR="00DF4522" w:rsidRDefault="00DF4522" w:rsidP="00DF4522">
      <w:pPr>
        <w:spacing w:line="360" w:lineRule="auto"/>
        <w:jc w:val="both"/>
        <w:rPr>
          <w:rFonts w:ascii="Cambria" w:hAnsi="Cambria"/>
        </w:rPr>
      </w:pPr>
    </w:p>
    <w:p w14:paraId="7547E47B" w14:textId="77777777" w:rsidR="00DF4522" w:rsidRDefault="00DF4522" w:rsidP="00DF4522">
      <w:pPr>
        <w:spacing w:line="360" w:lineRule="auto"/>
        <w:jc w:val="both"/>
        <w:rPr>
          <w:rFonts w:ascii="Cambria" w:hAnsi="Cambria"/>
        </w:rPr>
      </w:pPr>
      <w:r w:rsidRPr="00531789">
        <w:rPr>
          <w:rFonts w:ascii="Cambria" w:hAnsi="Cambria"/>
        </w:rPr>
        <w:t>These parameters may also be plotted against transport sugars, since the key processes of resource uptake, storage and growth are all interlinked by this labile pool of intermediates</w:t>
      </w:r>
      <w:r>
        <w:rPr>
          <w:rFonts w:ascii="Cambria" w:hAnsi="Cambria"/>
        </w:rPr>
        <w:t>,</w:t>
      </w:r>
      <w:r w:rsidRPr="00531789">
        <w:rPr>
          <w:rFonts w:ascii="Cambria" w:hAnsi="Cambria"/>
        </w:rPr>
        <w:t xml:space="preserve"> which mediates </w:t>
      </w:r>
      <w:r>
        <w:rPr>
          <w:rFonts w:ascii="Cambria" w:hAnsi="Cambria"/>
        </w:rPr>
        <w:t xml:space="preserve">the transfer of carbon and nitrogen resources </w:t>
      </w:r>
      <w:r w:rsidRPr="00531789">
        <w:rPr>
          <w:rFonts w:ascii="Cambria" w:hAnsi="Cambria"/>
        </w:rPr>
        <w:t>between source</w:t>
      </w:r>
      <w:r>
        <w:rPr>
          <w:rFonts w:ascii="Cambria" w:hAnsi="Cambria"/>
        </w:rPr>
        <w:t>s</w:t>
      </w:r>
      <w:r w:rsidRPr="00531789">
        <w:rPr>
          <w:rFonts w:ascii="Cambria" w:hAnsi="Cambria"/>
        </w:rPr>
        <w:t xml:space="preserve"> and sink</w:t>
      </w:r>
      <w:r>
        <w:rPr>
          <w:rFonts w:ascii="Cambria" w:hAnsi="Cambria"/>
        </w:rPr>
        <w:t>s</w:t>
      </w:r>
      <w:r w:rsidRPr="00531789">
        <w:rPr>
          <w:rFonts w:ascii="Cambria" w:hAnsi="Cambria"/>
        </w:rPr>
        <w:t xml:space="preserve">.  </w:t>
      </w:r>
      <w:r>
        <w:rPr>
          <w:rFonts w:ascii="Cambria" w:hAnsi="Cambria"/>
        </w:rPr>
        <w:t>Here</w:t>
      </w:r>
      <w:r w:rsidRPr="00531789">
        <w:rPr>
          <w:rFonts w:ascii="Cambria" w:hAnsi="Cambria"/>
        </w:rPr>
        <w:t xml:space="preserve">, carbohydrates have been separated into </w:t>
      </w:r>
      <w:r>
        <w:rPr>
          <w:rFonts w:ascii="Cambria" w:hAnsi="Cambria"/>
        </w:rPr>
        <w:t xml:space="preserve">two pools, </w:t>
      </w:r>
      <w:r w:rsidRPr="00531789">
        <w:rPr>
          <w:rFonts w:ascii="Cambria" w:hAnsi="Cambria"/>
        </w:rPr>
        <w:t>transport carbohydrates</w:t>
      </w:r>
      <w:r>
        <w:rPr>
          <w:rFonts w:ascii="Cambria" w:hAnsi="Cambria"/>
        </w:rPr>
        <w:t xml:space="preserve"> and storage carbohydrates, and protein is used as a proxy for nitrogen storage since it is a strong nitrogen sink.  Transport carbohydrates, </w:t>
      </w:r>
      <w:r w:rsidRPr="00531789">
        <w:rPr>
          <w:rFonts w:ascii="Cambria" w:hAnsi="Cambria"/>
        </w:rPr>
        <w:t xml:space="preserve">labelled </w:t>
      </w:r>
      <w:r>
        <w:rPr>
          <w:rFonts w:ascii="Cambria" w:hAnsi="Cambria"/>
        </w:rPr>
        <w:t xml:space="preserve">here </w:t>
      </w:r>
      <w:r w:rsidRPr="00531789">
        <w:rPr>
          <w:rFonts w:ascii="Cambria" w:hAnsi="Cambria"/>
        </w:rPr>
        <w:t xml:space="preserve">as transport sugars </w:t>
      </w:r>
      <w:r>
        <w:rPr>
          <w:rFonts w:ascii="Cambria" w:hAnsi="Cambria"/>
        </w:rPr>
        <w:t xml:space="preserve">for ease of presentation, are </w:t>
      </w:r>
      <w:r w:rsidRPr="00531789">
        <w:rPr>
          <w:rFonts w:ascii="Cambria" w:hAnsi="Cambria"/>
        </w:rPr>
        <w:t xml:space="preserve">the sum of </w:t>
      </w:r>
      <w:r>
        <w:rPr>
          <w:rFonts w:ascii="Cambria" w:hAnsi="Cambria"/>
        </w:rPr>
        <w:t>glucose, fructose, sucrose</w:t>
      </w:r>
      <w:r w:rsidRPr="00531789">
        <w:rPr>
          <w:rFonts w:ascii="Cambria" w:hAnsi="Cambria"/>
        </w:rPr>
        <w:t xml:space="preserve"> and short-chain </w:t>
      </w:r>
      <w:proofErr w:type="spellStart"/>
      <w:r w:rsidRPr="00531789">
        <w:rPr>
          <w:rFonts w:ascii="Cambria" w:hAnsi="Cambria"/>
        </w:rPr>
        <w:t>fructan</w:t>
      </w:r>
      <w:r>
        <w:rPr>
          <w:rFonts w:ascii="Cambria" w:hAnsi="Cambria"/>
        </w:rPr>
        <w:t>s</w:t>
      </w:r>
      <w:proofErr w:type="spellEnd"/>
      <w:r>
        <w:rPr>
          <w:rFonts w:ascii="Cambria" w:hAnsi="Cambria"/>
        </w:rPr>
        <w:t xml:space="preserve">, all of which may be transported within the plant and constitute a relatively temporary and labile pool of carbohydrates.   Storage carbohydrates are expressed here as </w:t>
      </w:r>
      <w:r w:rsidRPr="00531789">
        <w:rPr>
          <w:rFonts w:ascii="Cambria" w:hAnsi="Cambria"/>
        </w:rPr>
        <w:t xml:space="preserve">the sum of starch and long-chain </w:t>
      </w:r>
      <w:proofErr w:type="spellStart"/>
      <w:r w:rsidRPr="00531789">
        <w:rPr>
          <w:rFonts w:ascii="Cambria" w:hAnsi="Cambria"/>
        </w:rPr>
        <w:t>fructans</w:t>
      </w:r>
      <w:proofErr w:type="spellEnd"/>
      <w:r>
        <w:rPr>
          <w:rFonts w:ascii="Cambria" w:hAnsi="Cambria"/>
        </w:rPr>
        <w:t>.  These carbohydrate and protein data are expressed as mean values per gram plant, obtained by firstly weighting metabolite concentrations according to the fraction of plant material allocated to each organ type (leaf, leaf sheath and root) and then converting these metabolite data to concentrations of carbon and nitrogen stored in each metabolite pool.</w:t>
      </w:r>
    </w:p>
    <w:p w14:paraId="62153B3E" w14:textId="77777777" w:rsidR="00DF4522" w:rsidRPr="00531789" w:rsidRDefault="00DF4522" w:rsidP="00DF4522">
      <w:pPr>
        <w:spacing w:line="360" w:lineRule="auto"/>
        <w:jc w:val="both"/>
        <w:rPr>
          <w:rFonts w:ascii="Cambria" w:hAnsi="Cambria"/>
        </w:rPr>
      </w:pPr>
    </w:p>
    <w:p w14:paraId="3325E4B3" w14:textId="625376E1" w:rsidR="00740304" w:rsidRDefault="00DF4522" w:rsidP="00740304">
      <w:pPr>
        <w:spacing w:line="360" w:lineRule="auto"/>
        <w:jc w:val="both"/>
        <w:rPr>
          <w:rFonts w:ascii="Cambria" w:hAnsi="Cambria"/>
        </w:rPr>
      </w:pPr>
      <w:r w:rsidRPr="00531789">
        <w:rPr>
          <w:rFonts w:ascii="Cambria" w:hAnsi="Cambria"/>
        </w:rPr>
        <w:t xml:space="preserve">In annual barley, RGR (Fig. 2A) shows a much stronger negative response to transport sugars </w:t>
      </w:r>
      <w:r>
        <w:rPr>
          <w:rFonts w:ascii="Cambria" w:hAnsi="Cambria"/>
        </w:rPr>
        <w:t>across the</w:t>
      </w:r>
      <w:r w:rsidRPr="00531789">
        <w:rPr>
          <w:rFonts w:ascii="Cambria" w:hAnsi="Cambria"/>
        </w:rPr>
        <w:t xml:space="preserve"> CO</w:t>
      </w:r>
      <w:r w:rsidRPr="00531789">
        <w:rPr>
          <w:rFonts w:ascii="Cambria" w:hAnsi="Cambria"/>
          <w:vertAlign w:val="subscript"/>
        </w:rPr>
        <w:t>2</w:t>
      </w:r>
      <w:r w:rsidRPr="00531789">
        <w:rPr>
          <w:rFonts w:ascii="Cambria" w:hAnsi="Cambria"/>
        </w:rPr>
        <w:t xml:space="preserve"> gradient than the perennial, with an elasticity of -0.457 for the annual and -0.028 for the perennial</w:t>
      </w:r>
      <w:r>
        <w:rPr>
          <w:rFonts w:ascii="Cambria" w:hAnsi="Cambria"/>
        </w:rPr>
        <w:t>, whilst b</w:t>
      </w:r>
      <w:r w:rsidRPr="00531789">
        <w:rPr>
          <w:rFonts w:ascii="Cambria" w:hAnsi="Cambria"/>
        </w:rPr>
        <w:t xml:space="preserve">oth species show a strong increase in RGR in response to transport sugars </w:t>
      </w:r>
      <w:r>
        <w:rPr>
          <w:rFonts w:ascii="Cambria" w:hAnsi="Cambria"/>
        </w:rPr>
        <w:t>across the</w:t>
      </w:r>
      <w:r w:rsidRPr="00531789">
        <w:rPr>
          <w:rFonts w:ascii="Cambria" w:hAnsi="Cambria"/>
        </w:rPr>
        <w:t xml:space="preserve"> nitrogen gradient (Fig 2B) with an elasticity of 0.</w:t>
      </w:r>
      <w:r w:rsidR="00967B94">
        <w:rPr>
          <w:rFonts w:ascii="Cambria" w:hAnsi="Cambria"/>
        </w:rPr>
        <w:t>580</w:t>
      </w:r>
      <w:r>
        <w:rPr>
          <w:rFonts w:ascii="Cambria" w:hAnsi="Cambria"/>
        </w:rPr>
        <w:t xml:space="preserve">.  </w:t>
      </w:r>
      <w:r w:rsidRPr="00531789">
        <w:rPr>
          <w:rFonts w:ascii="Cambria" w:hAnsi="Cambria"/>
        </w:rPr>
        <w:t>The overall r</w:t>
      </w:r>
      <w:r w:rsidRPr="00531789">
        <w:rPr>
          <w:rFonts w:ascii="Cambria" w:hAnsi="Cambria"/>
          <w:vertAlign w:val="superscript"/>
        </w:rPr>
        <w:t>2</w:t>
      </w:r>
      <w:r w:rsidRPr="00531789">
        <w:rPr>
          <w:rFonts w:ascii="Cambria" w:hAnsi="Cambria"/>
        </w:rPr>
        <w:t xml:space="preserve"> value is 0.68 for </w:t>
      </w:r>
      <w:r w:rsidR="00967B94">
        <w:rPr>
          <w:rFonts w:ascii="Cambria" w:hAnsi="Cambria"/>
        </w:rPr>
        <w:t>carbon and 0.46 for nitrogen</w:t>
      </w:r>
      <w:r w:rsidRPr="00531789">
        <w:rPr>
          <w:rFonts w:ascii="Cambria" w:hAnsi="Cambria"/>
        </w:rPr>
        <w:t xml:space="preserve">.  </w:t>
      </w:r>
      <w:r>
        <w:rPr>
          <w:rFonts w:ascii="Cambria" w:hAnsi="Cambria"/>
        </w:rPr>
        <w:t>The negative relationship between RGR and transport sugars across the CO</w:t>
      </w:r>
      <w:r w:rsidRPr="0052440B">
        <w:rPr>
          <w:rFonts w:ascii="Cambria" w:hAnsi="Cambria"/>
          <w:vertAlign w:val="subscript"/>
        </w:rPr>
        <w:t>2</w:t>
      </w:r>
      <w:r>
        <w:rPr>
          <w:rFonts w:ascii="Cambria" w:hAnsi="Cambria"/>
        </w:rPr>
        <w:t xml:space="preserve"> gradient indicates that increases in RGR when carbon source activity is decreased (since higher RGRs are correlated here with decreased CO</w:t>
      </w:r>
      <w:r w:rsidRPr="0052440B">
        <w:rPr>
          <w:rFonts w:ascii="Cambria" w:hAnsi="Cambria"/>
          <w:vertAlign w:val="subscript"/>
        </w:rPr>
        <w:t>2</w:t>
      </w:r>
      <w:r>
        <w:rPr>
          <w:rFonts w:ascii="Cambria" w:hAnsi="Cambria"/>
        </w:rPr>
        <w:t xml:space="preserve"> due to the ontogenetic artefact discussed for Figure 1) depend on drawdown of transport sugars.  Meanwhile, the positive relationship between RGR and transport sugars across the nitrogen gradient suggests that increases in RGR when the nitrogen source is increased depend more on nitrogen than on transport sugar drawdown, since CO</w:t>
      </w:r>
      <w:r w:rsidRPr="0052440B">
        <w:rPr>
          <w:rFonts w:ascii="Cambria" w:hAnsi="Cambria"/>
          <w:vertAlign w:val="subscript"/>
        </w:rPr>
        <w:t>2</w:t>
      </w:r>
      <w:r>
        <w:rPr>
          <w:rFonts w:ascii="Cambria" w:hAnsi="Cambria"/>
        </w:rPr>
        <w:t xml:space="preserve"> is not limiting in this case.</w:t>
      </w:r>
      <w:r w:rsidR="00740304" w:rsidRPr="00740304">
        <w:rPr>
          <w:rFonts w:ascii="Cambria" w:hAnsi="Cambria"/>
        </w:rPr>
        <w:t xml:space="preserve"> </w:t>
      </w:r>
    </w:p>
    <w:p w14:paraId="1D2B01D0" w14:textId="77777777" w:rsidR="00740304" w:rsidRDefault="00740304" w:rsidP="00740304">
      <w:pPr>
        <w:spacing w:line="360" w:lineRule="auto"/>
        <w:jc w:val="both"/>
        <w:rPr>
          <w:rFonts w:ascii="Cambria" w:hAnsi="Cambria"/>
        </w:rPr>
      </w:pPr>
    </w:p>
    <w:p w14:paraId="717459C7" w14:textId="4FC3715B" w:rsidR="00740304" w:rsidRDefault="00740304" w:rsidP="00740304">
      <w:pPr>
        <w:spacing w:line="360" w:lineRule="auto"/>
        <w:jc w:val="both"/>
        <w:rPr>
          <w:rFonts w:ascii="Cambria" w:hAnsi="Cambria"/>
        </w:rPr>
      </w:pPr>
      <w:r w:rsidRPr="00531789">
        <w:rPr>
          <w:rFonts w:ascii="Cambria" w:hAnsi="Cambria"/>
        </w:rPr>
        <w:t xml:space="preserve">Annual and perennial barley show a strong increase in resource uptake in response to transport sugars, both for carbon uptake </w:t>
      </w:r>
      <w:r>
        <w:rPr>
          <w:rFonts w:ascii="Cambria" w:hAnsi="Cambria"/>
        </w:rPr>
        <w:t>across the</w:t>
      </w:r>
      <w:r w:rsidRPr="00531789">
        <w:rPr>
          <w:rFonts w:ascii="Cambria" w:hAnsi="Cambria"/>
        </w:rPr>
        <w:t xml:space="preserve"> CO</w:t>
      </w:r>
      <w:r w:rsidRPr="00531789">
        <w:rPr>
          <w:rFonts w:ascii="Cambria" w:hAnsi="Cambria"/>
          <w:vertAlign w:val="subscript"/>
        </w:rPr>
        <w:t>2</w:t>
      </w:r>
      <w:r w:rsidRPr="00531789">
        <w:rPr>
          <w:rFonts w:ascii="Cambria" w:hAnsi="Cambria"/>
        </w:rPr>
        <w:t xml:space="preserve"> gradient and for nitrogen uptake </w:t>
      </w:r>
      <w:r>
        <w:rPr>
          <w:rFonts w:ascii="Cambria" w:hAnsi="Cambria"/>
        </w:rPr>
        <w:t>across the</w:t>
      </w:r>
      <w:r w:rsidRPr="00531789">
        <w:rPr>
          <w:rFonts w:ascii="Cambria" w:hAnsi="Cambria"/>
        </w:rPr>
        <w:t xml:space="preserve"> nitrogen gradient (Fig. 2C and D), with elasticities of 0.876 and 0.253 respectively.  The r</w:t>
      </w:r>
      <w:r w:rsidRPr="00531789">
        <w:rPr>
          <w:rFonts w:ascii="Cambria" w:hAnsi="Cambria"/>
          <w:vertAlign w:val="superscript"/>
        </w:rPr>
        <w:t>2</w:t>
      </w:r>
      <w:r w:rsidRPr="00531789">
        <w:rPr>
          <w:rFonts w:ascii="Cambria" w:hAnsi="Cambria"/>
        </w:rPr>
        <w:t xml:space="preserve"> values are 0.83 for carbon uptake and 0.43 for nitrogen uptake.</w:t>
      </w:r>
      <w:r>
        <w:rPr>
          <w:rFonts w:ascii="Cambria" w:hAnsi="Cambria"/>
        </w:rPr>
        <w:t xml:space="preserve">  For nitrogen, this indicates a capacity to pair carbon and nitrogen for investing in growth; for carbon, the direct causal relationship between carbon uptake and transport sugars means that the change in sugars is probably due to carbon uptake rather than </w:t>
      </w:r>
      <w:r w:rsidRPr="001478D2">
        <w:rPr>
          <w:rFonts w:ascii="Cambria" w:hAnsi="Cambria"/>
          <w:i/>
        </w:rPr>
        <w:t>vice versa</w:t>
      </w:r>
      <w:r>
        <w:rPr>
          <w:rFonts w:ascii="Cambria" w:hAnsi="Cambria"/>
        </w:rPr>
        <w:t>.</w:t>
      </w:r>
    </w:p>
    <w:p w14:paraId="667BB08E" w14:textId="77777777" w:rsidR="00740304" w:rsidRDefault="00740304" w:rsidP="00740304">
      <w:pPr>
        <w:spacing w:line="360" w:lineRule="auto"/>
        <w:jc w:val="both"/>
        <w:rPr>
          <w:rFonts w:ascii="Cambria" w:hAnsi="Cambria"/>
        </w:rPr>
      </w:pPr>
    </w:p>
    <w:p w14:paraId="242D9DF4" w14:textId="5780A767" w:rsidR="00740304" w:rsidRDefault="00740304" w:rsidP="00740304">
      <w:pPr>
        <w:spacing w:line="360" w:lineRule="auto"/>
        <w:jc w:val="both"/>
        <w:rPr>
          <w:rFonts w:ascii="Cambria" w:hAnsi="Cambria"/>
        </w:rPr>
      </w:pPr>
      <w:r w:rsidRPr="00531789">
        <w:rPr>
          <w:rFonts w:ascii="Cambria" w:hAnsi="Cambria"/>
        </w:rPr>
        <w:t xml:space="preserve">The concentration of storage carbohydrates responds very strongly to transport sugars in both species (Fig. 2E and F), with elasticities of 1.42 </w:t>
      </w:r>
      <w:r>
        <w:rPr>
          <w:rFonts w:ascii="Cambria" w:hAnsi="Cambria"/>
        </w:rPr>
        <w:t>across the</w:t>
      </w:r>
      <w:r w:rsidRPr="00531789">
        <w:rPr>
          <w:rFonts w:ascii="Cambria" w:hAnsi="Cambria"/>
        </w:rPr>
        <w:t xml:space="preserve"> CO</w:t>
      </w:r>
      <w:r w:rsidRPr="00531789">
        <w:rPr>
          <w:rFonts w:ascii="Cambria" w:hAnsi="Cambria"/>
          <w:vertAlign w:val="subscript"/>
        </w:rPr>
        <w:t>2</w:t>
      </w:r>
      <w:r w:rsidRPr="00531789">
        <w:rPr>
          <w:rFonts w:ascii="Cambria" w:hAnsi="Cambria"/>
        </w:rPr>
        <w:t xml:space="preserve"> gradient and 0.706 </w:t>
      </w:r>
      <w:r>
        <w:rPr>
          <w:rFonts w:ascii="Cambria" w:hAnsi="Cambria"/>
        </w:rPr>
        <w:t>across the</w:t>
      </w:r>
      <w:r w:rsidRPr="00531789">
        <w:rPr>
          <w:rFonts w:ascii="Cambria" w:hAnsi="Cambria"/>
        </w:rPr>
        <w:t xml:space="preserve"> nitrogen gradient, and higher values in the perennial</w:t>
      </w:r>
      <w:r>
        <w:rPr>
          <w:rFonts w:ascii="Cambria" w:hAnsi="Cambria"/>
        </w:rPr>
        <w:t>, indicating efficient use of sugars and highlighting the lower carbon sink limitation in the perennial compared to the annual which allows the perennial to convert sugars to storage carbohydrates more readily</w:t>
      </w:r>
      <w:r w:rsidRPr="00531789">
        <w:rPr>
          <w:rFonts w:ascii="Cambria" w:hAnsi="Cambria"/>
        </w:rPr>
        <w:t>.  The r</w:t>
      </w:r>
      <w:r w:rsidRPr="00531789">
        <w:rPr>
          <w:rFonts w:ascii="Cambria" w:hAnsi="Cambria"/>
          <w:vertAlign w:val="superscript"/>
        </w:rPr>
        <w:t>2</w:t>
      </w:r>
      <w:r w:rsidRPr="00531789">
        <w:rPr>
          <w:rFonts w:ascii="Cambria" w:hAnsi="Cambria"/>
        </w:rPr>
        <w:t xml:space="preserve"> values are 0.83 and 0.73 respectively.  The concentration of protein (Fig, 2G and H), used here as a proxy for storage nitrogen, does not respond to transport sugars </w:t>
      </w:r>
      <w:r>
        <w:rPr>
          <w:rFonts w:ascii="Cambria" w:hAnsi="Cambria"/>
        </w:rPr>
        <w:t>across the</w:t>
      </w:r>
      <w:r w:rsidRPr="00531789">
        <w:rPr>
          <w:rFonts w:ascii="Cambria" w:hAnsi="Cambria"/>
        </w:rPr>
        <w:t xml:space="preserve"> CO</w:t>
      </w:r>
      <w:r w:rsidRPr="00531789">
        <w:rPr>
          <w:rFonts w:ascii="Cambria" w:hAnsi="Cambria"/>
          <w:vertAlign w:val="subscript"/>
        </w:rPr>
        <w:t>2</w:t>
      </w:r>
      <w:r w:rsidRPr="00531789">
        <w:rPr>
          <w:rFonts w:ascii="Cambria" w:hAnsi="Cambria"/>
        </w:rPr>
        <w:t xml:space="preserve"> gradient in either species</w:t>
      </w:r>
      <w:r>
        <w:rPr>
          <w:rFonts w:ascii="Cambria" w:hAnsi="Cambria"/>
        </w:rPr>
        <w:t xml:space="preserve">, </w:t>
      </w:r>
      <w:proofErr w:type="spellStart"/>
      <w:r>
        <w:rPr>
          <w:rFonts w:ascii="Cambria" w:hAnsi="Cambria"/>
        </w:rPr>
        <w:t>pr</w:t>
      </w:r>
      <w:proofErr w:type="spellEnd"/>
      <w:r w:rsidR="00787644" w:rsidRPr="00787644">
        <w:rPr>
          <w:rFonts w:ascii="Cambria" w:hAnsi="Cambria"/>
          <w:noProof/>
          <w:lang w:val="en-US"/>
        </w:rPr>
        <w:t xml:space="preserve"> </w:t>
      </w:r>
      <w:r w:rsidR="00787644">
        <w:rPr>
          <w:rFonts w:ascii="Cambria" w:hAnsi="Cambria"/>
        </w:rPr>
        <w:t xml:space="preserve"> </w:t>
      </w:r>
      <w:proofErr w:type="spellStart"/>
      <w:r>
        <w:rPr>
          <w:rFonts w:ascii="Cambria" w:hAnsi="Cambria"/>
        </w:rPr>
        <w:t>esumably</w:t>
      </w:r>
      <w:proofErr w:type="spellEnd"/>
      <w:r w:rsidRPr="00531789">
        <w:rPr>
          <w:rFonts w:ascii="Cambria" w:hAnsi="Cambria"/>
        </w:rPr>
        <w:t xml:space="preserve"> </w:t>
      </w:r>
      <w:r>
        <w:rPr>
          <w:rFonts w:ascii="Cambria" w:hAnsi="Cambria"/>
        </w:rPr>
        <w:t xml:space="preserve">since these sugars are not accompanied by increased free nitrogen with which they may be combined to make protein </w:t>
      </w:r>
      <w:r w:rsidRPr="00531789">
        <w:rPr>
          <w:rFonts w:ascii="Cambria" w:hAnsi="Cambria"/>
        </w:rPr>
        <w:t>(elasticity for both species is -0.009, r</w:t>
      </w:r>
      <w:r w:rsidRPr="00531789">
        <w:rPr>
          <w:rFonts w:ascii="Cambria" w:hAnsi="Cambria"/>
          <w:vertAlign w:val="superscript"/>
        </w:rPr>
        <w:t>2</w:t>
      </w:r>
      <w:r w:rsidRPr="00531789">
        <w:rPr>
          <w:rFonts w:ascii="Cambria" w:hAnsi="Cambria"/>
        </w:rPr>
        <w:t xml:space="preserve"> = 0.13)</w:t>
      </w:r>
      <w:r>
        <w:rPr>
          <w:rFonts w:ascii="Cambria" w:hAnsi="Cambria"/>
        </w:rPr>
        <w:t>.  In contrast, protein concentration does respond</w:t>
      </w:r>
      <w:r w:rsidRPr="00531789">
        <w:rPr>
          <w:rFonts w:ascii="Cambria" w:hAnsi="Cambria"/>
        </w:rPr>
        <w:t xml:space="preserve"> to transport sugars </w:t>
      </w:r>
      <w:r>
        <w:rPr>
          <w:rFonts w:ascii="Cambria" w:hAnsi="Cambria"/>
        </w:rPr>
        <w:t>across the</w:t>
      </w:r>
      <w:r w:rsidRPr="00531789">
        <w:rPr>
          <w:rFonts w:ascii="Cambria" w:hAnsi="Cambria"/>
        </w:rPr>
        <w:t xml:space="preserve"> nitrogen gradient in both species</w:t>
      </w:r>
      <w:r>
        <w:rPr>
          <w:rFonts w:ascii="Cambria" w:hAnsi="Cambria"/>
        </w:rPr>
        <w:t>, since these sugars can be used alongside the additional nitrogen made available by this treatment in order to build protein</w:t>
      </w:r>
      <w:r w:rsidRPr="00531789">
        <w:rPr>
          <w:rFonts w:ascii="Cambria" w:hAnsi="Cambria"/>
        </w:rPr>
        <w:t xml:space="preserve"> (elasticity for both species is 0.209, with higher values in the perennial; r</w:t>
      </w:r>
      <w:r w:rsidRPr="00531789">
        <w:rPr>
          <w:rFonts w:ascii="Cambria" w:hAnsi="Cambria"/>
          <w:vertAlign w:val="superscript"/>
        </w:rPr>
        <w:t>2</w:t>
      </w:r>
      <w:r w:rsidRPr="00531789">
        <w:rPr>
          <w:rFonts w:ascii="Cambria" w:hAnsi="Cambria"/>
        </w:rPr>
        <w:t xml:space="preserve"> = 0.67).</w:t>
      </w:r>
    </w:p>
    <w:p w14:paraId="323130E5" w14:textId="77777777" w:rsidR="00740304" w:rsidRDefault="00740304" w:rsidP="00740304">
      <w:pPr>
        <w:spacing w:line="360" w:lineRule="auto"/>
        <w:jc w:val="both"/>
        <w:rPr>
          <w:rFonts w:ascii="Cambria" w:hAnsi="Cambria"/>
        </w:rPr>
      </w:pPr>
    </w:p>
    <w:p w14:paraId="5467BAAA" w14:textId="1A46CDFF" w:rsidR="00740304" w:rsidRPr="00531789" w:rsidRDefault="00740304" w:rsidP="00740304">
      <w:pPr>
        <w:spacing w:line="360" w:lineRule="auto"/>
        <w:jc w:val="both"/>
        <w:rPr>
          <w:rFonts w:ascii="Cambria" w:hAnsi="Cambria"/>
        </w:rPr>
      </w:pPr>
      <w:r w:rsidRPr="00531789">
        <w:rPr>
          <w:rFonts w:ascii="Cambria" w:hAnsi="Cambria"/>
        </w:rPr>
        <w:t xml:space="preserve">Overall when the carbon source is manipulated </w:t>
      </w:r>
      <w:r w:rsidRPr="0079342F">
        <w:rPr>
          <w:rFonts w:ascii="Cambria" w:hAnsi="Cambria"/>
          <w:i/>
        </w:rPr>
        <w:t>via</w:t>
      </w:r>
      <w:r w:rsidRPr="00531789">
        <w:rPr>
          <w:rFonts w:ascii="Cambria" w:hAnsi="Cambria"/>
        </w:rPr>
        <w:t xml:space="preserve"> </w:t>
      </w:r>
      <w:r>
        <w:rPr>
          <w:rFonts w:ascii="Cambria" w:hAnsi="Cambria"/>
        </w:rPr>
        <w:t xml:space="preserve">the </w:t>
      </w:r>
      <w:r w:rsidRPr="00531789">
        <w:rPr>
          <w:rFonts w:ascii="Cambria" w:hAnsi="Cambria"/>
        </w:rPr>
        <w:t>CO</w:t>
      </w:r>
      <w:r w:rsidRPr="00531789">
        <w:rPr>
          <w:rFonts w:ascii="Cambria" w:hAnsi="Cambria"/>
          <w:vertAlign w:val="subscript"/>
        </w:rPr>
        <w:t>2</w:t>
      </w:r>
      <w:r w:rsidRPr="00531789">
        <w:rPr>
          <w:rFonts w:ascii="Cambria" w:hAnsi="Cambria"/>
        </w:rPr>
        <w:t xml:space="preserve"> gradient, growth in the annual and photosynthesis and carbon storage in both species </w:t>
      </w:r>
      <w:r>
        <w:rPr>
          <w:rFonts w:ascii="Cambria" w:hAnsi="Cambria"/>
        </w:rPr>
        <w:t>show strong relationships with</w:t>
      </w:r>
      <w:r w:rsidRPr="00531789">
        <w:rPr>
          <w:rFonts w:ascii="Cambria" w:hAnsi="Cambria"/>
        </w:rPr>
        <w:t xml:space="preserve"> transport sugars, whilst growth in the perennial and </w:t>
      </w:r>
      <w:r>
        <w:rPr>
          <w:rFonts w:ascii="Cambria" w:hAnsi="Cambria"/>
        </w:rPr>
        <w:t xml:space="preserve">protein accumulation </w:t>
      </w:r>
      <w:r w:rsidRPr="00531789">
        <w:rPr>
          <w:rFonts w:ascii="Cambria" w:hAnsi="Cambria"/>
        </w:rPr>
        <w:t xml:space="preserve">in both species do not.  When the carbon sink is manipulated </w:t>
      </w:r>
      <w:r w:rsidRPr="0079342F">
        <w:rPr>
          <w:rFonts w:ascii="Cambria" w:hAnsi="Cambria"/>
          <w:i/>
        </w:rPr>
        <w:t xml:space="preserve">via </w:t>
      </w:r>
      <w:r>
        <w:rPr>
          <w:rFonts w:ascii="Cambria" w:hAnsi="Cambria"/>
        </w:rPr>
        <w:t xml:space="preserve">the </w:t>
      </w:r>
      <w:r w:rsidRPr="00531789">
        <w:rPr>
          <w:rFonts w:ascii="Cambria" w:hAnsi="Cambria"/>
        </w:rPr>
        <w:t xml:space="preserve">nitrogen gradient, growth, nitrogen uptake, carbon storage and </w:t>
      </w:r>
      <w:r>
        <w:rPr>
          <w:rFonts w:ascii="Cambria" w:hAnsi="Cambria"/>
        </w:rPr>
        <w:t>protein accumulation</w:t>
      </w:r>
      <w:r w:rsidRPr="00531789">
        <w:rPr>
          <w:rFonts w:ascii="Cambria" w:hAnsi="Cambria"/>
        </w:rPr>
        <w:t xml:space="preserve"> in both species respond strongly to transport sugars, with the response for carbon storage being particularly strong.  Thus increasing the carbon source or the carbon sink reveals a strong response of growth in the annual and of carbon storage in both species </w:t>
      </w:r>
      <w:r>
        <w:rPr>
          <w:rFonts w:ascii="Cambria" w:hAnsi="Cambria"/>
        </w:rPr>
        <w:t xml:space="preserve">with respect </w:t>
      </w:r>
      <w:r w:rsidRPr="00531789">
        <w:rPr>
          <w:rFonts w:ascii="Cambria" w:hAnsi="Cambria"/>
        </w:rPr>
        <w:t xml:space="preserve">to transport sugars, whilst increasing the carbon source reveals a strong </w:t>
      </w:r>
      <w:r>
        <w:rPr>
          <w:rFonts w:ascii="Cambria" w:hAnsi="Cambria"/>
        </w:rPr>
        <w:t>link between photosynthesis and</w:t>
      </w:r>
      <w:r w:rsidRPr="00531789">
        <w:rPr>
          <w:rFonts w:ascii="Cambria" w:hAnsi="Cambria"/>
        </w:rPr>
        <w:t xml:space="preserve"> transport sugars; photosynthesis provides an increase in transport sugars to which growth and storage respond.</w:t>
      </w:r>
      <w:r>
        <w:rPr>
          <w:rFonts w:ascii="Cambria" w:hAnsi="Cambria"/>
        </w:rPr>
        <w:t xml:space="preserve"> </w:t>
      </w:r>
      <w:r w:rsidRPr="00531789">
        <w:rPr>
          <w:rFonts w:ascii="Cambria" w:hAnsi="Cambria"/>
        </w:rPr>
        <w:t xml:space="preserve"> </w:t>
      </w:r>
    </w:p>
    <w:p w14:paraId="71395720" w14:textId="77777777" w:rsidR="00DF4522" w:rsidRPr="00531789" w:rsidRDefault="00DF4522" w:rsidP="00DF4522">
      <w:pPr>
        <w:spacing w:line="360" w:lineRule="auto"/>
        <w:jc w:val="both"/>
        <w:rPr>
          <w:rFonts w:ascii="Cambria" w:hAnsi="Cambria"/>
        </w:rPr>
      </w:pPr>
    </w:p>
    <w:p w14:paraId="3FD0573E" w14:textId="1391B69F" w:rsidR="00DF4522" w:rsidRDefault="00787644" w:rsidP="00DF4522">
      <w:pPr>
        <w:ind w:firstLine="720"/>
        <w:jc w:val="both"/>
        <w:rPr>
          <w:b/>
          <w:sz w:val="20"/>
          <w:szCs w:val="20"/>
        </w:rPr>
      </w:pPr>
      <w:r>
        <w:rPr>
          <w:noProof/>
          <w:lang w:val="en-US"/>
        </w:rPr>
        <w:drawing>
          <wp:anchor distT="0" distB="0" distL="114300" distR="114300" simplePos="0" relativeHeight="251784192" behindDoc="0" locked="0" layoutInCell="1" allowOverlap="1" wp14:anchorId="04593933" wp14:editId="12170F8F">
            <wp:simplePos x="0" y="0"/>
            <wp:positionH relativeFrom="column">
              <wp:posOffset>3115310</wp:posOffset>
            </wp:positionH>
            <wp:positionV relativeFrom="paragraph">
              <wp:posOffset>5744210</wp:posOffset>
            </wp:positionV>
            <wp:extent cx="1799590" cy="1799590"/>
            <wp:effectExtent l="0" t="0" r="3810" b="3810"/>
            <wp:wrapThrough wrapText="bothSides">
              <wp:wrapPolygon edited="0">
                <wp:start x="0" y="0"/>
                <wp:lineTo x="0" y="21341"/>
                <wp:lineTo x="21341" y="21341"/>
                <wp:lineTo x="21341" y="0"/>
                <wp:lineTo x="0" y="0"/>
              </wp:wrapPolygon>
            </wp:wrapThrough>
            <wp:docPr id="97" name="Picture 97" descr="Macintosh HD:Users:angelawhite:Desktop:N protein-suga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gelawhite:Desktop:N protein-sugars.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82144" behindDoc="0" locked="0" layoutInCell="1" allowOverlap="1" wp14:anchorId="0CAE73A2" wp14:editId="045D807E">
            <wp:simplePos x="0" y="0"/>
            <wp:positionH relativeFrom="column">
              <wp:posOffset>3115310</wp:posOffset>
            </wp:positionH>
            <wp:positionV relativeFrom="paragraph">
              <wp:posOffset>3915410</wp:posOffset>
            </wp:positionV>
            <wp:extent cx="1799590" cy="1799590"/>
            <wp:effectExtent l="0" t="0" r="3810" b="3810"/>
            <wp:wrapThrough wrapText="bothSides">
              <wp:wrapPolygon edited="0">
                <wp:start x="0" y="0"/>
                <wp:lineTo x="0" y="21341"/>
                <wp:lineTo x="21341" y="21341"/>
                <wp:lineTo x="21341" y="0"/>
                <wp:lineTo x="0" y="0"/>
              </wp:wrapPolygon>
            </wp:wrapThrough>
            <wp:docPr id="95" name="Picture 95" descr="Macintosh HD:Users:angelawhite:Desktop:N sf-suga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gelawhite:Desktop:N sf-sugars.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79072" behindDoc="0" locked="0" layoutInCell="1" allowOverlap="1" wp14:anchorId="32D1B1F2" wp14:editId="3C5AD9AC">
            <wp:simplePos x="0" y="0"/>
            <wp:positionH relativeFrom="column">
              <wp:posOffset>3115310</wp:posOffset>
            </wp:positionH>
            <wp:positionV relativeFrom="paragraph">
              <wp:posOffset>2115820</wp:posOffset>
            </wp:positionV>
            <wp:extent cx="1799590" cy="1799590"/>
            <wp:effectExtent l="0" t="0" r="3810" b="3810"/>
            <wp:wrapThrough wrapText="bothSides">
              <wp:wrapPolygon edited="0">
                <wp:start x="0" y="0"/>
                <wp:lineTo x="0" y="21341"/>
                <wp:lineTo x="21341" y="21341"/>
                <wp:lineTo x="21341" y="0"/>
                <wp:lineTo x="0" y="0"/>
              </wp:wrapPolygon>
            </wp:wrapThrough>
            <wp:docPr id="92" name="Picture 92" descr="Macintosh HD:Users:angelawhite:Desktop:N uptake-suga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gelawhite:Desktop:N uptake-sugars.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80096" behindDoc="0" locked="0" layoutInCell="1" allowOverlap="1" wp14:anchorId="3AE6BD0B" wp14:editId="0EFA88B2">
            <wp:simplePos x="0" y="0"/>
            <wp:positionH relativeFrom="column">
              <wp:posOffset>228600</wp:posOffset>
            </wp:positionH>
            <wp:positionV relativeFrom="paragraph">
              <wp:posOffset>2086610</wp:posOffset>
            </wp:positionV>
            <wp:extent cx="1799590" cy="1799590"/>
            <wp:effectExtent l="0" t="0" r="3810" b="3810"/>
            <wp:wrapThrough wrapText="bothSides">
              <wp:wrapPolygon edited="0">
                <wp:start x="0" y="0"/>
                <wp:lineTo x="0" y="21341"/>
                <wp:lineTo x="21341" y="21341"/>
                <wp:lineTo x="21341" y="0"/>
                <wp:lineTo x="0" y="0"/>
              </wp:wrapPolygon>
            </wp:wrapThrough>
            <wp:docPr id="93" name="Picture 93" descr="Macintosh HD:Users:angelawhite:Desktop:C uptake-suga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gelawhite:Desktop:C uptake-sugars.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81120" behindDoc="0" locked="0" layoutInCell="1" allowOverlap="1" wp14:anchorId="0088D9F8" wp14:editId="780C67E4">
            <wp:simplePos x="0" y="0"/>
            <wp:positionH relativeFrom="column">
              <wp:posOffset>257810</wp:posOffset>
            </wp:positionH>
            <wp:positionV relativeFrom="paragraph">
              <wp:posOffset>3944620</wp:posOffset>
            </wp:positionV>
            <wp:extent cx="1799590" cy="1799590"/>
            <wp:effectExtent l="0" t="0" r="3810" b="3810"/>
            <wp:wrapThrough wrapText="bothSides">
              <wp:wrapPolygon edited="0">
                <wp:start x="0" y="0"/>
                <wp:lineTo x="0" y="21341"/>
                <wp:lineTo x="21341" y="21341"/>
                <wp:lineTo x="21341" y="0"/>
                <wp:lineTo x="0" y="0"/>
              </wp:wrapPolygon>
            </wp:wrapThrough>
            <wp:docPr id="94" name="Picture 94" descr="Macintosh HD:Users:angelawhite:Desktop:C sf-suga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gelawhite:Desktop:C sf-sugars.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83168" behindDoc="0" locked="0" layoutInCell="1" allowOverlap="1" wp14:anchorId="0EAE24FF" wp14:editId="083518FD">
            <wp:simplePos x="0" y="0"/>
            <wp:positionH relativeFrom="column">
              <wp:posOffset>257810</wp:posOffset>
            </wp:positionH>
            <wp:positionV relativeFrom="paragraph">
              <wp:posOffset>5744210</wp:posOffset>
            </wp:positionV>
            <wp:extent cx="1799590" cy="1799590"/>
            <wp:effectExtent l="0" t="0" r="3810" b="3810"/>
            <wp:wrapThrough wrapText="bothSides">
              <wp:wrapPolygon edited="0">
                <wp:start x="0" y="0"/>
                <wp:lineTo x="0" y="21341"/>
                <wp:lineTo x="21341" y="21341"/>
                <wp:lineTo x="21341" y="0"/>
                <wp:lineTo x="0" y="0"/>
              </wp:wrapPolygon>
            </wp:wrapThrough>
            <wp:docPr id="96" name="Picture 96" descr="Macintosh HD:Users:angelawhite:Desktop:C protein-suga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gelawhite:Desktop:C protein-sugars.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noProof/>
          <w:lang w:val="en-US"/>
        </w:rPr>
        <w:drawing>
          <wp:anchor distT="0" distB="0" distL="114300" distR="114300" simplePos="0" relativeHeight="251792384" behindDoc="0" locked="0" layoutInCell="1" allowOverlap="1" wp14:anchorId="621DFC0E" wp14:editId="1ADF6BBE">
            <wp:simplePos x="0" y="0"/>
            <wp:positionH relativeFrom="column">
              <wp:posOffset>226695</wp:posOffset>
            </wp:positionH>
            <wp:positionV relativeFrom="paragraph">
              <wp:posOffset>240030</wp:posOffset>
            </wp:positionV>
            <wp:extent cx="1799590" cy="1799590"/>
            <wp:effectExtent l="0" t="0" r="3810" b="3810"/>
            <wp:wrapThrough wrapText="bothSides">
              <wp:wrapPolygon edited="0">
                <wp:start x="0" y="0"/>
                <wp:lineTo x="0" y="21341"/>
                <wp:lineTo x="21341" y="21341"/>
                <wp:lineTo x="21341" y="0"/>
                <wp:lineTo x="0" y="0"/>
              </wp:wrapPolygon>
            </wp:wrapThrough>
            <wp:docPr id="44" name="Picture 44" descr="Macintosh HD:Users:angie:Desktop:New 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gie:Desktop:New 2A.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noProof/>
          <w:lang w:val="en-US"/>
        </w:rPr>
        <w:drawing>
          <wp:anchor distT="0" distB="0" distL="114300" distR="114300" simplePos="0" relativeHeight="251793408" behindDoc="0" locked="0" layoutInCell="1" allowOverlap="1" wp14:anchorId="5BB8F262" wp14:editId="78CE3BF7">
            <wp:simplePos x="0" y="0"/>
            <wp:positionH relativeFrom="column">
              <wp:posOffset>3086100</wp:posOffset>
            </wp:positionH>
            <wp:positionV relativeFrom="paragraph">
              <wp:posOffset>240030</wp:posOffset>
            </wp:positionV>
            <wp:extent cx="1799590" cy="1799590"/>
            <wp:effectExtent l="0" t="0" r="3810" b="3810"/>
            <wp:wrapThrough wrapText="bothSides">
              <wp:wrapPolygon edited="0">
                <wp:start x="0" y="0"/>
                <wp:lineTo x="0" y="21341"/>
                <wp:lineTo x="21341" y="21341"/>
                <wp:lineTo x="21341" y="0"/>
                <wp:lineTo x="0" y="0"/>
              </wp:wrapPolygon>
            </wp:wrapThrough>
            <wp:docPr id="45" name="Picture 45" descr="Macintosh HD:Users:angie:Desktop: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gie:Desktop:2B.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0"/>
          <w:szCs w:val="20"/>
        </w:rPr>
        <w:t xml:space="preserve">               </w:t>
      </w:r>
      <w:r w:rsidR="00DF4522">
        <w:rPr>
          <w:b/>
          <w:sz w:val="20"/>
          <w:szCs w:val="20"/>
        </w:rPr>
        <w:t>CO</w:t>
      </w:r>
      <w:r w:rsidR="00DF4522" w:rsidRPr="0068710A">
        <w:rPr>
          <w:b/>
          <w:sz w:val="20"/>
          <w:szCs w:val="20"/>
          <w:vertAlign w:val="subscript"/>
        </w:rPr>
        <w:t>2</w:t>
      </w:r>
      <w:r w:rsidR="00DF4522">
        <w:rPr>
          <w:b/>
          <w:sz w:val="20"/>
          <w:szCs w:val="20"/>
        </w:rPr>
        <w:t xml:space="preserve"> gradient</w:t>
      </w:r>
      <w:r w:rsidR="00DF4522">
        <w:rPr>
          <w:b/>
          <w:sz w:val="20"/>
          <w:szCs w:val="20"/>
        </w:rPr>
        <w:tab/>
      </w:r>
      <w:r w:rsidR="00DF4522">
        <w:rPr>
          <w:b/>
          <w:sz w:val="20"/>
          <w:szCs w:val="20"/>
        </w:rPr>
        <w:tab/>
      </w:r>
      <w:r w:rsidR="00DF4522">
        <w:rPr>
          <w:b/>
          <w:sz w:val="20"/>
          <w:szCs w:val="20"/>
        </w:rPr>
        <w:tab/>
        <w:t xml:space="preserve">                                  Nitrogen gradient</w:t>
      </w:r>
    </w:p>
    <w:p w14:paraId="36AFBFAA" w14:textId="11DEB262" w:rsidR="00DF4522" w:rsidRDefault="00DF4522" w:rsidP="00DF4522">
      <w:pPr>
        <w:spacing w:line="360" w:lineRule="auto"/>
        <w:jc w:val="both"/>
        <w:rPr>
          <w:rFonts w:ascii="Cambria" w:hAnsi="Cambria"/>
        </w:rPr>
      </w:pPr>
    </w:p>
    <w:p w14:paraId="0F58A3F1" w14:textId="7E34B59A" w:rsidR="00DF4522" w:rsidRDefault="00DF4522" w:rsidP="00DF4522">
      <w:pPr>
        <w:spacing w:line="360" w:lineRule="auto"/>
        <w:jc w:val="both"/>
        <w:rPr>
          <w:rFonts w:ascii="Cambria" w:hAnsi="Cambria"/>
        </w:rPr>
      </w:pPr>
    </w:p>
    <w:p w14:paraId="56961D74" w14:textId="77777777" w:rsidR="00DF4522" w:rsidRDefault="00DF4522" w:rsidP="00DF4522">
      <w:pPr>
        <w:spacing w:line="360" w:lineRule="auto"/>
        <w:jc w:val="both"/>
        <w:rPr>
          <w:rFonts w:ascii="Cambria" w:hAnsi="Cambria"/>
        </w:rPr>
      </w:pPr>
    </w:p>
    <w:p w14:paraId="57F4E13A" w14:textId="77777777" w:rsidR="00DF4522" w:rsidRDefault="00DF4522" w:rsidP="00DF4522">
      <w:pPr>
        <w:spacing w:line="360" w:lineRule="auto"/>
        <w:jc w:val="both"/>
        <w:rPr>
          <w:rFonts w:ascii="Cambria" w:hAnsi="Cambria"/>
        </w:rPr>
      </w:pPr>
    </w:p>
    <w:p w14:paraId="68715219" w14:textId="77777777" w:rsidR="00DF4522" w:rsidRDefault="00DF4522" w:rsidP="00DF4522">
      <w:pPr>
        <w:spacing w:line="360" w:lineRule="auto"/>
        <w:jc w:val="both"/>
        <w:rPr>
          <w:rFonts w:ascii="Cambria" w:hAnsi="Cambria"/>
        </w:rPr>
      </w:pPr>
    </w:p>
    <w:p w14:paraId="5E6775BA" w14:textId="77777777" w:rsidR="00DF4522" w:rsidRDefault="00DF4522" w:rsidP="00DF4522">
      <w:pPr>
        <w:spacing w:line="360" w:lineRule="auto"/>
        <w:jc w:val="both"/>
        <w:rPr>
          <w:rFonts w:ascii="Cambria" w:hAnsi="Cambria"/>
        </w:rPr>
      </w:pPr>
    </w:p>
    <w:p w14:paraId="421C48F2" w14:textId="77777777" w:rsidR="00DF4522" w:rsidRPr="00531789" w:rsidRDefault="00DF4522" w:rsidP="00DF4522">
      <w:pPr>
        <w:spacing w:line="360" w:lineRule="auto"/>
        <w:jc w:val="both"/>
        <w:rPr>
          <w:rFonts w:ascii="Cambria" w:hAnsi="Cambria"/>
        </w:rPr>
      </w:pPr>
    </w:p>
    <w:p w14:paraId="522746BA" w14:textId="77777777" w:rsidR="00DF4522" w:rsidRDefault="00DF4522" w:rsidP="00DF4522">
      <w:pPr>
        <w:spacing w:line="360" w:lineRule="auto"/>
        <w:jc w:val="both"/>
        <w:rPr>
          <w:rFonts w:ascii="Cambria" w:hAnsi="Cambria"/>
        </w:rPr>
      </w:pPr>
    </w:p>
    <w:p w14:paraId="47D12D1B" w14:textId="77777777" w:rsidR="00DF4522" w:rsidRDefault="00DF4522" w:rsidP="00DF4522">
      <w:pPr>
        <w:spacing w:line="360" w:lineRule="auto"/>
        <w:jc w:val="both"/>
        <w:rPr>
          <w:rFonts w:ascii="Cambria" w:hAnsi="Cambria"/>
        </w:rPr>
      </w:pPr>
    </w:p>
    <w:p w14:paraId="3EBC2EFD" w14:textId="77777777" w:rsidR="00DF4522" w:rsidRDefault="00DF4522" w:rsidP="00DF4522">
      <w:pPr>
        <w:spacing w:line="360" w:lineRule="auto"/>
        <w:jc w:val="both"/>
        <w:rPr>
          <w:rFonts w:ascii="Cambria" w:hAnsi="Cambria"/>
        </w:rPr>
      </w:pPr>
    </w:p>
    <w:p w14:paraId="54637301" w14:textId="77777777" w:rsidR="00DF4522" w:rsidRDefault="00DF4522" w:rsidP="00DF4522">
      <w:pPr>
        <w:spacing w:line="360" w:lineRule="auto"/>
        <w:jc w:val="both"/>
        <w:rPr>
          <w:rFonts w:ascii="Cambria" w:hAnsi="Cambria"/>
        </w:rPr>
      </w:pPr>
    </w:p>
    <w:p w14:paraId="063FD811" w14:textId="77777777" w:rsidR="00DF4522" w:rsidRDefault="00DF4522" w:rsidP="00DF4522">
      <w:pPr>
        <w:spacing w:line="360" w:lineRule="auto"/>
        <w:jc w:val="both"/>
        <w:rPr>
          <w:rFonts w:ascii="Cambria" w:hAnsi="Cambria"/>
        </w:rPr>
      </w:pPr>
    </w:p>
    <w:p w14:paraId="5A50AA76" w14:textId="77777777" w:rsidR="00DF4522" w:rsidRDefault="00DF4522" w:rsidP="00DF4522">
      <w:pPr>
        <w:spacing w:line="360" w:lineRule="auto"/>
        <w:jc w:val="both"/>
        <w:rPr>
          <w:rFonts w:ascii="Cambria" w:hAnsi="Cambria"/>
        </w:rPr>
      </w:pPr>
    </w:p>
    <w:p w14:paraId="63A86A19" w14:textId="77777777" w:rsidR="00DF4522" w:rsidRDefault="00DF4522" w:rsidP="00DF4522">
      <w:pPr>
        <w:spacing w:line="360" w:lineRule="auto"/>
        <w:jc w:val="both"/>
        <w:rPr>
          <w:rFonts w:ascii="Cambria" w:hAnsi="Cambria"/>
        </w:rPr>
      </w:pPr>
    </w:p>
    <w:p w14:paraId="4EFB3D3D" w14:textId="77777777" w:rsidR="00DF4522" w:rsidRDefault="00DF4522" w:rsidP="00DF4522">
      <w:pPr>
        <w:spacing w:line="360" w:lineRule="auto"/>
        <w:jc w:val="both"/>
        <w:rPr>
          <w:rFonts w:ascii="Cambria" w:hAnsi="Cambria"/>
        </w:rPr>
      </w:pPr>
    </w:p>
    <w:p w14:paraId="1769262E" w14:textId="77777777" w:rsidR="00DF4522" w:rsidRDefault="00DF4522" w:rsidP="00DF4522">
      <w:pPr>
        <w:spacing w:line="360" w:lineRule="auto"/>
        <w:jc w:val="both"/>
        <w:rPr>
          <w:rFonts w:ascii="Cambria" w:hAnsi="Cambria"/>
        </w:rPr>
      </w:pPr>
    </w:p>
    <w:p w14:paraId="37EA5E18" w14:textId="77777777" w:rsidR="00DF4522" w:rsidRDefault="00DF4522" w:rsidP="00DF4522">
      <w:pPr>
        <w:spacing w:line="360" w:lineRule="auto"/>
        <w:jc w:val="both"/>
        <w:rPr>
          <w:rFonts w:ascii="Cambria" w:hAnsi="Cambria"/>
        </w:rPr>
      </w:pPr>
    </w:p>
    <w:p w14:paraId="35289F14" w14:textId="77777777" w:rsidR="00DF4522" w:rsidRDefault="00DF4522" w:rsidP="00DF4522">
      <w:pPr>
        <w:spacing w:line="360" w:lineRule="auto"/>
        <w:jc w:val="both"/>
        <w:rPr>
          <w:rFonts w:ascii="Cambria" w:hAnsi="Cambria"/>
        </w:rPr>
      </w:pPr>
    </w:p>
    <w:p w14:paraId="726B8C5E" w14:textId="77777777" w:rsidR="00DF4522" w:rsidRDefault="00DF4522" w:rsidP="00DF4522">
      <w:pPr>
        <w:spacing w:line="360" w:lineRule="auto"/>
        <w:jc w:val="both"/>
        <w:rPr>
          <w:rFonts w:ascii="Cambria" w:hAnsi="Cambria"/>
        </w:rPr>
      </w:pPr>
    </w:p>
    <w:p w14:paraId="22F4E4A4" w14:textId="77777777" w:rsidR="00DF4522" w:rsidRDefault="00DF4522" w:rsidP="00DF4522">
      <w:pPr>
        <w:spacing w:line="360" w:lineRule="auto"/>
        <w:jc w:val="both"/>
        <w:rPr>
          <w:rFonts w:ascii="Cambria" w:hAnsi="Cambria"/>
        </w:rPr>
      </w:pPr>
    </w:p>
    <w:p w14:paraId="27F43009" w14:textId="77777777" w:rsidR="00DF4522" w:rsidRDefault="00DF4522" w:rsidP="00DF4522">
      <w:pPr>
        <w:spacing w:line="360" w:lineRule="auto"/>
        <w:jc w:val="both"/>
        <w:rPr>
          <w:rFonts w:ascii="Cambria" w:hAnsi="Cambria"/>
        </w:rPr>
      </w:pPr>
    </w:p>
    <w:p w14:paraId="5DE3958C" w14:textId="77777777" w:rsidR="00DF4522" w:rsidRDefault="00DF4522" w:rsidP="00DF4522">
      <w:pPr>
        <w:spacing w:line="360" w:lineRule="auto"/>
        <w:jc w:val="both"/>
        <w:rPr>
          <w:rFonts w:ascii="Cambria" w:hAnsi="Cambria"/>
        </w:rPr>
      </w:pPr>
    </w:p>
    <w:p w14:paraId="19BC93C1" w14:textId="77777777" w:rsidR="00787644" w:rsidRDefault="00787644" w:rsidP="00DF4522">
      <w:pPr>
        <w:jc w:val="both"/>
        <w:rPr>
          <w:b/>
          <w:sz w:val="20"/>
          <w:szCs w:val="20"/>
        </w:rPr>
      </w:pPr>
    </w:p>
    <w:p w14:paraId="727D0C6E" w14:textId="77777777" w:rsidR="00787644" w:rsidRDefault="00787644" w:rsidP="00DF4522">
      <w:pPr>
        <w:jc w:val="both"/>
        <w:rPr>
          <w:b/>
          <w:sz w:val="20"/>
          <w:szCs w:val="20"/>
        </w:rPr>
      </w:pPr>
    </w:p>
    <w:p w14:paraId="4252D671" w14:textId="77777777" w:rsidR="00787644" w:rsidRDefault="00787644" w:rsidP="00DF4522">
      <w:pPr>
        <w:jc w:val="both"/>
        <w:rPr>
          <w:b/>
          <w:sz w:val="20"/>
          <w:szCs w:val="20"/>
        </w:rPr>
      </w:pPr>
    </w:p>
    <w:p w14:paraId="7EF977E7" w14:textId="77777777" w:rsidR="00787644" w:rsidRDefault="00787644" w:rsidP="00DF4522">
      <w:pPr>
        <w:jc w:val="both"/>
        <w:rPr>
          <w:b/>
          <w:sz w:val="20"/>
          <w:szCs w:val="20"/>
        </w:rPr>
      </w:pPr>
    </w:p>
    <w:p w14:paraId="4379C45E" w14:textId="77777777" w:rsidR="00787644" w:rsidRDefault="00787644" w:rsidP="00DF4522">
      <w:pPr>
        <w:jc w:val="both"/>
        <w:rPr>
          <w:b/>
          <w:sz w:val="20"/>
          <w:szCs w:val="20"/>
        </w:rPr>
      </w:pPr>
    </w:p>
    <w:p w14:paraId="316F0FE8" w14:textId="77777777" w:rsidR="00787644" w:rsidRDefault="00787644" w:rsidP="00DF4522">
      <w:pPr>
        <w:jc w:val="both"/>
        <w:rPr>
          <w:b/>
          <w:sz w:val="20"/>
          <w:szCs w:val="20"/>
        </w:rPr>
      </w:pPr>
    </w:p>
    <w:p w14:paraId="0CC2153F" w14:textId="77777777" w:rsidR="00787644" w:rsidRDefault="00787644" w:rsidP="00DF4522">
      <w:pPr>
        <w:jc w:val="both"/>
        <w:rPr>
          <w:b/>
          <w:sz w:val="20"/>
          <w:szCs w:val="20"/>
        </w:rPr>
      </w:pPr>
    </w:p>
    <w:p w14:paraId="3F9476C5" w14:textId="2EC155B2" w:rsidR="00DF4522" w:rsidRPr="00B55363" w:rsidRDefault="00DF4522" w:rsidP="00DF4522">
      <w:pPr>
        <w:jc w:val="both"/>
        <w:rPr>
          <w:sz w:val="20"/>
          <w:szCs w:val="20"/>
        </w:rPr>
      </w:pPr>
      <w:r w:rsidRPr="00B55363">
        <w:rPr>
          <w:b/>
          <w:sz w:val="20"/>
          <w:szCs w:val="20"/>
        </w:rPr>
        <w:t>Figure 2.</w:t>
      </w:r>
      <w:r w:rsidRPr="00B55363">
        <w:rPr>
          <w:sz w:val="20"/>
          <w:szCs w:val="20"/>
        </w:rPr>
        <w:t xml:space="preserve">  Response </w:t>
      </w:r>
      <w:r>
        <w:rPr>
          <w:sz w:val="20"/>
          <w:szCs w:val="20"/>
        </w:rPr>
        <w:t>of RGR</w:t>
      </w:r>
      <w:r w:rsidRPr="00B55363">
        <w:rPr>
          <w:sz w:val="20"/>
          <w:szCs w:val="20"/>
        </w:rPr>
        <w:t xml:space="preserve">, resource uptake and resource storage to transport </w:t>
      </w:r>
      <w:r>
        <w:rPr>
          <w:sz w:val="20"/>
          <w:szCs w:val="20"/>
        </w:rPr>
        <w:t>sugars</w:t>
      </w:r>
      <w:r w:rsidRPr="00B55363">
        <w:rPr>
          <w:sz w:val="20"/>
          <w:szCs w:val="20"/>
        </w:rPr>
        <w:t xml:space="preserve"> in annual (filled circles) and perennial (hollow circles) barley measured pre-dawn 6-7 weeks after germination.  Linear regression is shown using solid lines for annual barley and evenly dashed lines for perennial barley</w:t>
      </w:r>
      <w:r>
        <w:rPr>
          <w:sz w:val="20"/>
          <w:szCs w:val="20"/>
        </w:rPr>
        <w:t xml:space="preserve">; a </w:t>
      </w:r>
      <w:proofErr w:type="spellStart"/>
      <w:r>
        <w:rPr>
          <w:sz w:val="20"/>
          <w:szCs w:val="20"/>
        </w:rPr>
        <w:t>dotdash</w:t>
      </w:r>
      <w:proofErr w:type="spellEnd"/>
      <w:r>
        <w:rPr>
          <w:sz w:val="20"/>
          <w:szCs w:val="20"/>
        </w:rPr>
        <w:t xml:space="preserve"> line is used w</w:t>
      </w:r>
      <w:r w:rsidRPr="00B55363">
        <w:rPr>
          <w:sz w:val="20"/>
          <w:szCs w:val="20"/>
        </w:rPr>
        <w:t>here there is no species difference in slope or intercept</w:t>
      </w:r>
      <w:r>
        <w:rPr>
          <w:sz w:val="20"/>
          <w:szCs w:val="20"/>
        </w:rPr>
        <w:t>.  A &amp; B, RGR across CO</w:t>
      </w:r>
      <w:r w:rsidRPr="003F2C63">
        <w:rPr>
          <w:sz w:val="20"/>
          <w:szCs w:val="20"/>
          <w:vertAlign w:val="subscript"/>
        </w:rPr>
        <w:t>2</w:t>
      </w:r>
      <w:r w:rsidRPr="00B55363">
        <w:rPr>
          <w:sz w:val="20"/>
          <w:szCs w:val="20"/>
        </w:rPr>
        <w:t xml:space="preserve"> and </w:t>
      </w:r>
      <w:r>
        <w:rPr>
          <w:sz w:val="20"/>
          <w:szCs w:val="20"/>
        </w:rPr>
        <w:t>N</w:t>
      </w:r>
      <w:r w:rsidRPr="00B55363">
        <w:rPr>
          <w:sz w:val="20"/>
          <w:szCs w:val="20"/>
        </w:rPr>
        <w:t xml:space="preserve"> gradient</w:t>
      </w:r>
      <w:r>
        <w:rPr>
          <w:sz w:val="20"/>
          <w:szCs w:val="20"/>
        </w:rPr>
        <w:t>s</w:t>
      </w:r>
      <w:r w:rsidRPr="00B55363">
        <w:rPr>
          <w:sz w:val="20"/>
          <w:szCs w:val="20"/>
        </w:rPr>
        <w:t xml:space="preserve"> respectively; C, carbon uptake </w:t>
      </w:r>
      <w:r>
        <w:rPr>
          <w:sz w:val="20"/>
          <w:szCs w:val="20"/>
        </w:rPr>
        <w:t>across</w:t>
      </w:r>
      <w:r w:rsidRPr="00B55363">
        <w:rPr>
          <w:sz w:val="20"/>
          <w:szCs w:val="20"/>
        </w:rPr>
        <w:t xml:space="preserve"> </w:t>
      </w:r>
      <w:r>
        <w:rPr>
          <w:sz w:val="20"/>
          <w:szCs w:val="20"/>
        </w:rPr>
        <w:t>CO</w:t>
      </w:r>
      <w:r w:rsidRPr="003F2C63">
        <w:rPr>
          <w:sz w:val="20"/>
          <w:szCs w:val="20"/>
          <w:vertAlign w:val="subscript"/>
        </w:rPr>
        <w:t>2</w:t>
      </w:r>
      <w:r w:rsidRPr="00B55363">
        <w:rPr>
          <w:sz w:val="20"/>
          <w:szCs w:val="20"/>
        </w:rPr>
        <w:t xml:space="preserve"> gradient; D, </w:t>
      </w:r>
      <w:r>
        <w:rPr>
          <w:sz w:val="20"/>
          <w:szCs w:val="20"/>
        </w:rPr>
        <w:t>N uptake across</w:t>
      </w:r>
      <w:r w:rsidRPr="00B55363">
        <w:rPr>
          <w:sz w:val="20"/>
          <w:szCs w:val="20"/>
        </w:rPr>
        <w:t xml:space="preserve"> </w:t>
      </w:r>
      <w:r>
        <w:rPr>
          <w:sz w:val="20"/>
          <w:szCs w:val="20"/>
        </w:rPr>
        <w:t>N</w:t>
      </w:r>
      <w:r w:rsidRPr="00B55363">
        <w:rPr>
          <w:sz w:val="20"/>
          <w:szCs w:val="20"/>
        </w:rPr>
        <w:t xml:space="preserve"> gradient; E </w:t>
      </w:r>
      <w:r>
        <w:rPr>
          <w:sz w:val="20"/>
          <w:szCs w:val="20"/>
        </w:rPr>
        <w:t>&amp;</w:t>
      </w:r>
      <w:r w:rsidRPr="00B55363">
        <w:rPr>
          <w:sz w:val="20"/>
          <w:szCs w:val="20"/>
        </w:rPr>
        <w:t xml:space="preserve"> F, mean plant storage carbohydrate (starch and long-chain </w:t>
      </w:r>
      <w:proofErr w:type="spellStart"/>
      <w:r w:rsidRPr="00B55363">
        <w:rPr>
          <w:sz w:val="20"/>
          <w:szCs w:val="20"/>
        </w:rPr>
        <w:t>fructan</w:t>
      </w:r>
      <w:proofErr w:type="spellEnd"/>
      <w:r w:rsidRPr="00B55363">
        <w:rPr>
          <w:sz w:val="20"/>
          <w:szCs w:val="20"/>
        </w:rPr>
        <w:t xml:space="preserve">) concentration </w:t>
      </w:r>
      <w:r>
        <w:rPr>
          <w:sz w:val="20"/>
          <w:szCs w:val="20"/>
        </w:rPr>
        <w:t>across CO</w:t>
      </w:r>
      <w:r w:rsidRPr="003F2C63">
        <w:rPr>
          <w:sz w:val="20"/>
          <w:szCs w:val="20"/>
          <w:vertAlign w:val="subscript"/>
        </w:rPr>
        <w:t>2</w:t>
      </w:r>
      <w:r w:rsidRPr="00B55363">
        <w:rPr>
          <w:sz w:val="20"/>
          <w:szCs w:val="20"/>
        </w:rPr>
        <w:t xml:space="preserve"> and </w:t>
      </w:r>
      <w:r>
        <w:rPr>
          <w:sz w:val="20"/>
          <w:szCs w:val="20"/>
        </w:rPr>
        <w:t>N</w:t>
      </w:r>
      <w:r w:rsidRPr="00B55363">
        <w:rPr>
          <w:sz w:val="20"/>
          <w:szCs w:val="20"/>
        </w:rPr>
        <w:t xml:space="preserve"> gradient</w:t>
      </w:r>
      <w:r>
        <w:rPr>
          <w:sz w:val="20"/>
          <w:szCs w:val="20"/>
        </w:rPr>
        <w:t>s</w:t>
      </w:r>
      <w:r w:rsidRPr="00B55363">
        <w:rPr>
          <w:sz w:val="20"/>
          <w:szCs w:val="20"/>
        </w:rPr>
        <w:t xml:space="preserve"> respectively; G </w:t>
      </w:r>
      <w:r>
        <w:rPr>
          <w:sz w:val="20"/>
          <w:szCs w:val="20"/>
        </w:rPr>
        <w:t>&amp;</w:t>
      </w:r>
      <w:r w:rsidRPr="00B55363">
        <w:rPr>
          <w:sz w:val="20"/>
          <w:szCs w:val="20"/>
        </w:rPr>
        <w:t xml:space="preserve"> H, mean plant protein </w:t>
      </w:r>
      <w:r>
        <w:rPr>
          <w:sz w:val="20"/>
          <w:szCs w:val="20"/>
        </w:rPr>
        <w:t>concentration across CO</w:t>
      </w:r>
      <w:r w:rsidRPr="003F2C63">
        <w:rPr>
          <w:sz w:val="20"/>
          <w:szCs w:val="20"/>
          <w:vertAlign w:val="subscript"/>
        </w:rPr>
        <w:t>2</w:t>
      </w:r>
      <w:r w:rsidRPr="00B55363">
        <w:rPr>
          <w:sz w:val="20"/>
          <w:szCs w:val="20"/>
        </w:rPr>
        <w:t xml:space="preserve"> and </w:t>
      </w:r>
      <w:r>
        <w:rPr>
          <w:sz w:val="20"/>
          <w:szCs w:val="20"/>
        </w:rPr>
        <w:t>N</w:t>
      </w:r>
      <w:r w:rsidRPr="00B55363">
        <w:rPr>
          <w:sz w:val="20"/>
          <w:szCs w:val="20"/>
        </w:rPr>
        <w:t xml:space="preserve"> gradient</w:t>
      </w:r>
      <w:r>
        <w:rPr>
          <w:sz w:val="20"/>
          <w:szCs w:val="20"/>
        </w:rPr>
        <w:t>s</w:t>
      </w:r>
      <w:r w:rsidRPr="00B55363">
        <w:rPr>
          <w:sz w:val="20"/>
          <w:szCs w:val="20"/>
        </w:rPr>
        <w:t xml:space="preserve"> respectively. </w:t>
      </w:r>
      <w:r w:rsidR="00787644">
        <w:rPr>
          <w:sz w:val="20"/>
          <w:szCs w:val="20"/>
        </w:rPr>
        <w:t xml:space="preserve"> Data show individual plants</w:t>
      </w:r>
      <w:r w:rsidRPr="00B55363">
        <w:rPr>
          <w:sz w:val="20"/>
          <w:szCs w:val="20"/>
        </w:rPr>
        <w:t>.</w:t>
      </w:r>
    </w:p>
    <w:p w14:paraId="752BB609" w14:textId="1FE8B511" w:rsidR="00DF4522" w:rsidRDefault="00DF4522" w:rsidP="00DF4522">
      <w:pPr>
        <w:spacing w:line="360" w:lineRule="auto"/>
        <w:jc w:val="both"/>
        <w:rPr>
          <w:rFonts w:ascii="Cambria" w:hAnsi="Cambria"/>
        </w:rPr>
      </w:pPr>
      <w:r w:rsidRPr="00531789">
        <w:rPr>
          <w:rFonts w:ascii="Cambria" w:hAnsi="Cambria"/>
        </w:rPr>
        <w:t>Increasing the carbon sink by increasing the nitrogen source reveals a strong response of growth and nitrogen storage in both species to transport sugars, whereby additional nitrogen can be pai</w:t>
      </w:r>
      <w:r>
        <w:rPr>
          <w:rFonts w:ascii="Cambria" w:hAnsi="Cambria"/>
        </w:rPr>
        <w:t>red with sugars to allow protein synthesis</w:t>
      </w:r>
      <w:r w:rsidRPr="00531789">
        <w:rPr>
          <w:rFonts w:ascii="Cambria" w:hAnsi="Cambria"/>
        </w:rPr>
        <w:t xml:space="preserve">, especially in the perennial which has a growth strategy reliant on resource conservation.  </w:t>
      </w:r>
      <w:r>
        <w:rPr>
          <w:rFonts w:ascii="Cambria" w:hAnsi="Cambria"/>
        </w:rPr>
        <w:t>These elasticities highlight the interdependent nature of carbon and nitrogen sources and sinks, which enables plants to balance the processes of resource uptake, storage and growth in accordance with the availability of both carbon and nitrogen resources.</w:t>
      </w:r>
    </w:p>
    <w:p w14:paraId="29597240" w14:textId="77777777" w:rsidR="00740304" w:rsidRDefault="00740304" w:rsidP="00DF4522">
      <w:pPr>
        <w:spacing w:line="360" w:lineRule="auto"/>
        <w:jc w:val="both"/>
        <w:rPr>
          <w:rFonts w:ascii="Cambria" w:hAnsi="Cambria"/>
        </w:rPr>
      </w:pPr>
    </w:p>
    <w:p w14:paraId="138E6F26" w14:textId="77777777" w:rsidR="00B217DF" w:rsidRDefault="00B217DF" w:rsidP="00DF4522">
      <w:pPr>
        <w:spacing w:line="360" w:lineRule="auto"/>
        <w:jc w:val="both"/>
        <w:rPr>
          <w:rFonts w:ascii="Cambria" w:hAnsi="Cambria"/>
          <w:b/>
        </w:rPr>
      </w:pPr>
    </w:p>
    <w:p w14:paraId="6780C715" w14:textId="57C1FC8D" w:rsidR="00740304" w:rsidRPr="00740304" w:rsidRDefault="0025356D" w:rsidP="00DF4522">
      <w:pPr>
        <w:spacing w:line="360" w:lineRule="auto"/>
        <w:jc w:val="both"/>
        <w:rPr>
          <w:rFonts w:ascii="Cambria" w:hAnsi="Cambria"/>
          <w:b/>
        </w:rPr>
      </w:pPr>
      <w:r>
        <w:rPr>
          <w:rFonts w:ascii="Cambria" w:hAnsi="Cambria"/>
          <w:b/>
        </w:rPr>
        <w:t>Conclusions and future d</w:t>
      </w:r>
      <w:r w:rsidR="00740304">
        <w:rPr>
          <w:rFonts w:ascii="Cambria" w:hAnsi="Cambria"/>
          <w:b/>
        </w:rPr>
        <w:t>irections</w:t>
      </w:r>
    </w:p>
    <w:p w14:paraId="28F35D19" w14:textId="77777777" w:rsidR="00DF4522" w:rsidRDefault="00DF4522" w:rsidP="00DF4522">
      <w:pPr>
        <w:spacing w:line="360" w:lineRule="auto"/>
        <w:jc w:val="both"/>
        <w:rPr>
          <w:rFonts w:ascii="Cambria" w:hAnsi="Cambria"/>
        </w:rPr>
      </w:pPr>
    </w:p>
    <w:p w14:paraId="3F1E3A9F" w14:textId="6207B74D" w:rsidR="00B217DF" w:rsidRDefault="00740304" w:rsidP="00740304">
      <w:pPr>
        <w:spacing w:line="360" w:lineRule="auto"/>
        <w:jc w:val="both"/>
        <w:rPr>
          <w:rFonts w:ascii="Cambria" w:hAnsi="Cambria"/>
        </w:rPr>
      </w:pPr>
      <w:r w:rsidRPr="00531789">
        <w:rPr>
          <w:rFonts w:ascii="Cambria" w:hAnsi="Cambria"/>
        </w:rPr>
        <w:t>Overall, this thesis found that</w:t>
      </w:r>
      <w:r>
        <w:rPr>
          <w:rFonts w:ascii="Cambria" w:hAnsi="Cambria"/>
        </w:rPr>
        <w:t xml:space="preserve"> growth in</w:t>
      </w:r>
      <w:r w:rsidRPr="00531789">
        <w:rPr>
          <w:rFonts w:ascii="Cambria" w:hAnsi="Cambria"/>
        </w:rPr>
        <w:t xml:space="preserve"> annual barley is</w:t>
      </w:r>
      <w:r>
        <w:rPr>
          <w:rFonts w:ascii="Cambria" w:hAnsi="Cambria"/>
        </w:rPr>
        <w:t xml:space="preserve"> limited by the development of both carbon and nitrogen sinks </w:t>
      </w:r>
      <w:r w:rsidRPr="00531789">
        <w:rPr>
          <w:rFonts w:ascii="Cambria" w:hAnsi="Cambria"/>
        </w:rPr>
        <w:t>during vegetative growth</w:t>
      </w:r>
      <w:r w:rsidR="00B217DF">
        <w:rPr>
          <w:rFonts w:ascii="Cambria" w:hAnsi="Cambria"/>
        </w:rPr>
        <w:t xml:space="preserve"> (Figure 3)</w:t>
      </w:r>
      <w:r>
        <w:rPr>
          <w:rFonts w:ascii="Cambria" w:hAnsi="Cambria"/>
        </w:rPr>
        <w:t>.  These findings suggest</w:t>
      </w:r>
      <w:r w:rsidRPr="00531789">
        <w:rPr>
          <w:rFonts w:ascii="Cambria" w:hAnsi="Cambria"/>
        </w:rPr>
        <w:t xml:space="preserve"> significant issues for the improvement of </w:t>
      </w:r>
      <w:r>
        <w:rPr>
          <w:rFonts w:ascii="Cambria" w:hAnsi="Cambria"/>
        </w:rPr>
        <w:t xml:space="preserve">this </w:t>
      </w:r>
      <w:r w:rsidR="000865EF">
        <w:rPr>
          <w:rFonts w:ascii="Cambria" w:hAnsi="Cambria"/>
        </w:rPr>
        <w:t>fast growing crop</w:t>
      </w:r>
      <w:r>
        <w:rPr>
          <w:rFonts w:ascii="Cambria" w:hAnsi="Cambria"/>
        </w:rPr>
        <w:t xml:space="preserve">.  In contrast, the </w:t>
      </w:r>
      <w:r w:rsidRPr="00531789">
        <w:rPr>
          <w:rFonts w:ascii="Cambria" w:hAnsi="Cambria"/>
        </w:rPr>
        <w:t>perennial barley</w:t>
      </w:r>
      <w:r>
        <w:rPr>
          <w:rFonts w:ascii="Cambria" w:hAnsi="Cambria"/>
        </w:rPr>
        <w:t xml:space="preserve"> species</w:t>
      </w:r>
      <w:r w:rsidRPr="00531789">
        <w:rPr>
          <w:rFonts w:ascii="Cambria" w:hAnsi="Cambria"/>
        </w:rPr>
        <w:t xml:space="preserve"> is carbon source and nitrogen sink limited during vegetative growth</w:t>
      </w:r>
      <w:r>
        <w:rPr>
          <w:rFonts w:ascii="Cambria" w:hAnsi="Cambria"/>
        </w:rPr>
        <w:t>,</w:t>
      </w:r>
      <w:r w:rsidRPr="00531789">
        <w:rPr>
          <w:rFonts w:ascii="Cambria" w:hAnsi="Cambria"/>
        </w:rPr>
        <w:t xml:space="preserve"> which is consistent with a conservative growth strategy</w:t>
      </w:r>
      <w:r w:rsidR="00B217DF">
        <w:rPr>
          <w:rFonts w:ascii="Cambria" w:hAnsi="Cambria"/>
        </w:rPr>
        <w:t xml:space="preserve"> (Figure 3)</w:t>
      </w:r>
      <w:r w:rsidRPr="00531789">
        <w:rPr>
          <w:rFonts w:ascii="Cambria" w:hAnsi="Cambria"/>
        </w:rPr>
        <w:t xml:space="preserve">.  The different </w:t>
      </w:r>
      <w:r w:rsidR="000865EF">
        <w:rPr>
          <w:rFonts w:ascii="Cambria" w:hAnsi="Cambria"/>
        </w:rPr>
        <w:t>ecological</w:t>
      </w:r>
      <w:r w:rsidRPr="00531789">
        <w:rPr>
          <w:rFonts w:ascii="Cambria" w:hAnsi="Cambria"/>
        </w:rPr>
        <w:t xml:space="preserve"> strategies of the fast growing annual and the slow growing perennial studied here re</w:t>
      </w:r>
      <w:r>
        <w:rPr>
          <w:rFonts w:ascii="Cambria" w:hAnsi="Cambria"/>
        </w:rPr>
        <w:t>sult in different</w:t>
      </w:r>
      <w:r w:rsidRPr="00531789">
        <w:rPr>
          <w:rFonts w:ascii="Cambria" w:hAnsi="Cambria"/>
        </w:rPr>
        <w:t xml:space="preserve"> allocation patterns which contribute to the different limitations imposed on growth by sources and sinks in each species.  Compared to the perennial, the annual is </w:t>
      </w:r>
      <w:r w:rsidR="00C556D5">
        <w:rPr>
          <w:rFonts w:ascii="Cambria" w:hAnsi="Cambria"/>
        </w:rPr>
        <w:t xml:space="preserve">significantly </w:t>
      </w:r>
      <w:r w:rsidRPr="00531789">
        <w:rPr>
          <w:rFonts w:ascii="Cambria" w:hAnsi="Cambria"/>
        </w:rPr>
        <w:t xml:space="preserve">more carbon sink limited and </w:t>
      </w:r>
      <w:r w:rsidR="00C556D5">
        <w:rPr>
          <w:rFonts w:ascii="Cambria" w:hAnsi="Cambria"/>
        </w:rPr>
        <w:t xml:space="preserve">also </w:t>
      </w:r>
      <w:r w:rsidRPr="00531789">
        <w:rPr>
          <w:rFonts w:ascii="Cambria" w:hAnsi="Cambria"/>
        </w:rPr>
        <w:t xml:space="preserve">more nitrogen </w:t>
      </w:r>
      <w:r w:rsidR="00C556D5">
        <w:rPr>
          <w:rFonts w:ascii="Cambria" w:hAnsi="Cambria"/>
        </w:rPr>
        <w:t xml:space="preserve">sink </w:t>
      </w:r>
      <w:r w:rsidRPr="00531789">
        <w:rPr>
          <w:rFonts w:ascii="Cambria" w:hAnsi="Cambria"/>
        </w:rPr>
        <w:t>limited, suggesting limitation</w:t>
      </w:r>
      <w:r>
        <w:rPr>
          <w:rFonts w:ascii="Cambria" w:hAnsi="Cambria"/>
        </w:rPr>
        <w:t xml:space="preserve"> of growth by root development, since roots are the site of nitrogen uptake and allow significant carbon storage.  In contrast,</w:t>
      </w:r>
      <w:r w:rsidRPr="00531789">
        <w:rPr>
          <w:rFonts w:ascii="Cambria" w:hAnsi="Cambria"/>
        </w:rPr>
        <w:t xml:space="preserve"> the perennial is more carbon source limited </w:t>
      </w:r>
      <w:r w:rsidR="00C556D5">
        <w:rPr>
          <w:rFonts w:ascii="Cambria" w:hAnsi="Cambria"/>
        </w:rPr>
        <w:t>than the annual, as well as being nitrogen sink limited</w:t>
      </w:r>
      <w:r w:rsidRPr="00531789">
        <w:rPr>
          <w:rFonts w:ascii="Cambria" w:hAnsi="Cambria"/>
        </w:rPr>
        <w:t xml:space="preserve">, </w:t>
      </w:r>
      <w:r>
        <w:rPr>
          <w:rFonts w:ascii="Cambria" w:hAnsi="Cambria"/>
        </w:rPr>
        <w:t>suggesting limitation of growth by shoot development, because shoot tissues are the site of photosynthesis which enables carbon uptake and provide a major sink for nitrogen in the plant due to the high investment of nitrogen resources into photosynthetic enzymes.</w:t>
      </w:r>
      <w:r w:rsidRPr="00531789">
        <w:rPr>
          <w:rFonts w:ascii="Cambria" w:hAnsi="Cambria"/>
        </w:rPr>
        <w:t xml:space="preserve">  This is </w:t>
      </w:r>
      <w:r>
        <w:rPr>
          <w:rFonts w:ascii="Cambria" w:hAnsi="Cambria"/>
        </w:rPr>
        <w:t>supporte</w:t>
      </w:r>
      <w:r w:rsidRPr="00531789">
        <w:rPr>
          <w:rFonts w:ascii="Cambria" w:hAnsi="Cambria"/>
        </w:rPr>
        <w:t xml:space="preserve">d by the findings of </w:t>
      </w:r>
      <w:r>
        <w:rPr>
          <w:rFonts w:ascii="Cambria" w:hAnsi="Cambria"/>
        </w:rPr>
        <w:t xml:space="preserve">both </w:t>
      </w:r>
      <w:r w:rsidRPr="00531789">
        <w:rPr>
          <w:rFonts w:ascii="Cambria" w:hAnsi="Cambria"/>
        </w:rPr>
        <w:t xml:space="preserve">chapters 4 and 5, which show that the annual grows faster than the perennial (Chapters 4 and 5) and allocates more mass to leaves than the perennial (Chapter 5).  </w:t>
      </w:r>
    </w:p>
    <w:p w14:paraId="08C9679E" w14:textId="77777777" w:rsidR="00263BBA" w:rsidRDefault="00263BBA" w:rsidP="00263BBA">
      <w:pPr>
        <w:spacing w:line="360" w:lineRule="auto"/>
        <w:jc w:val="both"/>
        <w:rPr>
          <w:rFonts w:ascii="Cambria" w:hAnsi="Cambria"/>
        </w:rPr>
      </w:pPr>
      <w:r>
        <w:rPr>
          <w:rFonts w:ascii="Cambria" w:hAnsi="Cambria"/>
          <w:noProof/>
          <w:lang w:val="en-US"/>
        </w:rPr>
        <w:drawing>
          <wp:anchor distT="0" distB="0" distL="114300" distR="114300" simplePos="0" relativeHeight="251788288" behindDoc="0" locked="0" layoutInCell="1" allowOverlap="1" wp14:anchorId="4FAC0603" wp14:editId="7F982186">
            <wp:simplePos x="0" y="0"/>
            <wp:positionH relativeFrom="column">
              <wp:posOffset>-228600</wp:posOffset>
            </wp:positionH>
            <wp:positionV relativeFrom="paragraph">
              <wp:posOffset>228600</wp:posOffset>
            </wp:positionV>
            <wp:extent cx="5658485" cy="6971665"/>
            <wp:effectExtent l="0" t="0" r="5715" b="0"/>
            <wp:wrapThrough wrapText="bothSides">
              <wp:wrapPolygon edited="0">
                <wp:start x="0" y="0"/>
                <wp:lineTo x="0" y="21484"/>
                <wp:lineTo x="21525" y="21484"/>
                <wp:lineTo x="21525" y="0"/>
                <wp:lineTo x="0" y="0"/>
              </wp:wrapPolygon>
            </wp:wrapThrough>
            <wp:docPr id="88" name="Picture 88" descr="Macintosh HD:Users:angie:Desktop:Barley_Illustration_draf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gie:Desktop:Barley_Illustration_draft4.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58485" cy="6971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984D9D" w14:textId="77777777" w:rsidR="00263BBA" w:rsidRDefault="00263BBA" w:rsidP="00263BBA">
      <w:pPr>
        <w:spacing w:line="360" w:lineRule="auto"/>
        <w:jc w:val="both"/>
        <w:rPr>
          <w:rFonts w:ascii="Cambria" w:hAnsi="Cambria"/>
        </w:rPr>
      </w:pPr>
    </w:p>
    <w:p w14:paraId="20E65A7A" w14:textId="77777777" w:rsidR="00263BBA" w:rsidRDefault="00263BBA" w:rsidP="00263BBA">
      <w:pPr>
        <w:spacing w:line="360" w:lineRule="auto"/>
        <w:jc w:val="both"/>
        <w:rPr>
          <w:rFonts w:ascii="Cambria" w:hAnsi="Cambria"/>
        </w:rPr>
      </w:pPr>
    </w:p>
    <w:p w14:paraId="03B058EE" w14:textId="3198D7B7" w:rsidR="00B217DF" w:rsidRPr="00263BBA" w:rsidRDefault="00B217DF" w:rsidP="00263BBA">
      <w:pPr>
        <w:jc w:val="both"/>
        <w:rPr>
          <w:rFonts w:ascii="Cambria" w:hAnsi="Cambria"/>
        </w:rPr>
      </w:pPr>
      <w:r w:rsidRPr="00B55363">
        <w:rPr>
          <w:b/>
          <w:sz w:val="20"/>
          <w:szCs w:val="20"/>
        </w:rPr>
        <w:t xml:space="preserve">Figure </w:t>
      </w:r>
      <w:r>
        <w:rPr>
          <w:b/>
          <w:sz w:val="20"/>
          <w:szCs w:val="20"/>
        </w:rPr>
        <w:t>3</w:t>
      </w:r>
      <w:r w:rsidRPr="00B55363">
        <w:rPr>
          <w:b/>
          <w:sz w:val="20"/>
          <w:szCs w:val="20"/>
        </w:rPr>
        <w:t>.</w:t>
      </w:r>
      <w:r>
        <w:rPr>
          <w:sz w:val="20"/>
          <w:szCs w:val="20"/>
        </w:rPr>
        <w:t xml:space="preserve">  Conceptual diagram highlighting the major findings of this thesis: annual barley is predominantly carbon sink and nitrogen sink limited, whilst perennial barley is predominantly carbon source and nitrogen sink limited.</w:t>
      </w:r>
    </w:p>
    <w:p w14:paraId="6A7F6085" w14:textId="77777777" w:rsidR="00263BBA" w:rsidRDefault="00263BBA" w:rsidP="00263BBA">
      <w:pPr>
        <w:jc w:val="both"/>
        <w:rPr>
          <w:sz w:val="20"/>
          <w:szCs w:val="20"/>
        </w:rPr>
      </w:pPr>
    </w:p>
    <w:p w14:paraId="33A6B1E6" w14:textId="77777777" w:rsidR="00263BBA" w:rsidRDefault="00263BBA" w:rsidP="00B217DF">
      <w:pPr>
        <w:jc w:val="both"/>
        <w:rPr>
          <w:sz w:val="20"/>
          <w:szCs w:val="20"/>
        </w:rPr>
      </w:pPr>
    </w:p>
    <w:p w14:paraId="1D038765" w14:textId="77777777" w:rsidR="00263BBA" w:rsidRDefault="00263BBA" w:rsidP="00B217DF">
      <w:pPr>
        <w:jc w:val="both"/>
        <w:rPr>
          <w:sz w:val="20"/>
          <w:szCs w:val="20"/>
        </w:rPr>
      </w:pPr>
    </w:p>
    <w:p w14:paraId="2B6DE211" w14:textId="77777777" w:rsidR="00263BBA" w:rsidRDefault="00263BBA" w:rsidP="00B217DF">
      <w:pPr>
        <w:jc w:val="both"/>
        <w:rPr>
          <w:rFonts w:ascii="Cambria" w:hAnsi="Cambria"/>
        </w:rPr>
      </w:pPr>
    </w:p>
    <w:p w14:paraId="4D161D09" w14:textId="4AC7AD80" w:rsidR="00740304" w:rsidRPr="001D13EF" w:rsidRDefault="00740304" w:rsidP="00740304">
      <w:pPr>
        <w:spacing w:line="360" w:lineRule="auto"/>
        <w:jc w:val="both"/>
        <w:rPr>
          <w:rFonts w:ascii="Cambria" w:hAnsi="Cambria"/>
          <w:b/>
          <w:color w:val="FF0000"/>
        </w:rPr>
      </w:pPr>
      <w:r w:rsidRPr="00531789">
        <w:rPr>
          <w:rFonts w:ascii="Cambria" w:hAnsi="Cambria"/>
        </w:rPr>
        <w:t xml:space="preserve">The fast growing annual </w:t>
      </w:r>
      <w:r>
        <w:rPr>
          <w:rFonts w:ascii="Cambria" w:hAnsi="Cambria"/>
        </w:rPr>
        <w:t>exhibits</w:t>
      </w:r>
      <w:r w:rsidRPr="00531789">
        <w:rPr>
          <w:rFonts w:ascii="Cambria" w:hAnsi="Cambria"/>
        </w:rPr>
        <w:t xml:space="preserve"> greater accumulation of photosynthate</w:t>
      </w:r>
      <w:r>
        <w:rPr>
          <w:rFonts w:ascii="Cambria" w:hAnsi="Cambria"/>
        </w:rPr>
        <w:t xml:space="preserve"> which is used to power growth</w:t>
      </w:r>
      <w:r w:rsidRPr="00531789">
        <w:rPr>
          <w:rFonts w:ascii="Cambria" w:hAnsi="Cambria"/>
        </w:rPr>
        <w:t>, and has a higher rate of photosynthesis to facilitate this (Chapter 4</w:t>
      </w:r>
      <w:r w:rsidR="00C556D5">
        <w:rPr>
          <w:rFonts w:ascii="Cambria" w:hAnsi="Cambria"/>
        </w:rPr>
        <w:t>)</w:t>
      </w:r>
      <w:r>
        <w:rPr>
          <w:rFonts w:ascii="Cambria" w:hAnsi="Cambria"/>
        </w:rPr>
        <w:t>.  In contrast</w:t>
      </w:r>
      <w:r w:rsidRPr="00531789">
        <w:rPr>
          <w:rFonts w:ascii="Cambria" w:hAnsi="Cambria"/>
        </w:rPr>
        <w:t>, the perennial is more conservative with resources and has a higher concentration of nitrogen</w:t>
      </w:r>
      <w:r>
        <w:rPr>
          <w:rFonts w:ascii="Cambria" w:hAnsi="Cambria"/>
        </w:rPr>
        <w:t xml:space="preserve"> </w:t>
      </w:r>
      <w:r w:rsidRPr="00531789">
        <w:rPr>
          <w:rFonts w:ascii="Cambria" w:hAnsi="Cambria"/>
        </w:rPr>
        <w:t>(Chapter 5</w:t>
      </w:r>
      <w:r w:rsidR="00C05B54">
        <w:rPr>
          <w:rFonts w:ascii="Cambria" w:hAnsi="Cambria"/>
        </w:rPr>
        <w:t>)</w:t>
      </w:r>
      <w:r w:rsidRPr="00531789">
        <w:rPr>
          <w:rFonts w:ascii="Cambria" w:hAnsi="Cambria"/>
        </w:rPr>
        <w:t xml:space="preserve">.  </w:t>
      </w:r>
      <w:r>
        <w:rPr>
          <w:rFonts w:ascii="Cambria" w:hAnsi="Cambria"/>
        </w:rPr>
        <w:t>Growth in b</w:t>
      </w:r>
      <w:r w:rsidRPr="00531789">
        <w:rPr>
          <w:rFonts w:ascii="Cambria" w:hAnsi="Cambria"/>
        </w:rPr>
        <w:t xml:space="preserve">oth species </w:t>
      </w:r>
      <w:r>
        <w:rPr>
          <w:rFonts w:ascii="Cambria" w:hAnsi="Cambria"/>
        </w:rPr>
        <w:t>is</w:t>
      </w:r>
      <w:r w:rsidRPr="00531789">
        <w:rPr>
          <w:rFonts w:ascii="Cambria" w:hAnsi="Cambria"/>
        </w:rPr>
        <w:t xml:space="preserve"> predominantly nitrogen sink limited, suggesting that annual barley would not be able to invest more nitrogen into photosynthesis as it cannot store and use more nitrogen during vegetative growth (Chapter 5), although measurements of photosynthetic capacity in plants grown along a nitrogen gradient would be required to confirm this.  The conservative growth strategy exhibited by the perennial in terms of nitrogen conservation (Chapter 5) contrasts with the fast growing strategy of the annual and enables opportunistic responses to increases in carbon availability (Chapter 4).  This could be due to an inherently lower photosynthetic capacity in the perennial, caused by its conservative use of nitrogen</w:t>
      </w:r>
      <w:r>
        <w:rPr>
          <w:rFonts w:ascii="Cambria" w:hAnsi="Cambria"/>
        </w:rPr>
        <w:t>.  This</w:t>
      </w:r>
      <w:r w:rsidRPr="00531789">
        <w:rPr>
          <w:rFonts w:ascii="Cambria" w:hAnsi="Cambria"/>
        </w:rPr>
        <w:t xml:space="preserve"> facilitates greater increases in photosynthesis in the perennial under elevated CO</w:t>
      </w:r>
      <w:r w:rsidRPr="00531789">
        <w:rPr>
          <w:rFonts w:ascii="Cambria" w:hAnsi="Cambria"/>
          <w:vertAlign w:val="subscript"/>
        </w:rPr>
        <w:t>2</w:t>
      </w:r>
      <w:r w:rsidRPr="00531789">
        <w:rPr>
          <w:rFonts w:ascii="Cambria" w:hAnsi="Cambria"/>
        </w:rPr>
        <w:t xml:space="preserve"> since this treatment </w:t>
      </w:r>
      <w:r w:rsidRPr="001D13EF">
        <w:rPr>
          <w:rFonts w:ascii="Cambria" w:hAnsi="Cambria"/>
        </w:rPr>
        <w:t>allows photosynthetic rates to increase without any additional nitrogen cost.</w:t>
      </w:r>
      <w:r w:rsidR="000865EF" w:rsidRPr="001D13EF">
        <w:rPr>
          <w:rFonts w:ascii="Cambria" w:hAnsi="Cambria"/>
        </w:rPr>
        <w:t xml:space="preserve">  Figure 3 summarises these findings.</w:t>
      </w:r>
    </w:p>
    <w:p w14:paraId="113DC190" w14:textId="77777777" w:rsidR="00740304" w:rsidRDefault="00740304" w:rsidP="00DF4522">
      <w:pPr>
        <w:spacing w:line="360" w:lineRule="auto"/>
        <w:jc w:val="both"/>
        <w:rPr>
          <w:rFonts w:ascii="Cambria" w:hAnsi="Cambria"/>
        </w:rPr>
      </w:pPr>
    </w:p>
    <w:p w14:paraId="1806B30E" w14:textId="04C91D4C" w:rsidR="00BD265E" w:rsidRPr="006D1976" w:rsidRDefault="00BD265E" w:rsidP="00DF4522">
      <w:pPr>
        <w:spacing w:line="360" w:lineRule="auto"/>
        <w:jc w:val="both"/>
        <w:rPr>
          <w:rFonts w:ascii="Cambria" w:hAnsi="Cambria"/>
          <w:color w:val="FF0000"/>
        </w:rPr>
      </w:pPr>
      <w:r>
        <w:rPr>
          <w:rFonts w:ascii="Cambria" w:hAnsi="Cambria"/>
        </w:rPr>
        <w:t xml:space="preserve">Our world faces food insecurity and climate change </w:t>
      </w:r>
      <w:r>
        <w:rPr>
          <w:rFonts w:ascii="Cambria" w:hAnsi="Cambria"/>
        </w:rPr>
        <w:fldChar w:fldCharType="begin" w:fldLock="1"/>
      </w:r>
      <w:r>
        <w:rPr>
          <w:rFonts w:ascii="Cambria" w:hAnsi="Cambria"/>
        </w:rPr>
        <w:instrText>ADDIN CSL_CITATION { "citationItems" : [ { "id" : "ITEM-1", "itemData" : { "abstract" : "Recent research paints an ominous picture of climate impacts on agriculture, in contrast to the relative optimism of research from the 1990s. Continued use of the earlier research findings, in economic models and policy analyses, contributes to an unwarranted complacency about the urgency of climate policy. Earlier research concluded that the initial stages of climate change would bring net benefits to global agriculture, thanks to carbon fertilization and longer growing seasons in high-latitude regions. This conclusion has been challenged in at least three respects. First, newer experimental studies have sharply reduced older estimates of carbon fertilization effects. Second, the effect of temperature on many crops has been found to involve thresholds, above which yields rapidly decline; the number of hours above the threshold is typically more important than the average temperature. Third, climate change will bring significant changes in precipitation; in a number of important areas, decreases in precipitation may cause declines in agricultural production. Simple, aggregated economic analyses of climate change have often omitted these crucial effects of precipitation. Adaptation to warmer and often drier conditions is necessary but not sufficient for agriculture. Within a few decades, business-as-usual climate change would reach levels at which adaptation is no longer possible. Emission reduction and climate stabilization are essential to any long-run solution for global agriculture.", "author" : [ { "dropping-particle" : "", "family" : "Ackerman", "given" : "Frank", "non-dropping-particle" : "", "parse-names" : false, "suffix" : "" }, { "dropping-particle" : "", "family" : "Stanton", "given" : "Elizabeth A", "non-dropping-particle" : "", "parse-names" : false, "suffix" : "" } ], "id" : "ITEM-1", "issue" : "February", "issued" : { "date-parts" : [ [ "2013" ] ] }, "number" : "13-01", "number-of-pages" : "1-17", "title" : "Climate Impacts on Agriculture: A Challenge to Complacency?", "type" : "report" }, "uris" : [ "http://www.mendeley.com/documents/?uuid=5c7297ce-2cd5-4f4b-8bb9-af0339601ee3" ] }, { "id" : "ITEM-2", "itemData" : { "ISBN" : "9789251085424", "author" : [ { "dropping-particle" : "", "family" : "FAO", "given" : "", "non-dropping-particle" : "", "parse-names" : false, "suffix" : "" }, { "dropping-particle" : "", "family" : "IFAD", "given" : "", "non-dropping-particle" : "", "parse-names" : false, "suffix" : "" }, { "dropping-particle" : "", "family" : "WFP.", "given" : "", "non-dropping-particle" : "", "parse-names" : false, "suffix" : "" } ], "id" : "ITEM-2", "issued" : { "date-parts" : [ [ "2014" ] ] }, "publisher-place" : "Rome, FAO.", "title" : "The State of Food Insecurity in the World. Strengthening the enabling environment for food security and nutrition.", "type" : "report" }, "uris" : [ "http://www.mendeley.com/documents/?uuid=9aa14123-98ed-4352-b7d5-911e71b17c54" ] }, { "id" : "ITEM-3", "itemData" : { "DOI" : "10.1073/pnas.1424031112", "ISSN" : "0027-8424", "author" : [ { "dropping-particle" : "", "family" : "Ort", "given" : "Donald R.", "non-dropping-particle" : "", "parse-names" : false, "suffix" : "" }, { "dropping-particle" : "", "family" : "Merchant", "given" : "Sabeeha S.", "non-dropping-particle" : "", "parse-names" : false, "suffix" : "" }, { "dropping-particle" : "", "family" : "Alric", "given" : "Jean", "non-dropping-particle" : "", "parse-names" : false, "suffix" : "" }, { "dropping-particle" : "", "family" : "Barkan", "given" : "Alice", "non-dropping-particle" : "", "parse-names" : false, "suffix" : "" }, { "dropping-particle" : "", "family" : "Blankenship", "given" : "Robert E.", "non-dropping-particle" : "", "parse-names" : false, "suffix" : "" }, { "dropping-particle" : "", "family" : "Bock", "given" : "Ralph", "non-dropping-particle" : "", "parse-names" : false, "suffix" : "" }, { "dropping-particle" : "", "family" : "Croce", "given" : "Roberta", "non-dropping-particle" : "", "parse-names" : false, "suffix" : "" }, { "dropping-particle" : "", "family" : "Hanson", "given" : "Maureen R.", "non-dropping-particle" : "", "parse-names" : false, "suffix" : "" }, { "dropping-particle" : "", "family" : "Hibberd", "given" : "Julian M.", "non-dropping-particle" : "", "parse-names" : false, "suffix" : "" }, { "dropping-particle" : "", "family" : "Long", "given" : "Stephen P.", "non-dropping-particle" : "", "parse-names" : false, "suffix" : "" }, { "dropping-particle" : "", "family" : "Moore", "given" : "Thomas A.", "non-dropping-particle" : "", "parse-names" : false, "suffix" : "" }, { "dropping-particle" : "", "family" : "Moroney", "given" : "James", "non-dropping-particle" : "", "parse-names" : false, "suffix" : "" }, { "dropping-particle" : "", "family" : "Niyogi", "given" : "Krishna K.", "non-dropping-particle" : "", "parse-names" : false, "suffix" : "" }, { "dropping-particle" : "", "family" : "Parry", "given" : "Martin A. J.", "non-dropping-particle" : "", "parse-names" : false, "suffix" : "" }, { "dropping-particle" : "", "family" : "Peralta-Yahya", "given" : "Pamela P.", "non-dropping-particle" : "", "parse-names" : false, "suffix" : "" }, { "dropping-particle" : "", "family" : "Prince", "given" : "Roger C.", "non-dropping-particle" : "", "parse-names" : false, "suffix" : "" }, { "dropping-particle" : "", "family" : "Redding", "given" : "Kevin E.", "non-dropping-particle" : "", "parse-names" : false, "suffix" : "" }, { "dropping-particle" : "", "family" : "Spalding", "given" : "Martin H.", "non-dropping-particle" : "", "parse-names" : false, "suffix" : "" }, { "dropping-particle" : "", "family" : "Wijk", "given" : "Klaas J.", "non-dropping-particle" : "van", "parse-names" : false, "suffix" : "" }, { "dropping-particle" : "", "family" : "Vermaas", "given" : "Wim F. J.", "non-dropping-particle" : "", "parse-names" : false, "suffix" : "" }, { "dropping-particle" : "", "family" : "Caemmerer", "given" : "Susanne", "non-dropping-particle" : "von", "parse-names" : false, "suffix" : "" }, { "dropping-particle" : "", "family" : "Weber", "given" : "Andreas P. M.", "non-dropping-particle" : "", "parse-names" : false, "suffix" : "" }, { "dropping-particle" : "", "family" : "Yeates", "given" : "Todd O.", "non-dropping-particle" : "", "parse-names" : false, "suffix" : "" }, { "dropping-particle" : "", "family" : "Yuan", "given" : "Joshua S.", "non-dropping-particle" : "", "parse-names" : false, "suffix" : "" }, { "dropping-particle" : "", "family" : "Zhu", "given" : "Xin Guang", "non-dropping-particle" : "", "parse-names" : false, "suffix" : "" } ], "container-title" : "Proceedings of the National Academy of Sciences", "id" : "ITEM-3", "issue" : "28", "issued" : { "date-parts" : [ [ "2015" ] ] }, "page" : "8529-8536", "title" : "Redesigning photosynthesis to sustainably meet global food and bioenergy demand", "type" : "article-journal", "volume" : "112" }, "uris" : [ "http://www.mendeley.com/documents/?uuid=0bc4e791-4287-41e7-a651-3b3b894d2151" ] } ], "mendeley" : { "formattedCitation" : "(Ackerman and Stanton, 2013; FAO &lt;i&gt;et al.&lt;/i&gt;, 2014; Ort &lt;i&gt;et al.&lt;/i&gt;, 2015)", "plainTextFormattedCitation" : "(Ackerman and Stanton, 2013; FAO et al., 2014; Ort et al., 2015)", "previouslyFormattedCitation" : "(Ackerman and Stanton, 2013; FAO &lt;i&gt;et al.&lt;/i&gt;, 2014; Ort &lt;i&gt;et al.&lt;/i&gt;, 2015)" }, "properties" : { "noteIndex" : 0 }, "schema" : "https://github.com/citation-style-language/schema/raw/master/csl-citation.json" }</w:instrText>
      </w:r>
      <w:r>
        <w:rPr>
          <w:rFonts w:ascii="Cambria" w:hAnsi="Cambria"/>
        </w:rPr>
        <w:fldChar w:fldCharType="separate"/>
      </w:r>
      <w:r w:rsidRPr="00BD265E">
        <w:rPr>
          <w:rFonts w:ascii="Cambria" w:hAnsi="Cambria"/>
          <w:noProof/>
        </w:rPr>
        <w:t xml:space="preserve">(Ackerman and Stanton, 2013; FAO </w:t>
      </w:r>
      <w:r w:rsidRPr="00BD265E">
        <w:rPr>
          <w:rFonts w:ascii="Cambria" w:hAnsi="Cambria"/>
          <w:i/>
          <w:noProof/>
        </w:rPr>
        <w:t>et al.</w:t>
      </w:r>
      <w:r w:rsidRPr="00BD265E">
        <w:rPr>
          <w:rFonts w:ascii="Cambria" w:hAnsi="Cambria"/>
          <w:noProof/>
        </w:rPr>
        <w:t xml:space="preserve">, 2014; Ort </w:t>
      </w:r>
      <w:r w:rsidRPr="00BD265E">
        <w:rPr>
          <w:rFonts w:ascii="Cambria" w:hAnsi="Cambria"/>
          <w:i/>
          <w:noProof/>
        </w:rPr>
        <w:t>et al.</w:t>
      </w:r>
      <w:r w:rsidRPr="00BD265E">
        <w:rPr>
          <w:rFonts w:ascii="Cambria" w:hAnsi="Cambria"/>
          <w:noProof/>
        </w:rPr>
        <w:t>, 2015)</w:t>
      </w:r>
      <w:r>
        <w:rPr>
          <w:rFonts w:ascii="Cambria" w:hAnsi="Cambria"/>
        </w:rPr>
        <w:fldChar w:fldCharType="end"/>
      </w:r>
      <w:r>
        <w:rPr>
          <w:rFonts w:ascii="Cambria" w:hAnsi="Cambria"/>
        </w:rPr>
        <w:t xml:space="preserve">, and improving crop yield with consideration of future climatic conditions will be vital for safeguarding future food security </w:t>
      </w:r>
      <w:r w:rsidR="004345BC" w:rsidRPr="006D1976">
        <w:rPr>
          <w:rFonts w:ascii="Cambria" w:hAnsi="Cambria"/>
        </w:rPr>
        <w:fldChar w:fldCharType="begin" w:fldLock="1"/>
      </w:r>
      <w:r w:rsidR="004345BC" w:rsidRPr="006D1976">
        <w:rPr>
          <w:rFonts w:ascii="Cambria" w:hAnsi="Cambria"/>
        </w:rPr>
        <w:instrText>ADDIN CSL_CITATION { "citationItems" : [ { "id" : "ITEM-1", "itemData" : { "DOI" : "10.1104/pp.108.117101", "ISSN" : "0032-0889", "PMID" : "18443102", "author" : [ { "dropping-particle" : "", "family" : "Ainsworth", "given" : "Elizabeth A", "non-dropping-particle" : "", "parse-names" : false, "suffix" : "" }, { "dropping-particle" : "", "family" : "Rogers", "given" : "Alistair", "non-dropping-particle" : "", "parse-names" : false, "suffix" : "" }, { "dropping-particle" : "", "family" : "Leakey", "given" : "Andrew D B", "non-dropping-particle" : "", "parse-names" : false, "suffix" : "" } ], "container-title" : "Plant Physiology", "id" : "ITEM-1", "issue" : "1", "issued" : { "date-parts" : [ [ "2008", "5" ] ] }, "page" : "13-9", "title" : "Targets for crop biotechnology in a future high-CO2 and high-O3 world.", "type" : "article-journal", "volume" : "147" }, "uris" : [ "http://www.mendeley.com/documents/?uuid=3cab6b90-1ae9-41ab-ae0f-afad0b75988e" ] }, { "id" : "ITEM-2", "itemData" : { "DOI" : "10.4337/9780857939388", "ISBN" : "9780857939388", "author" : [ { "dropping-particle" : "", "family" : "Godfray", "given" : "HCJ", "non-dropping-particle" : "", "parse-names" : false, "suffix" : "" }, { "dropping-particle" : "", "family" : "Beddington", "given" : "JR", "non-dropping-particle" : "", "parse-names" : false, "suffix" : "" }, { "dropping-particle" : "", "family" : "Crute", "given" : "IR", "non-dropping-particle" : "", "parse-names" : false, "suffix" : "" }, { "dropping-particle" : "", "family" : "Haddad", "given" : "L", "non-dropping-particle" : "", "parse-names" : false, "suffix" : "" }, { "dropping-particle" : "", "family" : "Lawrence", "given" : "D", "non-dropping-particle" : "", "parse-names" : false, "suffix" : "" }, { "dropping-particle" : "", "family" : "Muir", "given" : "JF", "non-dropping-particle" : "", "parse-names" : false, "suffix" : "" }, { "dropping-particle" : "", "family" : "Pretty", "given" : "J", "non-dropping-particle" : "", "parse-names" : false, "suffix" : "" }, { "dropping-particle" : "", "family" : "Robinson", "given" : "S", "non-dropping-particle" : "", "parse-names" : false, "suffix" : "" }, { "dropping-particle" : "", "family" : "Thomas", "given" : "SM", "non-dropping-particle" : "", "parse-names" : false, "suffix" : "" }, { "dropping-particle" : "", "family" : "Toulmin", "given" : "C", "non-dropping-particle" : "", "parse-names" : false, "suffix" : "" } ], "container-title" : "Science", "id" : "ITEM-2", "issued" : { "date-parts" : [ [ "2010" ] ] }, "page" : "812-818", "title" : "The Challenge of Food Security", "type" : "article-journal", "volume" : "327" }, "uris" : [ "http://www.mendeley.com/documents/?uuid=8c1064aa-2a93-48c0-8f76-cd86d5e1c3b4" ] }, { "id" : "ITEM-3", "itemData" : { "DOI" : "10.1038/nature10452", "ISBN" : "0028-0836", "ISSN" : "0028-0836", "PMID" : "21993620", "abstract" : "Increasing population and consumption are placing unprecedented demands on agriculture and natural resources. Today, approximately a billion people are chronically malnourished while our agricultural systems are concurrently degrading land, water, biodiversity and climate on a global scale. To meet the world's future food security and sustainability needs, food production must grow substantially while, at the same time, agriculture's environmental footprint must shrink dramatically. Here we analyse solutions to this dilemma, showing that tremendous progress could be made by halting agricultural expansion, closing 'yield gaps' on underperforming lands, increasing cropping efficiency, shifting diets and reducing waste. Together, these strategies could double food production while greatly reducing the environmental impacts of agriculture.", "author" : [ { "dropping-particle" : "", "family" : "Foley", "given" : "Jonathan A.", "non-dropping-particle" : "", "parse-names" : false, "suffix" : "" }, { "dropping-particle" : "", "family" : "Ramankutty", "given" : "Navin", "non-dropping-particle" : "", "parse-names" : false, "suffix" : "" }, { "dropping-particle" : "", "family" : "Brauman", "given" : "Kate A.", "non-dropping-particle" : "", "parse-names" : false, "suffix" : "" }, { "dropping-particle" : "", "family" : "Cassidy", "given" : "Emily S.", "non-dropping-particle" : "", "parse-names" : false, "suffix" : "" }, { "dropping-particle" : "", "family" : "Gerber", "given" : "James S.", "non-dropping-particle" : "", "parse-names" : false, "suffix" : "" }, { "dropping-particle" : "", "family" : "Johnston", "given" : "Matt", "non-dropping-particle" : "", "parse-names" : false, "suffix" : "" }, { "dropping-particle" : "", "family" : "Mueller", "given" : "Nathaniel D.", "non-dropping-particle" : "", "parse-names" : false, "suffix" : "" }, { "dropping-particle" : "", "family" : "O\u2019Connell", "given" : "Christine", "non-dropping-particle" : "", "parse-names" : false, "suffix" : "" }, { "dropping-particle" : "", "family" : "Ray", "given" : "Deepak K.", "non-dropping-particle" : "", "parse-names" : false, "suffix" : "" }, { "dropping-particle" : "", "family" : "West", "given" : "Paul C.", "non-dropping-particle" : "", "parse-names" : false, "suffix" : "" }, { "dropping-particle" : "", "family" : "Balzer", "given" : "Christian", "non-dropping-particle" : "", "parse-names" : false, "suffix" : "" }, { "dropping-particle" : "", "family" : "Bennett", "given" : "Elena M.", "non-dropping-particle" : "", "parse-names" : false, "suffix" : "" }, { "dropping-particle" : "", "family" : "Carpenter", "given" : "Stephen R.", "non-dropping-particle" : "", "parse-names" : false, "suffix" : "" }, { "dropping-particle" : "", "family" : "Hill", "given" : "Jason", "non-dropping-particle" : "", "parse-names" : false, "suffix" : "" }, { "dropping-particle" : "", "family" : "Monfreda", "given" : "Chad", "non-dropping-particle" : "", "parse-names" : false, "suffix" : "" }, { "dropping-particle" : "", "family" : "Polasky", "given" : "Stephen", "non-dropping-particle" : "", "parse-names" : false, "suffix" : "" }, { "dropping-particle" : "", "family" : "Rockstr\u00f6m", "given" : "Johan", "non-dropping-particle" : "", "parse-names" : false, "suffix" : "" }, { "dropping-particle" : "", "family" : "Sheehan", "given" : "John", "non-dropping-particle" : "", "parse-names" : false, "suffix" : "" }, { "dropping-particle" : "", "family" : "Siebert", "given" : "Stefan", "non-dropping-particle" : "", "parse-names" : false, "suffix" : "" }, { "dropping-particle" : "", "family" : "Tilman", "given" : "David", "non-dropping-particle" : "", "parse-names" : false, "suffix" : "" }, { "dropping-particle" : "", "family" : "Zaks", "given" : "David P. M.", "non-dropping-particle" : "", "parse-names" : false, "suffix" : "" } ], "container-title" : "Nature", "id" : "ITEM-3", "issue" : "7369", "issued" : { "date-parts" : [ [ "2011" ] ] }, "page" : "337-342", "title" : "Solutions for a cultivated planet", "type" : "article-journal", "volume" : "478" }, "uris" : [ "http://www.mendeley.com/documents/?uuid=5ccf6739-fe71-4cc6-b5ac-683158e37744" ] }, { "id" : "ITEM-4", "itemData" : { "DOI" : "10.1126/science.1220177", "ISSN" : "1095-9203", "PMID" : "22745421", "abstract" : "Another \"green revolution\" is needed for crop yields to meet demands for food. The international C(4) Rice Consortium is working toward introducing a higher-capacity photosynthetic mechanism--the C(4) pathway--into rice to increase yield. The goal is to identify the genes necessary to install C(4) photosynthesis in rice through different approaches, including genomic and transcriptional sequence comparisons and mutant screening.", "author" : [ { "dropping-particle" : "", "family" : "Caemmerer", "given" : "Susanne", "non-dropping-particle" : "von", "parse-names" : false, "suffix" : "" }, { "dropping-particle" : "", "family" : "Quick", "given" : "W Paul", "non-dropping-particle" : "", "parse-names" : false, "suffix" : "" }, { "dropping-particle" : "", "family" : "Furbank", "given" : "Robert T", "non-dropping-particle" : "", "parse-names" : false, "suffix" : "" } ], "container-title" : "Science", "id" : "ITEM-4", "issue" : "6089", "issued" : { "date-parts" : [ [ "2012", "6", "29" ] ] }, "page" : "1671-2", "title" : "The development of C4 rice: current progress and future challenges.", "type" : "article-journal", "volume" : "336" }, "uris" : [ "http://www.mendeley.com/documents/?uuid=731fc3cf-d38b-4c78-abf9-503120c7324d" ] }, { "id" : "ITEM-5", "itemData" : { "DOI" : "10.1111/j.1365-3040.2012.02588.x", "ISSN" : "1365-3040", "PMID" : "22860982", "abstract" : "Wheat provides 20% of calories and protein consumed by humans. Recent genetic gains are &lt;1% per annum (p.a.), insufficient to meet future demand. The Wheat Yield Consortium brings expertise in photosynthesis, crop adaptation and genetics to a common breeding platform. Theory suggest radiation use efficiency (RUE) of wheat could be increased \u223c50%; strategies include modifying specificity, catalytic rate and regulation of Rubisco, up-regulating Calvin cycle enzymes, introducing chloroplast CO(2) concentrating mechanisms, optimizing light and N distribution of canopies while minimizing photoinhibition, and increasing spike photosynthesis. Maximum yield expression will also require dynamic optimization of source: sink so that dry matter partitioning to reproductive structures is not at the cost of the roots, stems and leaves needed to maintain physiological and structural integrity. Crop development should favour spike fertility to maximize harvest index so phenology must be tailored to different photoperiods, and sensitivity to unpredictable weather must be modulated to reduce conservative responses that reduce harvest index. Strategic crossing of complementary physiological traits will be augmented with wide crossing, while genome-wide selection and high throughput phenotyping and genotyping will increase efficiency of progeny screening. To ensure investment in breeding achieves agronomic impact, sustainable crop management must also be promoted through crop improvement networks.", "author" : [ { "dropping-particle" : "", "family" : "Reynolds", "given" : "Matthew", "non-dropping-particle" : "", "parse-names" : false, "suffix" : "" }, { "dropping-particle" : "", "family" : "Foulkes", "given" : "John", "non-dropping-particle" : "", "parse-names" : false, "suffix" : "" }, { "dropping-particle" : "", "family" : "Furbank", "given" : "Robert", "non-dropping-particle" : "", "parse-names" : false, "suffix" : "" }, { "dropping-particle" : "", "family" : "Griffiths", "given" : "Simon", "non-dropping-particle" : "", "parse-names" : false, "suffix" : "" }, { "dropping-particle" : "", "family" : "King", "given" : "Julie", "non-dropping-particle" : "", "parse-names" : false, "suffix" : "" }, { "dropping-particle" : "", "family" : "Murchie", "given" : "Erik", "non-dropping-particle" : "", "parse-names" : false, "suffix" : "" }, { "dropping-particle" : "", "family" : "Parry", "given" : "Martin", "non-dropping-particle" : "", "parse-names" : false, "suffix" : "" }, { "dropping-particle" : "", "family" : "Slafer", "given" : "Gustavo", "non-dropping-particle" : "", "parse-names" : false, "suffix" : "" } ], "container-title" : "Plant, Cell &amp; Environment", "id" : "ITEM-5", "issue" : "10", "issued" : { "date-parts" : [ [ "2012", "10" ] ] }, "page" : "1799-1823", "title" : "Achieving yield gains in wheat.", "type" : "article-journal", "volume" : "35" }, "uris" : [ "http://www.mendeley.com/documents/?uuid=6c6afd16-ef8e-4b75-a4e7-35772b7ff51f" ] } ], "mendeley" : { "formattedCitation" : "(Ainsworth &lt;i&gt;et al.&lt;/i&gt;, 2008&lt;i&gt;b&lt;/i&gt;; Godfray &lt;i&gt;et al.&lt;/i&gt;, 2010; Foley &lt;i&gt;et al.&lt;/i&gt;, 2011; von Caemmerer &lt;i&gt;et al.&lt;/i&gt;, 2012; Reynolds &lt;i&gt;et al.&lt;/i&gt;, 2012)", "plainTextFormattedCitation" : "(Ainsworth et al., 2008b; Godfray et al., 2010; Foley et al., 2011; von Caemmerer et al., 2012; Reynolds et al., 2012)", "previouslyFormattedCitation" : "(Ainsworth &lt;i&gt;et al.&lt;/i&gt;, 2008&lt;i&gt;b&lt;/i&gt;; Godfray &lt;i&gt;et al.&lt;/i&gt;, 2010; Foley &lt;i&gt;et al.&lt;/i&gt;, 2011; von Caemmerer &lt;i&gt;et al.&lt;/i&gt;, 2012; Reynolds &lt;i&gt;et al.&lt;/i&gt;, 2012)" }, "properties" : { "noteIndex" : 0 }, "schema" : "https://github.com/citation-style-language/schema/raw/master/csl-citation.json" }</w:instrText>
      </w:r>
      <w:r w:rsidR="004345BC" w:rsidRPr="006D1976">
        <w:rPr>
          <w:rFonts w:ascii="Cambria" w:hAnsi="Cambria"/>
        </w:rPr>
        <w:fldChar w:fldCharType="separate"/>
      </w:r>
      <w:r w:rsidR="004345BC" w:rsidRPr="006D1976">
        <w:rPr>
          <w:rFonts w:ascii="Cambria" w:hAnsi="Cambria"/>
          <w:noProof/>
        </w:rPr>
        <w:t xml:space="preserve">(Ainsworth </w:t>
      </w:r>
      <w:r w:rsidR="004345BC" w:rsidRPr="006D1976">
        <w:rPr>
          <w:rFonts w:ascii="Cambria" w:hAnsi="Cambria"/>
          <w:i/>
          <w:noProof/>
        </w:rPr>
        <w:t>et al.</w:t>
      </w:r>
      <w:r w:rsidR="004345BC" w:rsidRPr="006D1976">
        <w:rPr>
          <w:rFonts w:ascii="Cambria" w:hAnsi="Cambria"/>
          <w:noProof/>
        </w:rPr>
        <w:t>, 2008</w:t>
      </w:r>
      <w:r w:rsidR="004345BC" w:rsidRPr="006D1976">
        <w:rPr>
          <w:rFonts w:ascii="Cambria" w:hAnsi="Cambria"/>
          <w:i/>
          <w:noProof/>
        </w:rPr>
        <w:t>b</w:t>
      </w:r>
      <w:r w:rsidR="004345BC" w:rsidRPr="006D1976">
        <w:rPr>
          <w:rFonts w:ascii="Cambria" w:hAnsi="Cambria"/>
          <w:noProof/>
        </w:rPr>
        <w:t xml:space="preserve">; Godfray </w:t>
      </w:r>
      <w:r w:rsidR="004345BC" w:rsidRPr="006D1976">
        <w:rPr>
          <w:rFonts w:ascii="Cambria" w:hAnsi="Cambria"/>
          <w:i/>
          <w:noProof/>
        </w:rPr>
        <w:t>et al.</w:t>
      </w:r>
      <w:r w:rsidR="004345BC" w:rsidRPr="006D1976">
        <w:rPr>
          <w:rFonts w:ascii="Cambria" w:hAnsi="Cambria"/>
          <w:noProof/>
        </w:rPr>
        <w:t xml:space="preserve">, 2010; Foley </w:t>
      </w:r>
      <w:r w:rsidR="004345BC" w:rsidRPr="006D1976">
        <w:rPr>
          <w:rFonts w:ascii="Cambria" w:hAnsi="Cambria"/>
          <w:i/>
          <w:noProof/>
        </w:rPr>
        <w:t>et al.</w:t>
      </w:r>
      <w:r w:rsidR="004345BC" w:rsidRPr="006D1976">
        <w:rPr>
          <w:rFonts w:ascii="Cambria" w:hAnsi="Cambria"/>
          <w:noProof/>
        </w:rPr>
        <w:t xml:space="preserve">, 2011; von Caemmerer </w:t>
      </w:r>
      <w:r w:rsidR="004345BC" w:rsidRPr="006D1976">
        <w:rPr>
          <w:rFonts w:ascii="Cambria" w:hAnsi="Cambria"/>
          <w:i/>
          <w:noProof/>
        </w:rPr>
        <w:t>et al.</w:t>
      </w:r>
      <w:r w:rsidR="004345BC" w:rsidRPr="006D1976">
        <w:rPr>
          <w:rFonts w:ascii="Cambria" w:hAnsi="Cambria"/>
          <w:noProof/>
        </w:rPr>
        <w:t xml:space="preserve">, 2012; Reynolds </w:t>
      </w:r>
      <w:r w:rsidR="004345BC" w:rsidRPr="006D1976">
        <w:rPr>
          <w:rFonts w:ascii="Cambria" w:hAnsi="Cambria"/>
          <w:i/>
          <w:noProof/>
        </w:rPr>
        <w:t>et al.</w:t>
      </w:r>
      <w:r w:rsidR="004345BC" w:rsidRPr="006D1976">
        <w:rPr>
          <w:rFonts w:ascii="Cambria" w:hAnsi="Cambria"/>
          <w:noProof/>
        </w:rPr>
        <w:t>, 2012)</w:t>
      </w:r>
      <w:r w:rsidR="004345BC" w:rsidRPr="006D1976">
        <w:rPr>
          <w:rFonts w:ascii="Cambria" w:hAnsi="Cambria"/>
        </w:rPr>
        <w:fldChar w:fldCharType="end"/>
      </w:r>
      <w:r w:rsidRPr="006D1976">
        <w:rPr>
          <w:rFonts w:ascii="Cambria" w:hAnsi="Cambria"/>
        </w:rPr>
        <w:t>.</w:t>
      </w:r>
      <w:r w:rsidR="006D1976" w:rsidRPr="006D1976">
        <w:rPr>
          <w:rFonts w:ascii="Cambria" w:hAnsi="Cambria"/>
        </w:rPr>
        <w:t xml:space="preserve"> </w:t>
      </w:r>
      <w:r w:rsidRPr="006D1976">
        <w:rPr>
          <w:rFonts w:ascii="Cambria" w:hAnsi="Cambria"/>
        </w:rPr>
        <w:t xml:space="preserve"> </w:t>
      </w:r>
      <w:r w:rsidR="006D1976" w:rsidRPr="006D1976">
        <w:rPr>
          <w:rFonts w:ascii="Cambria" w:hAnsi="Cambria"/>
        </w:rPr>
        <w:t>Whilst beyond the scope of this thesis, it is worth noting that in addition to the predicted increased CO</w:t>
      </w:r>
      <w:r w:rsidR="006D1976" w:rsidRPr="006D1976">
        <w:rPr>
          <w:rFonts w:ascii="Cambria" w:hAnsi="Cambria"/>
          <w:vertAlign w:val="subscript"/>
        </w:rPr>
        <w:t>2</w:t>
      </w:r>
      <w:r w:rsidR="006D1976" w:rsidRPr="006D1976">
        <w:rPr>
          <w:rFonts w:ascii="Cambria" w:hAnsi="Cambria"/>
        </w:rPr>
        <w:t xml:space="preserve"> levels, changes in temperature and levels of O</w:t>
      </w:r>
      <w:r w:rsidR="006D1976" w:rsidRPr="006D1976">
        <w:rPr>
          <w:rFonts w:ascii="Cambria" w:hAnsi="Cambria"/>
          <w:vertAlign w:val="subscript"/>
        </w:rPr>
        <w:t>3</w:t>
      </w:r>
      <w:r w:rsidR="006D1976" w:rsidRPr="006D1976">
        <w:rPr>
          <w:rFonts w:ascii="Cambria" w:hAnsi="Cambria"/>
        </w:rPr>
        <w:t xml:space="preserve"> will affect crop physiology, and many environmental variables interact with one another producing complex effects</w:t>
      </w:r>
      <w:r w:rsidR="006D1976">
        <w:rPr>
          <w:rFonts w:ascii="Cambria" w:hAnsi="Cambria"/>
        </w:rPr>
        <w:t xml:space="preserve"> which must be considered when breeding crops for future environments</w:t>
      </w:r>
      <w:r w:rsidR="006D1976" w:rsidRPr="006D1976">
        <w:rPr>
          <w:rFonts w:ascii="Cambria" w:hAnsi="Cambria"/>
        </w:rPr>
        <w:t xml:space="preserve"> </w:t>
      </w:r>
      <w:r w:rsidR="006D1976" w:rsidRPr="006D1976">
        <w:rPr>
          <w:rFonts w:ascii="Cambria" w:hAnsi="Cambria"/>
        </w:rPr>
        <w:fldChar w:fldCharType="begin" w:fldLock="1"/>
      </w:r>
      <w:r w:rsidR="006D1976" w:rsidRPr="006D1976">
        <w:rPr>
          <w:rFonts w:ascii="Cambria" w:hAnsi="Cambria"/>
        </w:rPr>
        <w:instrText>ADDIN CSL_CITATION { "citationItems" : [ { "id" : "ITEM-1", "itemData" : { "DOI" : "10.1104/pp.108.117101", "ISSN" : "0032-0889", "PMID" : "18443102", "author" : [ { "dropping-particle" : "", "family" : "Ainsworth", "given" : "Elizabeth A", "non-dropping-particle" : "", "parse-names" : false, "suffix" : "" }, { "dropping-particle" : "", "family" : "Rogers", "given" : "Alistair", "non-dropping-particle" : "", "parse-names" : false, "suffix" : "" }, { "dropping-particle" : "", "family" : "Leakey", "given" : "Andrew D B", "non-dropping-particle" : "", "parse-names" : false, "suffix" : "" } ], "container-title" : "Plant Physiology", "id" : "ITEM-1", "issue" : "1", "issued" : { "date-parts" : [ [ "2008", "5" ] ] }, "page" : "13-9", "title" : "Targets for crop biotechnology in a future high-CO2 and high-O3 world.", "type" : "article-journal", "volume" : "147" }, "uris" : [ "http://www.mendeley.com/documents/?uuid=3cab6b90-1ae9-41ab-ae0f-afad0b75988e" ] }, { "id" : "ITEM-2", "itemData" : { "abstract" : "Recent research paints an ominous picture of climate impacts on agriculture, in contrast to the relative optimism of research from the 1990s. Continued use of the earlier research findings, in economic models and policy analyses, contributes to an unwarranted complacency about the urgency of climate policy. Earlier research concluded that the initial stages of climate change would bring net benefits to global agriculture, thanks to carbon fertilization and longer growing seasons in high-latitude regions. This conclusion has been challenged in at least three respects. First, newer experimental studies have sharply reduced older estimates of carbon fertilization effects. Second, the effect of temperature on many crops has been found to involve thresholds, above which yields rapidly decline; the number of hours above the threshold is typically more important than the average temperature. Third, climate change will bring significant changes in precipitation; in a number of important areas, decreases in precipitation may cause declines in agricultural production. Simple, aggregated economic analyses of climate change have often omitted these crucial effects of precipitation. Adaptation to warmer and often drier conditions is necessary but not sufficient for agriculture. Within a few decades, business-as-usual climate change would reach levels at which adaptation is no longer possible. Emission reduction and climate stabilization are essential to any long-run solution for global agriculture.", "author" : [ { "dropping-particle" : "", "family" : "Ackerman", "given" : "Frank", "non-dropping-particle" : "", "parse-names" : false, "suffix" : "" }, { "dropping-particle" : "", "family" : "Stanton", "given" : "Elizabeth A", "non-dropping-particle" : "", "parse-names" : false, "suffix" : "" } ], "id" : "ITEM-2", "issue" : "February", "issued" : { "date-parts" : [ [ "2013" ] ] }, "number" : "13-01", "number-of-pages" : "1-17", "title" : "Climate Impacts on Agriculture: A Challenge to Complacency?", "type" : "report" }, "uris" : [ "http://www.mendeley.com/documents/?uuid=5c7297ce-2cd5-4f4b-8bb9-af0339601ee3" ] } ], "mendeley" : { "formattedCitation" : "(Ainsworth &lt;i&gt;et al.&lt;/i&gt;, 2008&lt;i&gt;b&lt;/i&gt;; Ackerman and Stanton, 2013)", "plainTextFormattedCitation" : "(Ainsworth et al., 2008b; Ackerman and Stanton, 2013)", "previouslyFormattedCitation" : "(Ainsworth &lt;i&gt;et al.&lt;/i&gt;, 2008&lt;i&gt;b&lt;/i&gt;; Ackerman and Stanton, 2013)" }, "properties" : { "noteIndex" : 0 }, "schema" : "https://github.com/citation-style-language/schema/raw/master/csl-citation.json" }</w:instrText>
      </w:r>
      <w:r w:rsidR="006D1976" w:rsidRPr="006D1976">
        <w:rPr>
          <w:rFonts w:ascii="Cambria" w:hAnsi="Cambria"/>
        </w:rPr>
        <w:fldChar w:fldCharType="separate"/>
      </w:r>
      <w:r w:rsidR="006D1976" w:rsidRPr="006D1976">
        <w:rPr>
          <w:rFonts w:ascii="Cambria" w:hAnsi="Cambria"/>
          <w:noProof/>
        </w:rPr>
        <w:t xml:space="preserve">(Ainsworth </w:t>
      </w:r>
      <w:r w:rsidR="006D1976" w:rsidRPr="006D1976">
        <w:rPr>
          <w:rFonts w:ascii="Cambria" w:hAnsi="Cambria"/>
          <w:i/>
          <w:noProof/>
        </w:rPr>
        <w:t>et al.</w:t>
      </w:r>
      <w:r w:rsidR="006D1976" w:rsidRPr="006D1976">
        <w:rPr>
          <w:rFonts w:ascii="Cambria" w:hAnsi="Cambria"/>
          <w:noProof/>
        </w:rPr>
        <w:t>, 2008</w:t>
      </w:r>
      <w:r w:rsidR="006D1976" w:rsidRPr="006D1976">
        <w:rPr>
          <w:rFonts w:ascii="Cambria" w:hAnsi="Cambria"/>
          <w:i/>
          <w:noProof/>
        </w:rPr>
        <w:t>b</w:t>
      </w:r>
      <w:r w:rsidR="006D1976" w:rsidRPr="006D1976">
        <w:rPr>
          <w:rFonts w:ascii="Cambria" w:hAnsi="Cambria"/>
          <w:noProof/>
        </w:rPr>
        <w:t>; Ackerman and Stanton, 2013)</w:t>
      </w:r>
      <w:r w:rsidR="006D1976" w:rsidRPr="006D1976">
        <w:rPr>
          <w:rFonts w:ascii="Cambria" w:hAnsi="Cambria"/>
        </w:rPr>
        <w:fldChar w:fldCharType="end"/>
      </w:r>
      <w:r w:rsidR="006D1976" w:rsidRPr="006D1976">
        <w:rPr>
          <w:rFonts w:ascii="Cambria" w:hAnsi="Cambria"/>
        </w:rPr>
        <w:t>.</w:t>
      </w:r>
      <w:r w:rsidR="006D1976" w:rsidRPr="00BA5283">
        <w:rPr>
          <w:rFonts w:ascii="Cambria" w:hAnsi="Cambria"/>
          <w:color w:val="FF0000"/>
        </w:rPr>
        <w:t xml:space="preserve"> </w:t>
      </w:r>
      <w:r w:rsidR="006D1976">
        <w:rPr>
          <w:rFonts w:ascii="Cambria" w:hAnsi="Cambria"/>
          <w:color w:val="FF0000"/>
        </w:rPr>
        <w:t xml:space="preserve"> </w:t>
      </w:r>
      <w:r w:rsidR="00C05B54" w:rsidRPr="00531789">
        <w:rPr>
          <w:rFonts w:ascii="Cambria" w:hAnsi="Cambria"/>
        </w:rPr>
        <w:t>Atmospheric CO</w:t>
      </w:r>
      <w:r w:rsidR="00C05B54" w:rsidRPr="00531789">
        <w:rPr>
          <w:rFonts w:ascii="Cambria" w:hAnsi="Cambria"/>
          <w:vertAlign w:val="subscript"/>
        </w:rPr>
        <w:t>2</w:t>
      </w:r>
      <w:r w:rsidR="00C05B54" w:rsidRPr="00531789">
        <w:rPr>
          <w:rFonts w:ascii="Cambria" w:hAnsi="Cambria"/>
        </w:rPr>
        <w:t xml:space="preserve"> levels are rising quickly, making CO</w:t>
      </w:r>
      <w:r w:rsidR="00C05B54" w:rsidRPr="00531789">
        <w:rPr>
          <w:rFonts w:ascii="Cambria" w:hAnsi="Cambria"/>
          <w:vertAlign w:val="subscript"/>
        </w:rPr>
        <w:t>2</w:t>
      </w:r>
      <w:r w:rsidR="00C05B54" w:rsidRPr="00531789">
        <w:rPr>
          <w:rFonts w:ascii="Cambria" w:hAnsi="Cambria"/>
        </w:rPr>
        <w:t xml:space="preserve"> experiments not only a useful non-invasive manipulation of the carbon source </w:t>
      </w:r>
      <w:r w:rsidR="000865EF">
        <w:rPr>
          <w:rFonts w:ascii="Cambria" w:hAnsi="Cambria"/>
        </w:rPr>
        <w:t>as shown in this thesis where strong CO</w:t>
      </w:r>
      <w:r w:rsidR="000865EF" w:rsidRPr="000865EF">
        <w:rPr>
          <w:rFonts w:ascii="Cambria" w:hAnsi="Cambria"/>
          <w:vertAlign w:val="subscript"/>
        </w:rPr>
        <w:t>2</w:t>
      </w:r>
      <w:r w:rsidR="000865EF">
        <w:rPr>
          <w:rFonts w:ascii="Cambria" w:hAnsi="Cambria"/>
        </w:rPr>
        <w:t xml:space="preserve"> perturbations were used, </w:t>
      </w:r>
      <w:r w:rsidR="00C05B54" w:rsidRPr="00531789">
        <w:rPr>
          <w:rFonts w:ascii="Cambria" w:hAnsi="Cambria"/>
        </w:rPr>
        <w:t>but also an environmentally and agronomically relevant way to test the possible responses of crops to future conditions</w:t>
      </w:r>
      <w:r w:rsidR="000865EF">
        <w:rPr>
          <w:rFonts w:ascii="Cambria" w:hAnsi="Cambria"/>
        </w:rPr>
        <w:t>, when appropriate CO</w:t>
      </w:r>
      <w:r w:rsidR="000865EF">
        <w:rPr>
          <w:rFonts w:ascii="Cambria" w:hAnsi="Cambria"/>
          <w:vertAlign w:val="subscript"/>
        </w:rPr>
        <w:t>2</w:t>
      </w:r>
      <w:r w:rsidR="000865EF">
        <w:rPr>
          <w:rFonts w:ascii="Cambria" w:hAnsi="Cambria"/>
        </w:rPr>
        <w:t xml:space="preserve"> levels are used</w:t>
      </w:r>
      <w:r w:rsidR="00C05B54" w:rsidRPr="00531789">
        <w:rPr>
          <w:rFonts w:ascii="Cambria" w:hAnsi="Cambria"/>
        </w:rPr>
        <w:t xml:space="preserve">.  Crop ideotypes must thrive in future atmospheres, but here the elite annual barley species currently highly favoured by growers in the UK </w:t>
      </w:r>
      <w:r w:rsidR="00C05B54">
        <w:rPr>
          <w:rFonts w:ascii="Cambria" w:hAnsi="Cambria"/>
        </w:rPr>
        <w:fldChar w:fldCharType="begin" w:fldLock="1"/>
      </w:r>
      <w:r w:rsidR="00C05B54">
        <w:rPr>
          <w:rFonts w:ascii="Cambria" w:hAnsi="Cambria"/>
        </w:rPr>
        <w:instrText>ADDIN CSL_CITATION { "citationItems" : [ { "id" : "ITEM-1", "itemData" : { "author" : [ { "dropping-particle" : "", "family" : "HGCA", "given" : "", "non-dropping-particle" : "", "parse-names" : false, "suffix" : "" } ], "id" : "ITEM-1", "issued" : { "date-parts" : [ [ "2014" ] ] }, "title" : "HGCA Recommended List Spring barley 2014", "type" : "report" }, "uris" : [ "http://www.mendeley.com/documents/?uuid=f836fcfd-de5d-4d7b-9c26-e651d445938f" ] } ], "mendeley" : { "formattedCitation" : "(HGCA, 2014)", "plainTextFormattedCitation" : "(HGCA, 2014)", "previouslyFormattedCitation" : "(HGCA, 2014)" }, "properties" : { "noteIndex" : 0 }, "schema" : "https://github.com/citation-style-language/schema/raw/master/csl-citation.json" }</w:instrText>
      </w:r>
      <w:r w:rsidR="00C05B54">
        <w:rPr>
          <w:rFonts w:ascii="Cambria" w:hAnsi="Cambria"/>
        </w:rPr>
        <w:fldChar w:fldCharType="separate"/>
      </w:r>
      <w:r w:rsidR="00C05B54" w:rsidRPr="009133B6">
        <w:rPr>
          <w:rFonts w:ascii="Cambria" w:hAnsi="Cambria"/>
          <w:noProof/>
        </w:rPr>
        <w:t>(HGCA, 2014)</w:t>
      </w:r>
      <w:r w:rsidR="00C05B54">
        <w:rPr>
          <w:rFonts w:ascii="Cambria" w:hAnsi="Cambria"/>
        </w:rPr>
        <w:fldChar w:fldCharType="end"/>
      </w:r>
      <w:r w:rsidR="00C05B54">
        <w:rPr>
          <w:rFonts w:ascii="Cambria" w:hAnsi="Cambria"/>
        </w:rPr>
        <w:t xml:space="preserve"> </w:t>
      </w:r>
      <w:r w:rsidR="00C05B54" w:rsidRPr="00531789">
        <w:rPr>
          <w:rFonts w:ascii="Cambria" w:hAnsi="Cambria"/>
        </w:rPr>
        <w:t>was unable to utilise additional CO</w:t>
      </w:r>
      <w:r w:rsidR="00C05B54" w:rsidRPr="00531789">
        <w:rPr>
          <w:rFonts w:ascii="Cambria" w:hAnsi="Cambria"/>
          <w:vertAlign w:val="subscript"/>
        </w:rPr>
        <w:t>2</w:t>
      </w:r>
      <w:r w:rsidR="00C05B54" w:rsidRPr="00531789">
        <w:rPr>
          <w:rFonts w:ascii="Cambria" w:hAnsi="Cambria"/>
        </w:rPr>
        <w:t xml:space="preserve"> for photosynthesis and growth under elevated CO</w:t>
      </w:r>
      <w:r w:rsidR="00C05B54" w:rsidRPr="00531789">
        <w:rPr>
          <w:rFonts w:ascii="Cambria" w:hAnsi="Cambria"/>
          <w:vertAlign w:val="subscript"/>
        </w:rPr>
        <w:t>2</w:t>
      </w:r>
      <w:r w:rsidR="00C05B54" w:rsidRPr="00531789">
        <w:rPr>
          <w:rFonts w:ascii="Cambria" w:hAnsi="Cambria"/>
        </w:rPr>
        <w:t xml:space="preserve"> (Chapter 4).  </w:t>
      </w:r>
      <w:r>
        <w:rPr>
          <w:rFonts w:ascii="Cambria" w:hAnsi="Cambria"/>
        </w:rPr>
        <w:t xml:space="preserve">Increasing sink capacity alongside source capacity will be an important facet of ensuring effective yield gains </w:t>
      </w:r>
      <w:r>
        <w:rPr>
          <w:rFonts w:ascii="Cambria" w:hAnsi="Cambria"/>
        </w:rPr>
        <w:fldChar w:fldCharType="begin" w:fldLock="1"/>
      </w:r>
      <w:r w:rsidR="004345BC">
        <w:rPr>
          <w:rFonts w:ascii="Cambria" w:hAnsi="Cambria"/>
        </w:rPr>
        <w:instrText>ADDIN CSL_CITATION { "citationItems" : [ { "id" : "ITEM-1", "itemData" : { "DOI" : "10.1093/jxb/erq300", "ISSN" : "1460-2431", "PMID" : "20952627", "abstract" : "A substantial increase in grain yield potential is required, along with better use of water and fertilizer, to ensure food security and environmental protection in future decades. For improvements in photosynthetic capacity to result in additional wheat yield, extra assimilates must be partitioned to developing spikes and grains and/or potential grain weight increased to accommodate the extra assimilates. At the same time, improvement in dry matter partitioning to spikes should ensure that it does not increase stem or root lodging. It is therefore crucial that improvements in structural and reproductive aspects of growth accompany increases in photosynthesis to enhance the net agronomic benefits of genetic modifications. In this article, six complementary approaches are proposed, namely: (i) optimizing developmental pattern to maximize spike fertility and grain number, (ii) optimizing spike growth to maximize grain number and dry matter harvest index, (iii) improving spike fertility through desensitizing floret abortion to environmental cues, (iv) improving potential grain size and grain filling, and (v) improving lodging resistance. Since many of the traits tackled in these approaches interact strongly, an integrative modelling approach is also proposed, to (vi) identify any trade-offs between key traits, hence to define target ideotypes in quantitative terms. The potential for genetic dissection of key traits via quantitative trait loci analysis is discussed for the efficient deployment of existing variation in breeding programmes. These proposals should maximize returns in food production from investments in increased crop biomass by increasing spike fertility, grain number per unit area and harvest index whilst optimizing the trade-offs with potential grain weight and lodging resistance.", "author" : [ { "dropping-particle" : "", "family" : "Foulkes", "given" : "M John", "non-dropping-particle" : "", "parse-names" : false, "suffix" : "" }, { "dropping-particle" : "", "family" : "Slafer", "given" : "Gustavo A", "non-dropping-particle" : "", "parse-names" : false, "suffix" : "" }, { "dropping-particle" : "", "family" : "Davies", "given" : "William J", "non-dropping-particle" : "", "parse-names" : false, "suffix" : "" }, { "dropping-particle" : "", "family" : "Berry", "given" : "Pete M", "non-dropping-particle" : "", "parse-names" : false, "suffix" : "" }, { "dropping-particle" : "", "family" : "Sylvester-Bradley", "given" : "Roger", "non-dropping-particle" : "", "parse-names" : false, "suffix" : "" }, { "dropping-particle" : "", "family" : "Martre", "given" : "Pierre", "non-dropping-particle" : "", "parse-names" : false, "suffix" : "" }, { "dropping-particle" : "", "family" : "Calderini", "given" : "Daniel F", "non-dropping-particle" : "", "parse-names" : false, "suffix" : "" }, { "dropping-particle" : "", "family" : "Griffiths", "given" : "Simon", "non-dropping-particle" : "", "parse-names" : false, "suffix" : "" }, { "dropping-particle" : "", "family" : "Reynolds", "given" : "Matthew P", "non-dropping-particle" : "", "parse-names" : false, "suffix" : "" } ], "container-title" : "Journal of Experimental Botany", "id" : "ITEM-1", "issue" : "2", "issued" : { "date-parts" : [ [ "2011", "1" ] ] }, "page" : "469-86", "title" : "Raising yield potential of wheat. III. Optimizing partitioning to grain while maintaining lodging resistance.", "type" : "article-journal", "volume" : "62" }, "uris" : [ "http://www.mendeley.com/documents/?uuid=c14691dd-6133-4c29-a786-2265a333692d" ] } ], "mendeley" : { "formattedCitation" : "(Foulkes &lt;i&gt;et al.&lt;/i&gt;, 2011)", "plainTextFormattedCitation" : "(Foulkes et al., 2011)", "previouslyFormattedCitation" : "(Foulkes &lt;i&gt;et al.&lt;/i&gt;, 2011)" }, "properties" : { "noteIndex" : 0 }, "schema" : "https://github.com/citation-style-language/schema/raw/master/csl-citation.json" }</w:instrText>
      </w:r>
      <w:r>
        <w:rPr>
          <w:rFonts w:ascii="Cambria" w:hAnsi="Cambria"/>
        </w:rPr>
        <w:fldChar w:fldCharType="separate"/>
      </w:r>
      <w:r w:rsidRPr="00BD265E">
        <w:rPr>
          <w:rFonts w:ascii="Cambria" w:hAnsi="Cambria"/>
          <w:noProof/>
        </w:rPr>
        <w:t xml:space="preserve">(Foulkes </w:t>
      </w:r>
      <w:r w:rsidRPr="00BD265E">
        <w:rPr>
          <w:rFonts w:ascii="Cambria" w:hAnsi="Cambria"/>
          <w:i/>
          <w:noProof/>
        </w:rPr>
        <w:t>et al.</w:t>
      </w:r>
      <w:r w:rsidRPr="00BD265E">
        <w:rPr>
          <w:rFonts w:ascii="Cambria" w:hAnsi="Cambria"/>
          <w:noProof/>
        </w:rPr>
        <w:t>, 2011)</w:t>
      </w:r>
      <w:r>
        <w:rPr>
          <w:rFonts w:ascii="Cambria" w:hAnsi="Cambria"/>
        </w:rPr>
        <w:fldChar w:fldCharType="end"/>
      </w:r>
      <w:r w:rsidR="00F074AD">
        <w:rPr>
          <w:rFonts w:ascii="Cambria" w:hAnsi="Cambria"/>
        </w:rPr>
        <w:t xml:space="preserve">,  especially since sink activity can be a major factor limiting grain filling in cereals </w:t>
      </w:r>
      <w:r w:rsidR="004345BC">
        <w:rPr>
          <w:rFonts w:ascii="Cambria" w:hAnsi="Cambria"/>
        </w:rPr>
        <w:fldChar w:fldCharType="begin" w:fldLock="1"/>
      </w:r>
      <w:r w:rsidR="004345BC">
        <w:rPr>
          <w:rFonts w:ascii="Cambria" w:hAnsi="Cambria"/>
        </w:rPr>
        <w:instrText>ADDIN CSL_CITATION { "citationItems" : [ { "id" : "ITEM-1", "itemData" : { "DOI" : "10.1016/j.fcr.2008.07.006", "ISSN" : "03784290", "author" : [ { "dropping-particle" : "", "family" : "Acreche", "given" : "Mart\u00edn M.", "non-dropping-particle" : "", "parse-names" : false, "suffix" : "" }, { "dropping-particle" : "", "family" : "Slafer", "given" : "Gustavo A.", "non-dropping-particle" : "", "parse-names" : false, "suffix" : "" } ], "container-title" : "Field Crops Research", "id" : "ITEM-1", "issue" : "2", "issued" : { "date-parts" : [ [ "2009", "2" ] ] }, "page" : "98-105", "title" : "Grain weight, radiation interception and use efficiency as affected by sink-strength in Mediterranean wheats released from 1940 to 2005", "type" : "article-journal", "volume" : "110" }, "uris" : [ "http://www.mendeley.com/documents/?uuid=c4038cd1-032b-4704-8eaf-d32835ccb089" ] }, { "id" : "ITEM-2", "itemData" : { "DOI" : "10.1016/j.copbio.2011.12.013", "ISSN" : "1879-0429", "PMID" : "22261558", "abstract" : "Source and sink strength control plant carbon gain and yield. Source strength was recently engineered by modifying the large subunit of Rubisco, replacing the small subunit, and creating improved thermostable Rubisco activases. This technological breakthrough makes Rubisco engineering feasible at last. Enhancement of leaf transitory starch synthesis or induction of artificial sinks in leaves increased biomass and yield. Importantly, such approaches also had a positive feedback on source strength. In addition, novel targets for the improvement of carbon gain in crops have been identified that are especially relevant in the light of climate change.", "author" : [ { "dropping-particle" : "", "family" : "Peterhansel", "given" : "Christoph", "non-dropping-particle" : "", "parse-names" : false, "suffix" : "" }, { "dropping-particle" : "", "family" : "Offermann", "given" : "Sascha", "non-dropping-particle" : "", "parse-names" : false, "suffix" : "" } ], "container-title" : "Current Opinion in Biotechnology", "id" : "ITEM-2", "issue" : "2", "issued" : { "date-parts" : [ [ "2012", "4" ] ] }, "page" : "204-8", "publisher" : "Elsevier Ltd", "title" : "Re-engineering of carbon fixation in plants - challenges for plant biotechnology to improve yields in a high-CO2 world.", "type" : "article-journal", "volume" : "23" }, "uris" : [ "http://www.mendeley.com/documents/?uuid=d88261af-c545-47f4-bac3-bc6b86d5add4" ] }, { "id" : "ITEM-3", "itemData" : { "DOI" : "10.1093/jxb/ers124", "ISSN" : "1460-2431", "PMID" : "22732107", "abstract" : "A dramatic change in agricultural crops is needed in order to keep pace with the demands of an increasing human population, exponential need for renewable fuels, and uncertain climatic changes. Grasses make up the vast majority of agricultural commodities. How these grasses capture, transport, and store carbohydrates underpins all aspects of crop productivity. Sink-source dynamics within the plant direct how much, where, and when carbohydrates are allocated, as well as determine the harvestable tissue. Carbohydrate partitioning can limit the yield capacity of these plants, thus offering a potential target for crop improvement. Grasses have the ability to buffer this sink-source interaction by transiently storing carbohydrates in stem tissue when production from the source is greater than whole-plant demand. These reserves improve yield stability in grain crops by providing an alternative source when photosynthetic capacity is reduced during the later phases of grain filling, or during periods of environmental and biotic stresses. Domesticated grasses such as sugarcane and sweet sorghum have undergone selection for high accumulation of stem carbohydrates, which serve as the primary sources of sugars for human and animal consumption, as well as ethanol production for fuel. With the enormous expectations placed on agricultural production in the near future, research into carbohydrate partitioning in grasses is essential for maintaining and increasing yields in grass crops. This review highlights the current knowledge of non-structural carbohydrate dynamics in grass stems and discusses the impacts of stem reserves in essential agronomic grasses.", "author" : [ { "dropping-particle" : "", "family" : "Slewinski", "given" : "Thomas L", "non-dropping-particle" : "", "parse-names" : false, "suffix" : "" } ], "container-title" : "Journal of Experimental Botany", "id" : "ITEM-3", "issue" : "13", "issued" : { "date-parts" : [ [ "2012", "8" ] ] }, "note" : "Quoted from text:\n\nThere are periods in the plant life cycle where carbohydrate production in source tissues exceeds the demands of sink tissues, and vice versa. This is in agreement with a more integrative view of sink\u2013source interactions which emphasizes a co-limitation, rather than strictly sink or source limitation (Slafer, 2003; Alvaro et al.,2008; Acreche and Slafer, 2011). For example in wheat, stem carbohydrates progressively accumulate in the stem until the stage of rapid grain filling when stem carbohydrates reserves become mobile and partition to the developing grain (Ruuska et al., 2006).\n\nThe nature of the plant life cycle also has a dramatic impact on whole-plant carbohydrate partitioning (Thompson and Stewart, 1981). Most of the grain-producing grasses are monocarpic annuals with only one chance at producing offspring before the life cycle ends. Thus, carbohydrate reserves buffer against extended periods of low light or drought, allowing plants to produce some viable seed. Perennials go one step further by storing carbohydrates in stems and roots, which may include rhizomes, to fuel re-growth of new tissues in the spring. \n\nStorage and remobilization strategies depend to a large degree on the form in which carbohydrates are stored. Depending on the species, stem carbohydrates can be stored as soluble sugars, such as sucrose, fructans (soluble polymers of fructose), or starch (insoluble polymers of glucose) (Halford et al., 2011). The amount of stored carbohydrate in the stem also varies with the species and cultivar of grass and is dependent on the stage of development and growing conditions. Some grasses that have a central lacuna can also store carbohydrate in the chloranchyma cells along the periphery of the stem.\n\nSome grasses store NSCs in the form of polymers in the storage parenchyma cells, either as starch or as fructans (Fig. 1C) (Morvan-Bertrand et al., 2001; Xue et al., 2008). Grass species that are indigenous to temperate climates and that regularly experience periods of drought and frost typically utilize fructans as a carbohydrate storage pool (Halford et al., 2011). Fructans are synthesized in the vacuolar lumen from imported sucrose (Pollock et al., 2003). Only a few grasses use starch as a primary reserve in thestems (discussed below). Unlike fructans, starch is formed in the plastids/amyloplasts by metabolic events both in the plastid and in the cytosol. Remobilization requires the breakdown of starch in the plastids, then sucrose re- synthesis in the cytosol before export from the cell. For further discussions on starch metabolism, see Zeeman et al. (2010) and Weise et al. (2011).\n\nCarbohydrate partitioning in rice plants is also interesting because plants store carbohydrate reserves as sucrose in the leaves and both starch and sucrose in the stems\u2014a pattern that diverges from many of the grasses (Scofield et al., 2009).\n\nQuantifying NSCs in stems at harvest is one way todetect sink\u2013source imbalances in grain-producing grasses. A recent survey of major domestic cultivars of rice grown under normal agricultural conditions in Japan found that all varieties have significant NSC left in the straw (Park et al., 2011). Other reports indicate that if too much nitrogen is applied to fields, or plants express the staygreen condition longer than is needed for grain fill, stems become saturated with starch (Pan et al., 2011). This starch is then disposed of in the chaff during harvest, which decreases the harvest index. Interestingly, hybrid rice varieties also have reduced harvest index, presumably due to the same phenomenon. These data suggest that rice exhibits more sink than source limitation imposed by constraints in the transport or grain-filling processes. This raises some important questions. Will increasing carbohydrate source strength be enough to increase yield? Does increased and sustained photosynthesis correlate with increased grain fill and harvest index? Carbohydrate partitioning involves not only the production, storage, and utilization of carbohydrates, but is also critically depen- dent on transport. Transport is determined by both the physiology and vascular architecture of the transport system (Dinant and Lemoine, 2010). Rice panicles that produce more spikelets per panicle, so-called \u2018Super Rice\u2019, have problems filling grains produced on the inferior spikelets (Yang and Zhang, 2010b). These plants become more \u2018source limited\u2019 as spikelet density increases, but the grain-filling problem may result from inadequate vascular connections to the inferior spikelet. This results in normal grain filling in the superior spikelet, but reduced in the inferior spikelets, throughout the panicle (Yang et al., 2002). Such morphogenetic constraints in the vascular system can confound investigations into sink\u2013source dynamics (Watson and Casper, 1984) ..... Increasing productivity will most probably require an extensive redesign of the plant, including the physical architecture of the vascular system and buffering capabilities in the stem, not simply the introduction of the C4 photosynthetic syndrome.\n\nIs it possible to optimize the sugar transport streamfurther in order to convert more of the NSCs in the stem into grain mass? As the data highlighted above suggest, there is still much that remains unknown about carbohy- drate partitioning in rice, and how entire life cycle dynamics impact yield. Even though many aspects of carbohydrate partitioning remain elusive, there is potential for improve- ment in the way currently grown cultivars convert carbohy- drate stores into harvested grains.\n\nThe roles and mechanisms of storing and remobilizing stem carbohydrates in wheat have been more intensely studied than in other grain-bearing grasses (Schnyder, 1993; Blum et al., 1994; Wardlaw and Willenbrink, 2000). This is because early researchers discovered a direct correlation between carbohydrate storage in the stems and the ability of the plants to maintain high yield stability under drought or other environmentally deleterious conditions (Bindinger et al., 1977; Asseng and Herwaarden, 2003). Mobilized reserves from the stem tissues can contribute ;20\u201340% of the final grain weight under normal non-stressed growing conditions (Dreccer et al., 2009). \n\nAs breeders and basic scientists raise both source and sink potentials, the physical architecture of the vascular system itself may become the new limiting factor in the carbon economy of the plant (Asli and Houshmandfar, 2011). Buffering the supply with stem carbohydrate reserves may be one way to maximize transport through a constrained vascular route. However, eventually the vascular system itself will have to be altered to accommodate the high rates of transport to the developing florets and grains. More research is needed in this area to identify substantial bottlenecks in transport and grain-filling processes.\n\nPresumably, influx into storage parenchyma cells of thesegrasses is symplasmic, as it is in many tissues that accumulate sugar polymers (Aoki et al., 2004). Stem NSC in wheat, barley, and oat is mostly in the form of fructans stored in the vacuoles of the stem storage parenchyma cells. Other major carbohydrates do not significantly contribute to the NSC reserves, or show little variance between high and low stem NSC lines (Bancal and Tribo\u0131\u00a8, 1993; Ruuska et al., 2006). Starch is present in the stem and leaves of wheat, but has been suggested to function as a source for vegetative growth rather than for mobilization to the grain (Scofield et al., 2009). Fructan synthesis may depend more on sucrose availability, as seen when fructans become rapidly labelled when [14C]sucrose is injected into wheat stems (Hogan and Hendrix, 1986). However, fructan concentrations in wheat are not directly correlated with fructosyltranserase activity (Goggin and Setter, 2004).\n\n\nIn barley, the most promising potential to increaseradiation use efficiency may come from alterations in sink\u2013 source dynamics (Bingham et al., 2007; Newton et al., 2011). Barley appears to be much more sink than source limited. Presumably, the low sink capacity of barley leads to a reduction in photosynthetic productivity due to feedback inhibition.\n\nImproving stress tolerance in wheat by manipulating NSCs in stems has already been put into practice in areas where environmental conditions are suboptimal (Ehdaie et al., 2006). Such is the case in Australia where severe and terminal droughts are common (Bell et al., 2010). Wheat cultivars that have high NSCs in stems show improved floret fertility, grain filling, and yield stability when grown under rain-fed or drought conditions. When these lines are grown under irrigated and non-stress conditions, yields from high stem NSC lines are comparable with those of low NSC lines, suggesting there are no yield penalties associated with high NSCs if the plant does not experience stress (Foulkes et al., 2007).\n\nClosing the yield gap will require drastic exploitation of the sink\u2013source relationship in the grass crops. However, most sink or source components that directly affect yield appear to be negatively correlated with each other (Slafer et al., 1996). The nature of these negative relationships remains unknown. Therefore, new descriptive models are needed that diverge from simple sink- or source-limited systems, to whole-plant entire life cycle systems to understand these relationships fully.\n\nCan larger stem NSC reserves increase radiation use efficiency in the grasses (Reynolds et al., 2011)? It has been suggested that in barley, one of the most promising ways to increase radiation use efficiency is to increase sink strength and storage capacity (Newton et al., 2011), which includes NSC reserves in the stems.", "page" : "4647-70", "title" : "Non-structural carbohydrate partitioning in grass stems: a target to increase yield stability, stress tolerance, and biofuel production.", "type" : "article-journal", "volume" : "63" }, "uris" : [ "http://www.mendeley.com/documents/?uuid=21ab6445-1653-4121-b68f-0126cb60d2ee" ] } ], "mendeley" : { "formattedCitation" : "(Acreche and Slafer, 2009; Peterhansel and Offermann, 2012; Slewinski, 2012)", "plainTextFormattedCitation" : "(Acreche and Slafer, 2009; Peterhansel and Offermann, 2012; Slewinski, 2012)", "previouslyFormattedCitation" : "(Acreche and Slafer, 2009; Peterhansel and Offermann, 2012; Slewinski, 2012)" }, "properties" : { "noteIndex" : 0 }, "schema" : "https://github.com/citation-style-language/schema/raw/master/csl-citation.json" }</w:instrText>
      </w:r>
      <w:r w:rsidR="004345BC">
        <w:rPr>
          <w:rFonts w:ascii="Cambria" w:hAnsi="Cambria"/>
        </w:rPr>
        <w:fldChar w:fldCharType="separate"/>
      </w:r>
      <w:r w:rsidR="004345BC" w:rsidRPr="004345BC">
        <w:rPr>
          <w:rFonts w:ascii="Cambria" w:hAnsi="Cambria"/>
          <w:noProof/>
        </w:rPr>
        <w:t>(Acreche and Slafer, 2009; Peterhansel and Offermann, 2012; Slewinski, 2012)</w:t>
      </w:r>
      <w:r w:rsidR="004345BC">
        <w:rPr>
          <w:rFonts w:ascii="Cambria" w:hAnsi="Cambria"/>
        </w:rPr>
        <w:fldChar w:fldCharType="end"/>
      </w:r>
      <w:r w:rsidR="00C05B54">
        <w:rPr>
          <w:rFonts w:ascii="Cambria" w:hAnsi="Cambria"/>
        </w:rPr>
        <w:t>.</w:t>
      </w:r>
    </w:p>
    <w:p w14:paraId="6A141E87" w14:textId="77777777" w:rsidR="00C05B54" w:rsidRDefault="00C05B54" w:rsidP="00DF4522">
      <w:pPr>
        <w:spacing w:line="360" w:lineRule="auto"/>
        <w:jc w:val="both"/>
        <w:rPr>
          <w:rFonts w:ascii="Cambria" w:hAnsi="Cambria"/>
        </w:rPr>
      </w:pPr>
    </w:p>
    <w:p w14:paraId="39A881B4" w14:textId="77777777" w:rsidR="00E90DA6" w:rsidRDefault="00C05B54" w:rsidP="00DF4522">
      <w:pPr>
        <w:spacing w:line="360" w:lineRule="auto"/>
        <w:jc w:val="both"/>
        <w:rPr>
          <w:rFonts w:ascii="Cambria" w:hAnsi="Cambria"/>
        </w:rPr>
      </w:pPr>
      <w:r>
        <w:rPr>
          <w:rFonts w:ascii="Cambria" w:hAnsi="Cambria"/>
        </w:rPr>
        <w:t>Increasing carbon source activity is a major target for many breeding efforts</w:t>
      </w:r>
      <w:r w:rsidR="00B44FB5">
        <w:rPr>
          <w:rFonts w:ascii="Cambria" w:hAnsi="Cambria"/>
        </w:rPr>
        <w:t xml:space="preserve"> </w:t>
      </w:r>
      <w:r w:rsidR="00B44FB5">
        <w:rPr>
          <w:rFonts w:ascii="Cambria" w:hAnsi="Cambria"/>
        </w:rPr>
        <w:fldChar w:fldCharType="begin" w:fldLock="1"/>
      </w:r>
      <w:r w:rsidR="00E43572">
        <w:rPr>
          <w:rFonts w:ascii="Cambria" w:hAnsi="Cambria"/>
        </w:rPr>
        <w:instrText>ADDIN CSL_CITATION { "citationItems" : [ { "id" : "ITEM-1", "itemData" : { "DOI" : "10.1098/rspb.2015.2578", "ISSN" : "1471-2954", "PMID" : "26962136", "abstract" : "Global climate change is likely to severely impact human food production. This comes at a time when predicted demand for primary foodstuffs by a growing human population and changing global diets is already outpacing a stagnating annual rate of increase in crop productivity. Additionally, the time required by crop breeding and bioengineering to release improved varieties to farmers is substantial, meaning that any crop improvements needed to mitigate food shortages in the 2040s would need to start now. In this perspective, the rationale for improvements in photosynthetic efficiency as a breeding objective for higher yields is outlined. Subsequently, using simple simulation models it is shown how predicted changes in temperature and atmospheric [CO2] affect leaf photosynthetic rates. The chloroplast accounts for the majority of leaf nitrogen in crops. Within the chloroplast about 25% of nitrogen is invested in the carboxylase, Rubisco, which catalyses the first step of CO2 assimilation. Most of the remaining nitrogen is invested in the apparatus to drive carbohydrate synthesis and regenerate ribulose-1:5-bisphosphate (RuBP), the CO2-acceptor molecule at Rubisco. At preindustrial [CO2], investment in these two aspects may have been balanced resulting in co-limitation. At today's [CO2], there appears to be over-investment in Rubisco, and despite the counter-active effects of rising temperature and [CO2], this imbalance is predicted to worsen with global climate change. By breeding or engineering restored optimality under future conditions increased productivity could be achieved in both tropical and temperate environments without additional nitrogen fertilizer. Given the magnitude of the potential shortfall, better storage conditions, improved crop management and better crop varieties will all be needed. With the short time-scale at which food demand is expected to outpace supplies, all available technologies to improve crop varieties, from classical crop breeding to crop genetic engineering should be employed. This will require vastly increased public and private investment to support translation of first discovery in laboratories to replicated field trials, and an urgent re-evaluation of regulation of crop genetic engineering.", "author" : [ { "dropping-particle" : "", "family" : "Kromdijk", "given" : "Johannes", "non-dropping-particle" : "", "parse-names" : false, "suffix" : "" }, { "dropping-particle" : "", "family" : "Long", "given" : "Stephen P", "non-dropping-particle" : "", "parse-names" : false, "suffix" : "" } ], "container-title" : "Proceedings. Biological sciences / The Royal Society", "id" : "ITEM-1", "issue" : "1826", "issued" : { "date-parts" : [ [ "2016" ] ] }, "page" : "20152578-", "title" : "One crop breeding cycle from starvation? How engineering crop photosynthesis for rising CO2 and temperature could be one important route to alleviation.", "type" : "article-journal", "volume" : "283" }, "uris" : [ "http://www.mendeley.com/documents/?uuid=99ac64d0-987f-4588-9639-6ba8768bcfa5" ] } ], "mendeley" : { "formattedCitation" : "(Kromdijk and Long, 2016)", "plainTextFormattedCitation" : "(Kromdijk and Long, 2016)", "previouslyFormattedCitation" : "(Kromdijk and Long, 2016)" }, "properties" : { "noteIndex" : 0 }, "schema" : "https://github.com/citation-style-language/schema/raw/master/csl-citation.json" }</w:instrText>
      </w:r>
      <w:r w:rsidR="00B44FB5">
        <w:rPr>
          <w:rFonts w:ascii="Cambria" w:hAnsi="Cambria"/>
        </w:rPr>
        <w:fldChar w:fldCharType="separate"/>
      </w:r>
      <w:r w:rsidR="00B44FB5" w:rsidRPr="00B44FB5">
        <w:rPr>
          <w:rFonts w:ascii="Cambria" w:hAnsi="Cambria"/>
          <w:noProof/>
        </w:rPr>
        <w:t>(Kromdijk and Long, 2016)</w:t>
      </w:r>
      <w:r w:rsidR="00B44FB5">
        <w:rPr>
          <w:rFonts w:ascii="Cambria" w:hAnsi="Cambria"/>
        </w:rPr>
        <w:fldChar w:fldCharType="end"/>
      </w:r>
      <w:r>
        <w:rPr>
          <w:rFonts w:ascii="Cambria" w:hAnsi="Cambria"/>
        </w:rPr>
        <w:t xml:space="preserve">, and transgenic work reveals increased biomass and yield when source capacity is increased, for example by regulating the amount or activity of </w:t>
      </w:r>
      <w:r w:rsidR="00B44FB5">
        <w:rPr>
          <w:rFonts w:ascii="Cambria" w:hAnsi="Cambria"/>
        </w:rPr>
        <w:t xml:space="preserve">the Calvin cycle enzyme </w:t>
      </w:r>
      <w:proofErr w:type="spellStart"/>
      <w:r w:rsidR="00B44FB5">
        <w:rPr>
          <w:rFonts w:ascii="Cambria" w:hAnsi="Cambria"/>
        </w:rPr>
        <w:t>SBPase</w:t>
      </w:r>
      <w:proofErr w:type="spellEnd"/>
      <w:r w:rsidR="00D420FE">
        <w:rPr>
          <w:rFonts w:ascii="Cambria" w:hAnsi="Cambria"/>
        </w:rPr>
        <w:t xml:space="preserve"> </w:t>
      </w:r>
      <w:r w:rsidR="00D420FE">
        <w:rPr>
          <w:rFonts w:ascii="Cambria" w:hAnsi="Cambria"/>
        </w:rPr>
        <w:fldChar w:fldCharType="begin" w:fldLock="1"/>
      </w:r>
      <w:r w:rsidR="00B44FB5">
        <w:rPr>
          <w:rFonts w:ascii="Cambria" w:hAnsi="Cambria"/>
        </w:rPr>
        <w:instrText>ADDIN CSL_CITATION { "citationItems" : [ { "id" : "ITEM-1", "itemData" : { "DOI" : "10.1186/1471-2229-11-123", "ISBN" : "1471-2229", "ISSN" : "1471-2229", "PMID" : "21884586", "abstract" : "BACKGROUND: Biochemical models predict that photosynthesis in C(3) plants is most frequently limited by the slower of two processes, the maximum capacity of the enzyme Rubisco to carboxylate RuBP (V(c,max)), or the regeneration of RuBP via electron transport (J). At current atmospheric [CO(2)] levels Rubisco is not saturated; consequently, elevating [CO(2)] increases the velocity of carboxylation and inhibits the competing oxygenation reaction which is also catalyzed by Rubisco. In the future, leaf photosynthesis (A) should be increasingly limited by RuBP regeneration, as [CO(2)] is predicted to exceed 550 ppm by 2050. The C(3) cycle enzyme sedoheptulose-1,7 bisphosphatase (SBPase, EC 3.1.3.17) has been shown to exert strong metabolic control over RuBP regeneration at light saturation.\\n\\nRESULTS: We tested the hypothesis that tobacco transformed to overexpressing SBPase will exhibit greater stimulation of A than wild type (WT) tobacco when grown under field conditions at elevated [CO(2)] (585 ppm) under fully open air fumigation. Growth under elevated [CO(2)] stimulated instantaneous A and the diurnal photosynthetic integral (A') more in transformants than WT. There was evidence of photosynthetic acclimation to elevated [CO(2)] via downregulation of V(c,max) in both WT and transformants. Nevertheless, greater carbon assimilation and electron transport rates (J and J(max)) for transformants led to greater yield increases than WT at elevated [CO(2)] compared to ambient grown plants.\\n\\nCONCLUSION: These results provide proof of concept that increasing content and activity of a single photosynthesis enzyme can enhance carbon assimilation and yield of C(3) crops grown at [CO(2)] expected by the middle of the 21st century.", "author" : [ { "dropping-particle" : "", "family" : "Rosenthal", "given" : "David M", "non-dropping-particle" : "", "parse-names" : false, "suffix" : "" }, { "dropping-particle" : "", "family" : "Locke", "given" : "Anna M", "non-dropping-particle" : "", "parse-names" : false, "suffix" : "" }, { "dropping-particle" : "", "family" : "Khozaei", "given" : "Mahdi", "non-dropping-particle" : "", "parse-names" : false, "suffix" : "" }, { "dropping-particle" : "", "family" : "Raines", "given" : "Christine A", "non-dropping-particle" : "", "parse-names" : false, "suffix" : "" }, { "dropping-particle" : "", "family" : "Long", "given" : "Stephen P", "non-dropping-particle" : "", "parse-names" : false, "suffix" : "" }, { "dropping-particle" : "", "family" : "Ort", "given" : "Donald R", "non-dropping-particle" : "", "parse-names" : false, "suffix" : "" } ], "container-title" : "BMC plant biology", "id" : "ITEM-1", "issue" : "1", "issued" : { "date-parts" : [ [ "2011" ] ] }, "page" : "123", "title" : "Over-expressing the C3 photosynthesis cycle enzyme Sedoheptulose-1-7 Bisphosphatase improves photosynthetic carbon gain and yield under fully open air CO2 fumigation (FACE).", "type" : "article-journal", "volume" : "11" }, "uris" : [ "http://www.mendeley.com/documents/?uuid=6860b6cb-a353-4ea9-8896-b3a8d6402a15" ] } ], "mendeley" : { "formattedCitation" : "(Rosenthal &lt;i&gt;et al.&lt;/i&gt;, 2011)", "plainTextFormattedCitation" : "(Rosenthal et al., 2011)", "previouslyFormattedCitation" : "(Rosenthal &lt;i&gt;et al.&lt;/i&gt;, 2011)" }, "properties" : { "noteIndex" : 0 }, "schema" : "https://github.com/citation-style-language/schema/raw/master/csl-citation.json" }</w:instrText>
      </w:r>
      <w:r w:rsidR="00D420FE">
        <w:rPr>
          <w:rFonts w:ascii="Cambria" w:hAnsi="Cambria"/>
        </w:rPr>
        <w:fldChar w:fldCharType="separate"/>
      </w:r>
      <w:r w:rsidR="00D420FE" w:rsidRPr="00D420FE">
        <w:rPr>
          <w:rFonts w:ascii="Cambria" w:hAnsi="Cambria"/>
          <w:noProof/>
        </w:rPr>
        <w:t xml:space="preserve">(Rosenthal </w:t>
      </w:r>
      <w:r w:rsidR="00D420FE" w:rsidRPr="00D420FE">
        <w:rPr>
          <w:rFonts w:ascii="Cambria" w:hAnsi="Cambria"/>
          <w:i/>
          <w:noProof/>
        </w:rPr>
        <w:t>et al.</w:t>
      </w:r>
      <w:r w:rsidR="00D420FE" w:rsidRPr="00D420FE">
        <w:rPr>
          <w:rFonts w:ascii="Cambria" w:hAnsi="Cambria"/>
          <w:noProof/>
        </w:rPr>
        <w:t>, 2011)</w:t>
      </w:r>
      <w:r w:rsidR="00D420FE">
        <w:rPr>
          <w:rFonts w:ascii="Cambria" w:hAnsi="Cambria"/>
        </w:rPr>
        <w:fldChar w:fldCharType="end"/>
      </w:r>
      <w:r w:rsidR="00B44FB5">
        <w:rPr>
          <w:rFonts w:ascii="Cambria" w:hAnsi="Cambria"/>
        </w:rPr>
        <w:t>.</w:t>
      </w:r>
      <w:r>
        <w:rPr>
          <w:rFonts w:ascii="Cambria" w:hAnsi="Cambria"/>
        </w:rPr>
        <w:t xml:space="preserve">  Since future climates will have elevated levels of CO</w:t>
      </w:r>
      <w:r w:rsidRPr="00C05B54">
        <w:rPr>
          <w:rFonts w:ascii="Cambria" w:hAnsi="Cambria"/>
          <w:vertAlign w:val="subscript"/>
        </w:rPr>
        <w:t>2</w:t>
      </w:r>
      <w:r>
        <w:rPr>
          <w:rFonts w:ascii="Cambria" w:hAnsi="Cambria"/>
        </w:rPr>
        <w:t xml:space="preserve"> compared to those currently experienced by plants, enhancing the carbon source capacity will be an important facet of increasing the yield of crops, and barley is no exception.  However, the fact that yield responses to elevated CO</w:t>
      </w:r>
      <w:r w:rsidRPr="00C05B54">
        <w:rPr>
          <w:rFonts w:ascii="Cambria" w:hAnsi="Cambria"/>
          <w:vertAlign w:val="subscript"/>
        </w:rPr>
        <w:t>2</w:t>
      </w:r>
      <w:r>
        <w:rPr>
          <w:rFonts w:ascii="Cambria" w:hAnsi="Cambria"/>
        </w:rPr>
        <w:t xml:space="preserve"> </w:t>
      </w:r>
      <w:r w:rsidR="00B44FB5">
        <w:rPr>
          <w:rFonts w:ascii="Cambria" w:hAnsi="Cambria"/>
        </w:rPr>
        <w:t xml:space="preserve">often </w:t>
      </w:r>
      <w:r>
        <w:rPr>
          <w:rFonts w:ascii="Cambria" w:hAnsi="Cambria"/>
        </w:rPr>
        <w:t>fall short of those predicted</w:t>
      </w:r>
      <w:r w:rsidR="00B44FB5">
        <w:rPr>
          <w:rFonts w:ascii="Cambria" w:hAnsi="Cambria"/>
        </w:rPr>
        <w:t xml:space="preserve"> </w:t>
      </w:r>
      <w:r w:rsidR="00B44FB5">
        <w:rPr>
          <w:rFonts w:ascii="Cambria" w:hAnsi="Cambria"/>
        </w:rPr>
        <w:fldChar w:fldCharType="begin" w:fldLock="1"/>
      </w:r>
      <w:r w:rsidR="00B44FB5">
        <w:rPr>
          <w:rFonts w:ascii="Cambria" w:hAnsi="Cambria"/>
        </w:rPr>
        <w:instrText>ADDIN CSL_CITATION { "citationItems" : [ { "id" : "ITEM-1", "itemData" : { "DOI" : "10.1126/science.1114722", "ISSN" : "1095-9203", "PMID" : "16809532", "abstract" : "Model projections suggest that although increased temperature and decreased soil moisture will act to reduce global crop yields by 2050, the direct fertilization effect of rising carbon dioxide concentration ([CO2]) will offset these losses. The CO2 fertilization factors used in models to project future yields were derived from enclosure studies conducted approximately 20 years ago. Free-air concentration enrichment (FACE) technology has now facilitated large-scale trials of the major grain crops at elevated [CO2] under fully open-air field conditions. In those trials, elevated [CO2] enhanced yield by approximately 50% less than in enclosure studies. This casts serious doubt on projections that rising [CO2] will fully offset losses due to climate change.", "author" : [ { "dropping-particle" : "", "family" : "Long", "given" : "Stephen P", "non-dropping-particle" : "", "parse-names" : false, "suffix" : "" }, { "dropping-particle" : "", "family" : "Ainsworth", "given" : "Elizabeth A", "non-dropping-particle" : "", "parse-names" : false, "suffix" : "" }, { "dropping-particle" : "", "family" : "Leakey", "given" : "Andrew D B", "non-dropping-particle" : "", "parse-names" : false, "suffix" : "" }, { "dropping-particle" : "", "family" : "N\u00f6sberger", "given" : "Josef", "non-dropping-particle" : "", "parse-names" : false, "suffix" : "" }, { "dropping-particle" : "", "family" : "Ort", "given" : "Donald R", "non-dropping-particle" : "", "parse-names" : false, "suffix" : "" } ], "container-title" : "Science", "id" : "ITEM-1", "issue" : "5782", "issued" : { "date-parts" : [ [ "2006", "6", "30" ] ] }, "page" : "1918-21", "title" : "Food for thought: lower-than-expected crop yield stimulation with rising CO2 concentrations.", "type" : "article-journal", "volume" : "312" }, "uris" : [ "http://www.mendeley.com/documents/?uuid=fce954b0-4240-4dd5-b2bd-ba2f991b3a7b" ] }, { "id" : "ITEM-2", "itemData" : { "DOI" : "10.1111/j.1469-8137.2008.02470.x", "ISSN" : "1469-8137", "PMID" : "18557872", "author" : [ { "dropping-particle" : "", "family" : "Ainsworth", "given" : "Elizabeth A.", "non-dropping-particle" : "", "parse-names" : false, "suffix" : "" }, { "dropping-particle" : "", "family" : "Leakey", "given" : "Andrew D. B.", "non-dropping-particle" : "", "parse-names" : false, "suffix" : "" }, { "dropping-particle" : "", "family" : "Ort", "given" : "Donald R.", "non-dropping-particle" : "", "parse-names" : false, "suffix" : "" }, { "dropping-particle" : "", "family" : "Long", "given" : "Stephen P.", "non-dropping-particle" : "", "parse-names" : false, "suffix" : "" } ], "container-title" : "New Phytologist", "id" : "ITEM-2", "issue" : "1", "issued" : { "date-parts" : [ [ "2008", "1" ] ] }, "page" : "5-9", "title" : "FACE-ing the facts: inconsistencies and interdependence among field, chamber and modeling studies of elevated [CO2] impacts on crop yield and food supply", "type" : "article-journal", "volume" : "179" }, "uris" : [ "http://www.mendeley.com/documents/?uuid=2ecf71f0-7473-4042-bd60-1be2335079dd" ] }, { "id" : "ITEM-3", "itemData" : { "DOI" : "10.1093/jxb/erp096", "ISSN" : "1460-2431", "PMID" : "19401412", "abstract" : "Plant responses to the projected future levels of CO(2) were first characterized in short-term experiments lasting days to weeks. However, longer term acclimation responses to elevated CO(2) were subsequently discovered to be very important in determining plant and ecosystem function. Free-Air CO(2) Enrichment (FACE) experiments are the culmination of efforts to assess the impact of elevated CO(2) on plants over multiple seasons and, in the case of crops, over their entire lifetime. FACE has been used to expose vegetation to elevated concentrations of atmospheric CO(2) under completely open-air conditions for nearly two decades. This review describes some of the lessons learned from the long-term investment in these experiments. First, elevated CO(2) stimulates photosynthetic carbon gain and net primary production over the long term despite down-regulation of Rubisco activity. Second, elevated CO(2) improves nitrogen use efficiency and, third, decreases water use at both the leaf and canopy scale. Fourth, elevated CO(2) stimulates dark respiration via a transcriptional reprogramming of metabolism. Fifth, elevated CO(2) does not directly stimulate C(4) photosynthesis, but can indirectly stimulate carbon gain in times and places of drought. Finally, the stimulation of yield by elevated CO(2) in crop species is much smaller than expected. While many of these lessons have been most clearly demonstrated in crop systems, all of the lessons have important implications for natural systems.", "author" : [ { "dropping-particle" : "", "family" : "Leakey", "given" : "Andrew D B", "non-dropping-particle" : "", "parse-names" : false, "suffix" : "" }, { "dropping-particle" : "", "family" : "Ainsworth", "given" : "Elizabeth A", "non-dropping-particle" : "", "parse-names" : false, "suffix" : "" }, { "dropping-particle" : "", "family" : "Bernacchi", "given" : "Carl J", "non-dropping-particle" : "", "parse-names" : false, "suffix" : "" }, { "dropping-particle" : "", "family" : "Rogers", "given" : "Alistair", "non-dropping-particle" : "", "parse-names" : false, "suffix" : "" }, { "dropping-particle" : "", "family" : "Long", "given" : "Stephen P", "non-dropping-particle" : "", "parse-names" : false, "suffix" : "" }, { "dropping-particle" : "", "family" : "Ort", "given" : "Donald R", "non-dropping-particle" : "", "parse-names" : false, "suffix" : "" } ], "container-title" : "Journal of Experimental Botany", "id" : "ITEM-3", "issue" : "10", "issued" : { "date-parts" : [ [ "2009", "1" ] ] }, "page" : "2859-76", "title" : "Elevated CO2 effects on plant carbon, nitrogen, and water relations: six important lessons from FACE.", "type" : "article-journal", "volume" : "60" }, "uris" : [ "http://www.mendeley.com/documents/?uuid=dc3f8de3-43ba-4bf8-9cab-0496484e7348" ] } ], "mendeley" : { "formattedCitation" : "(Long &lt;i&gt;et al.&lt;/i&gt;, 2006&lt;i&gt;a&lt;/i&gt;; Ainsworth &lt;i&gt;et al.&lt;/i&gt;, 2008&lt;i&gt;a&lt;/i&gt;; Leakey &lt;i&gt;et al.&lt;/i&gt;, 2009)", "plainTextFormattedCitation" : "(Long et al., 2006a; Ainsworth et al., 2008a; Leakey et al., 2009)", "previouslyFormattedCitation" : "(Long &lt;i&gt;et al.&lt;/i&gt;, 2006&lt;i&gt;a&lt;/i&gt;; Ainsworth &lt;i&gt;et al.&lt;/i&gt;, 2008&lt;i&gt;a&lt;/i&gt;; Leakey &lt;i&gt;et al.&lt;/i&gt;, 2009)" }, "properties" : { "noteIndex" : 0 }, "schema" : "https://github.com/citation-style-language/schema/raw/master/csl-citation.json" }</w:instrText>
      </w:r>
      <w:r w:rsidR="00B44FB5">
        <w:rPr>
          <w:rFonts w:ascii="Cambria" w:hAnsi="Cambria"/>
        </w:rPr>
        <w:fldChar w:fldCharType="separate"/>
      </w:r>
      <w:r w:rsidR="00B44FB5" w:rsidRPr="00B44FB5">
        <w:rPr>
          <w:rFonts w:ascii="Cambria" w:hAnsi="Cambria"/>
          <w:noProof/>
        </w:rPr>
        <w:t xml:space="preserve">(Long </w:t>
      </w:r>
      <w:r w:rsidR="00B44FB5" w:rsidRPr="00B44FB5">
        <w:rPr>
          <w:rFonts w:ascii="Cambria" w:hAnsi="Cambria"/>
          <w:i/>
          <w:noProof/>
        </w:rPr>
        <w:t>et al.</w:t>
      </w:r>
      <w:r w:rsidR="00B44FB5" w:rsidRPr="00B44FB5">
        <w:rPr>
          <w:rFonts w:ascii="Cambria" w:hAnsi="Cambria"/>
          <w:noProof/>
        </w:rPr>
        <w:t>, 2006</w:t>
      </w:r>
      <w:r w:rsidR="00B44FB5" w:rsidRPr="00B44FB5">
        <w:rPr>
          <w:rFonts w:ascii="Cambria" w:hAnsi="Cambria"/>
          <w:i/>
          <w:noProof/>
        </w:rPr>
        <w:t>a</w:t>
      </w:r>
      <w:r w:rsidR="00B44FB5" w:rsidRPr="00B44FB5">
        <w:rPr>
          <w:rFonts w:ascii="Cambria" w:hAnsi="Cambria"/>
          <w:noProof/>
        </w:rPr>
        <w:t xml:space="preserve">; Ainsworth </w:t>
      </w:r>
      <w:r w:rsidR="00B44FB5" w:rsidRPr="00B44FB5">
        <w:rPr>
          <w:rFonts w:ascii="Cambria" w:hAnsi="Cambria"/>
          <w:i/>
          <w:noProof/>
        </w:rPr>
        <w:t>et al.</w:t>
      </w:r>
      <w:r w:rsidR="00B44FB5" w:rsidRPr="00B44FB5">
        <w:rPr>
          <w:rFonts w:ascii="Cambria" w:hAnsi="Cambria"/>
          <w:noProof/>
        </w:rPr>
        <w:t>, 2008</w:t>
      </w:r>
      <w:r w:rsidR="00B44FB5" w:rsidRPr="00B44FB5">
        <w:rPr>
          <w:rFonts w:ascii="Cambria" w:hAnsi="Cambria"/>
          <w:i/>
          <w:noProof/>
        </w:rPr>
        <w:t>a</w:t>
      </w:r>
      <w:r w:rsidR="00B44FB5" w:rsidRPr="00B44FB5">
        <w:rPr>
          <w:rFonts w:ascii="Cambria" w:hAnsi="Cambria"/>
          <w:noProof/>
        </w:rPr>
        <w:t xml:space="preserve">; Leakey </w:t>
      </w:r>
      <w:r w:rsidR="00B44FB5" w:rsidRPr="00B44FB5">
        <w:rPr>
          <w:rFonts w:ascii="Cambria" w:hAnsi="Cambria"/>
          <w:i/>
          <w:noProof/>
        </w:rPr>
        <w:t>et al.</w:t>
      </w:r>
      <w:r w:rsidR="00B44FB5" w:rsidRPr="00B44FB5">
        <w:rPr>
          <w:rFonts w:ascii="Cambria" w:hAnsi="Cambria"/>
          <w:noProof/>
        </w:rPr>
        <w:t>, 2009)</w:t>
      </w:r>
      <w:r w:rsidR="00B44FB5">
        <w:rPr>
          <w:rFonts w:ascii="Cambria" w:hAnsi="Cambria"/>
        </w:rPr>
        <w:fldChar w:fldCharType="end"/>
      </w:r>
      <w:r w:rsidR="00B44FB5">
        <w:rPr>
          <w:rFonts w:ascii="Cambria" w:hAnsi="Cambria"/>
        </w:rPr>
        <w:t xml:space="preserve">, </w:t>
      </w:r>
      <w:r>
        <w:rPr>
          <w:rFonts w:ascii="Cambria" w:hAnsi="Cambria"/>
        </w:rPr>
        <w:t>coupled with the evidence for carbon sink limitation in annual barley seen here (Chapter 4), suggests that increasing sink capacity alongside source capacity will be vital for increasing yield in this species.</w:t>
      </w:r>
      <w:r w:rsidR="00272C64">
        <w:rPr>
          <w:rFonts w:ascii="Cambria" w:hAnsi="Cambria"/>
        </w:rPr>
        <w:t xml:space="preserve">   </w:t>
      </w:r>
    </w:p>
    <w:p w14:paraId="4D63D95D" w14:textId="77777777" w:rsidR="00E90DA6" w:rsidRDefault="00E90DA6" w:rsidP="00DF4522">
      <w:pPr>
        <w:spacing w:line="360" w:lineRule="auto"/>
        <w:jc w:val="both"/>
        <w:rPr>
          <w:rFonts w:ascii="Cambria" w:hAnsi="Cambria"/>
        </w:rPr>
      </w:pPr>
    </w:p>
    <w:p w14:paraId="7631D7B0" w14:textId="26EFD736" w:rsidR="00272C64" w:rsidRPr="00272C64" w:rsidRDefault="00272C64" w:rsidP="00DF4522">
      <w:pPr>
        <w:spacing w:line="360" w:lineRule="auto"/>
        <w:jc w:val="both"/>
        <w:rPr>
          <w:rFonts w:ascii="Cambria" w:hAnsi="Cambria"/>
        </w:rPr>
      </w:pPr>
      <w:r>
        <w:rPr>
          <w:rFonts w:ascii="Cambria" w:hAnsi="Cambria"/>
        </w:rPr>
        <w:t xml:space="preserve">Increasing source or sink capacity in isolation does not always stimulate the expected increases in yield under field conditions </w:t>
      </w:r>
      <w:r>
        <w:rPr>
          <w:rFonts w:ascii="Cambria" w:hAnsi="Cambria"/>
        </w:rPr>
        <w:fldChar w:fldCharType="begin" w:fldLock="1"/>
      </w:r>
      <w:r w:rsidR="00906E41">
        <w:rPr>
          <w:rFonts w:ascii="Cambria" w:hAnsi="Cambria"/>
        </w:rPr>
        <w:instrText>ADDIN CSL_CITATION { "citationItems" : [ { "id" : "ITEM-1", "itemData" : { "DOI" : "10.1126/science.1114722", "ISSN" : "1095-9203", "PMID" : "16809532", "abstract" : "Model projections suggest that although increased temperature and decreased soil moisture will act to reduce global crop yields by 2050, the direct fertilization effect of rising carbon dioxide concentration ([CO2]) will offset these losses. The CO2 fertilization factors used in models to project future yields were derived from enclosure studies conducted approximately 20 years ago. Free-air concentration enrichment (FACE) technology has now facilitated large-scale trials of the major grain crops at elevated [CO2] under fully open-air field conditions. In those trials, elevated [CO2] enhanced yield by approximately 50% less than in enclosure studies. This casts serious doubt on projections that rising [CO2] will fully offset losses due to climate change.", "author" : [ { "dropping-particle" : "", "family" : "Long", "given" : "Stephen P", "non-dropping-particle" : "", "parse-names" : false, "suffix" : "" }, { "dropping-particle" : "", "family" : "Ainsworth", "given" : "Elizabeth A", "non-dropping-particle" : "", "parse-names" : false, "suffix" : "" }, { "dropping-particle" : "", "family" : "Leakey", "given" : "Andrew D B", "non-dropping-particle" : "", "parse-names" : false, "suffix" : "" }, { "dropping-particle" : "", "family" : "N\u00f6sberger", "given" : "Josef", "non-dropping-particle" : "", "parse-names" : false, "suffix" : "" }, { "dropping-particle" : "", "family" : "Ort", "given" : "Donald R", "non-dropping-particle" : "", "parse-names" : false, "suffix" : "" } ], "container-title" : "Science", "id" : "ITEM-1", "issue" : "5782", "issued" : { "date-parts" : [ [ "2006", "6", "30" ] ] }, "page" : "1918-21", "title" : "Food for thought: lower-than-expected crop yield stimulation with rising CO2 concentrations.", "type" : "article-journal", "volume" : "312" }, "uris" : [ "http://www.mendeley.com/documents/?uuid=fce954b0-4240-4dd5-b2bd-ba2f991b3a7b" ] }, { "id" : "ITEM-2", "itemData" : { "DOI" : "10.1093/jxb/erp096", "ISSN" : "1460-2431", "PMID" : "19401412", "abstract" : "Plant responses to the projected future levels of CO(2) were first characterized in short-term experiments lasting days to weeks. However, longer term acclimation responses to elevated CO(2) were subsequently discovered to be very important in determining plant and ecosystem function. Free-Air CO(2) Enrichment (FACE) experiments are the culmination of efforts to assess the impact of elevated CO(2) on plants over multiple seasons and, in the case of crops, over their entire lifetime. FACE has been used to expose vegetation to elevated concentrations of atmospheric CO(2) under completely open-air conditions for nearly two decades. This review describes some of the lessons learned from the long-term investment in these experiments. First, elevated CO(2) stimulates photosynthetic carbon gain and net primary production over the long term despite down-regulation of Rubisco activity. Second, elevated CO(2) improves nitrogen use efficiency and, third, decreases water use at both the leaf and canopy scale. Fourth, elevated CO(2) stimulates dark respiration via a transcriptional reprogramming of metabolism. Fifth, elevated CO(2) does not directly stimulate C(4) photosynthesis, but can indirectly stimulate carbon gain in times and places of drought. Finally, the stimulation of yield by elevated CO(2) in crop species is much smaller than expected. While many of these lessons have been most clearly demonstrated in crop systems, all of the lessons have important implications for natural systems.", "author" : [ { "dropping-particle" : "", "family" : "Leakey", "given" : "Andrew D B", "non-dropping-particle" : "", "parse-names" : false, "suffix" : "" }, { "dropping-particle" : "", "family" : "Ainsworth", "given" : "Elizabeth A", "non-dropping-particle" : "", "parse-names" : false, "suffix" : "" }, { "dropping-particle" : "", "family" : "Bernacchi", "given" : "Carl J", "non-dropping-particle" : "", "parse-names" : false, "suffix" : "" }, { "dropping-particle" : "", "family" : "Rogers", "given" : "Alistair", "non-dropping-particle" : "", "parse-names" : false, "suffix" : "" }, { "dropping-particle" : "", "family" : "Long", "given" : "Stephen P", "non-dropping-particle" : "", "parse-names" : false, "suffix" : "" }, { "dropping-particle" : "", "family" : "Ort", "given" : "Donald R", "non-dropping-particle" : "", "parse-names" : false, "suffix" : "" } ], "container-title" : "Journal of Experimental Botany", "id" : "ITEM-2", "issue" : "10", "issued" : { "date-parts" : [ [ "2009", "1" ] ] }, "page" : "2859-76", "title" : "Elevated CO2 effects on plant carbon, nitrogen, and water relations: six important lessons from FACE.", "type" : "article-journal", "volume" : "60" }, "uris" : [ "http://www.mendeley.com/documents/?uuid=dc3f8de3-43ba-4bf8-9cab-0496484e7348" ] }, { "id" : "ITEM-3", "itemData" : { "DOI" : "10.1111/j.1469-8137.2008.02470.x", "ISSN" : "1469-8137", "PMID" : "18557872", "author" : [ { "dropping-particle" : "", "family" : "Ainsworth", "given" : "Elizabeth A.", "non-dropping-particle" : "", "parse-names" : false, "suffix" : "" }, { "dropping-particle" : "", "family" : "Leakey", "given" : "Andrew D. B.", "non-dropping-particle" : "", "parse-names" : false, "suffix" : "" }, { "dropping-particle" : "", "family" : "Ort", "given" : "Donald R.", "non-dropping-particle" : "", "parse-names" : false, "suffix" : "" }, { "dropping-particle" : "", "family" : "Long", "given" : "Stephen P.", "non-dropping-particle" : "", "parse-names" : false, "suffix" : "" } ], "container-title" : "New Phytologist", "id" : "ITEM-3", "issue" : "1", "issued" : { "date-parts" : [ [ "2008", "1" ] ] }, "page" : "5-9", "title" : "FACE-ing the facts: inconsistencies and interdependence among field, chamber and modeling studies of elevated [CO2] impacts on crop yield and food supply", "type" : "article-journal", "volume" : "179" }, "uris" : [ "http://www.mendeley.com/documents/?uuid=2ecf71f0-7473-4042-bd60-1be2335079dd" ] }, { "id" : "ITEM-4", "itemData" : { "DOI" : "10.1104/pp.109.150854", "ISSN" : "1532-2548", "PMID" : "20018590", "abstract" : "Increasing grain sink strength by improving assimilate uptake capacity could be a promising approach toward getting higher yield. The barley (Hordeum vulgare) sucrose transporter HvSUT1 (SUT) was expressed under control of the endosperm-specific Hordein B1 promoter (HO). Compared with the wild type, transgenic HOSUT grains take up more sucrose (Suc) in vitro, showing that the transgene is functional. Grain Suc levels are not altered, indicating that Suc fluxes are influenced rather than steady-state levels. HOSUT grains have increased percentages of total nitrogen and prolamins, which is reflected in increased levels of phenylalanine, tyrosine, tryptophan, isoleucine, and leucine at late grain development. Transcript profiling indicates specific stimulation of prolamin gene expression at the onset of storage phase. Changes in gene expression and metabolite levels related to carbon metabolism and amino acid biosynthesis suggest deregulated carbon-nitrogen balance, which together indicate carbon sufficiency and relative depletion of nitrogen. Genes, deregulated together with prolamin genes, might represent candidates, which respond positively to assimilate supply and are related to sugar-starch metabolism, cytokinin and brassinosteroid functions, cell proliferation, and sugar/abscisic acid signaling. Genes showing inverse expression patterns represent potential negative regulators. It is concluded that HvSUT1 overexpression increases grain protein content but also deregulates the metabolic status of wheat (Triticum aestivum) grains, accompanied by up-regulated gene expression of positive and negative regulators related to sugar signaling and assimilate supply. In HOSUT grains, alternating stimulation of positive and negative regulators causes oscillatory patterns of gene expression and highlights the capacity and great flexibility to adjust wheat grain storage metabolism in response to metabolic alterations.", "author" : [ { "dropping-particle" : "", "family" : "Weichert", "given" : "Nicola", "non-dropping-particle" : "", "parse-names" : false, "suffix" : "" }, { "dropping-particle" : "", "family" : "Saalbach", "given" : "Isolde", "non-dropping-particle" : "", "parse-names" : false, "suffix" : "" }, { "dropping-particle" : "", "family" : "Weichert", "given" : "Heiko", "non-dropping-particle" : "", "parse-names" : false, "suffix" : "" }, { "dropping-particle" : "", "family" : "Kohl", "given" : "Stefan", "non-dropping-particle" : "", "parse-names" : false, "suffix" : "" }, { "dropping-particle" : "", "family" : "Erban", "given" : "Alexander", "non-dropping-particle" : "", "parse-names" : false, "suffix" : "" }, { "dropping-particle" : "", "family" : "Kopka", "given" : "Joachim", "non-dropping-particle" : "", "parse-names" : false, "suffix" : "" }, { "dropping-particle" : "", "family" : "Hause", "given" : "Bettina", "non-dropping-particle" : "", "parse-names" : false, "suffix" : "" }, { "dropping-particle" : "", "family" : "Varshney", "given" : "Alok", "non-dropping-particle" : "", "parse-names" : false, "suffix" : "" }, { "dropping-particle" : "", "family" : "Sreenivasulu", "given" : "Nese", "non-dropping-particle" : "", "parse-names" : false, "suffix" : "" }, { "dropping-particle" : "", "family" : "Strickert", "given" : "Marc", "non-dropping-particle" : "", "parse-names" : false, "suffix" : "" }, { "dropping-particle" : "", "family" : "Kumlehn", "given" : "Jochen", "non-dropping-particle" : "", "parse-names" : false, "suffix" : "" }, { "dropping-particle" : "", "family" : "Weschke", "given" : "Winfriede", "non-dropping-particle" : "", "parse-names" : false, "suffix" : "" }, { "dropping-particle" : "", "family" : "Weber", "given" : "Hans", "non-dropping-particle" : "", "parse-names" : false, "suffix" : "" } ], "container-title" : "Plant Physiology", "id" : "ITEM-4", "issue" : "2", "issued" : { "date-parts" : [ [ "2010", "2" ] ] }, "page" : "698-710", "title" : "Increasing sucrose uptake capacity of wheat grains stimulates storage protein synthesis.", "type" : "article-journal", "volume" : "152" }, "uris" : [ "http://www.mendeley.com/documents/?uuid=262e0da9-5b42-4bd6-a5ff-3139d8f974ea" ] }, { "id" : "ITEM-5", "itemData" : { "DOI" : "10.1111/pce.12594", "ISBN" : "1365-3040", "ISSN" : "1365-3040", "PMID" : "26138548", "abstract" : "Although photosynthesis is the most important source for biomass and grain yield, a lack of correlation between photosynthesis and plant yield among different genotypes of various crop species has been frequently observed. Such observations contribute to the ongoing debate whether enhancing leaf photosynthesis can improve yield potential. Here, transgenic rice plants that contain variable amounts of the Rieske FeS protein in the cytochrome (Cyt) b6 /f complex between 10 and 100% of wild-type levels have been used to investigate the effect of reductions of these proteins on photosynthesis, plant growth and yield. Reductions of the Cyt b6 /f complex did not affect the electron transport rates through photosystem I but decreased electron transport rates through photosystem II, leading to concomitant decreases in CO2 assimilation rates. There was a strong control of plant growth and grain yield by the rate of leaf photosynthesis, leading to the conclusion that enhancing photosynthesis at the single-leaf level would be a useful target for improving crop productivity and yield both via conventional breeding and biotechnology. The data here also suggest that changing photosynthetic electron transport rates via manipulation of the Cyt b6 /f complex could be a potential target for enhancing photosynthetic capacity in higher plants.", "author" : [ { "dropping-particle" : "", "family" : "Yamori", "given" : "Wataru", "non-dropping-particle" : "", "parse-names" : false, "suffix" : "" }, { "dropping-particle" : "", "family" : "Kondo", "given" : "Eri", "non-dropping-particle" : "", "parse-names" : false, "suffix" : "" }, { "dropping-particle" : "", "family" : "Sugiura", "given" : "Daisuke", "non-dropping-particle" : "", "parse-names" : false, "suffix" : "" }, { "dropping-particle" : "", "family" : "Terashima", "given" : "Ichiro", "non-dropping-particle" : "", "parse-names" : false, "suffix" : "" }, { "dropping-particle" : "", "family" : "Suzuki", "given" : "Yuji", "non-dropping-particle" : "", "parse-names" : false, "suffix" : "" }, { "dropping-particle" : "", "family" : "Makino", "given" : "Amane", "non-dropping-particle" : "", "parse-names" : false, "suffix" : "" } ], "container-title" : "Plant, Cell &amp; Environment", "id" : "ITEM-5", "issued" : { "date-parts" : [ [ "2016" ] ] }, "page" : "80-87", "title" : "Enhanced leaf photosynthesis as a target to increase grain yield: Insights from transgenic rice lines with variable Rieske FeS protein content in the Cytochrome b6/f complex", "type" : "article-journal", "volume" : "39" }, "uris" : [ "http://www.mendeley.com/documents/?uuid=db27713b-2833-4cec-920d-bc4cb7d4dea0" ] } ], "mendeley" : { "formattedCitation" : "(Long &lt;i&gt;et al.&lt;/i&gt;, 2006&lt;i&gt;a&lt;/i&gt;; Ainsworth &lt;i&gt;et al.&lt;/i&gt;, 2008&lt;i&gt;a&lt;/i&gt;; Leakey &lt;i&gt;et al.&lt;/i&gt;, 2009; Weichert &lt;i&gt;et al.&lt;/i&gt;, 2010; Yamori &lt;i&gt;et al.&lt;/i&gt;, 2016)", "manualFormatting" : "(Long et al., 2006a; Ainsworth et al., 2008a; Leakey et al., 2009; Weichert et al., 2010)", "plainTextFormattedCitation" : "(Long et al., 2006a; Ainsworth et al., 2008a; Leakey et al., 2009; Weichert et al., 2010; Yamori et al., 2016)", "previouslyFormattedCitation" : "(Long &lt;i&gt;et al.&lt;/i&gt;, 2006&lt;i&gt;a&lt;/i&gt;; Ainsworth &lt;i&gt;et al.&lt;/i&gt;, 2008&lt;i&gt;a&lt;/i&gt;; Leakey &lt;i&gt;et al.&lt;/i&gt;, 2009; Weichert &lt;i&gt;et al.&lt;/i&gt;, 2010; Yamori &lt;i&gt;et al.&lt;/i&gt;, 2016)" }, "properties" : { "noteIndex" : 0 }, "schema" : "https://github.com/citation-style-language/schema/raw/master/csl-citation.json" }</w:instrText>
      </w:r>
      <w:r>
        <w:rPr>
          <w:rFonts w:ascii="Cambria" w:hAnsi="Cambria"/>
        </w:rPr>
        <w:fldChar w:fldCharType="separate"/>
      </w:r>
      <w:r w:rsidRPr="009133B6">
        <w:rPr>
          <w:rFonts w:ascii="Cambria" w:hAnsi="Cambria"/>
          <w:noProof/>
        </w:rPr>
        <w:t xml:space="preserve">(Long </w:t>
      </w:r>
      <w:r w:rsidRPr="009133B6">
        <w:rPr>
          <w:rFonts w:ascii="Cambria" w:hAnsi="Cambria"/>
          <w:i/>
          <w:noProof/>
        </w:rPr>
        <w:t>et al.</w:t>
      </w:r>
      <w:r w:rsidRPr="009133B6">
        <w:rPr>
          <w:rFonts w:ascii="Cambria" w:hAnsi="Cambria"/>
          <w:noProof/>
        </w:rPr>
        <w:t>, 2006</w:t>
      </w:r>
      <w:r w:rsidRPr="009133B6">
        <w:rPr>
          <w:rFonts w:ascii="Cambria" w:hAnsi="Cambria"/>
          <w:i/>
          <w:noProof/>
        </w:rPr>
        <w:t>a</w:t>
      </w:r>
      <w:r w:rsidRPr="009133B6">
        <w:rPr>
          <w:rFonts w:ascii="Cambria" w:hAnsi="Cambria"/>
          <w:noProof/>
        </w:rPr>
        <w:t xml:space="preserve">; Ainsworth </w:t>
      </w:r>
      <w:r w:rsidRPr="009133B6">
        <w:rPr>
          <w:rFonts w:ascii="Cambria" w:hAnsi="Cambria"/>
          <w:i/>
          <w:noProof/>
        </w:rPr>
        <w:t>et al.</w:t>
      </w:r>
      <w:r w:rsidRPr="009133B6">
        <w:rPr>
          <w:rFonts w:ascii="Cambria" w:hAnsi="Cambria"/>
          <w:noProof/>
        </w:rPr>
        <w:t>, 2008</w:t>
      </w:r>
      <w:r w:rsidRPr="009133B6">
        <w:rPr>
          <w:rFonts w:ascii="Cambria" w:hAnsi="Cambria"/>
          <w:i/>
          <w:noProof/>
        </w:rPr>
        <w:t>a</w:t>
      </w:r>
      <w:r w:rsidRPr="009133B6">
        <w:rPr>
          <w:rFonts w:ascii="Cambria" w:hAnsi="Cambria"/>
          <w:noProof/>
        </w:rPr>
        <w:t xml:space="preserve">; Leakey </w:t>
      </w:r>
      <w:r w:rsidRPr="009133B6">
        <w:rPr>
          <w:rFonts w:ascii="Cambria" w:hAnsi="Cambria"/>
          <w:i/>
          <w:noProof/>
        </w:rPr>
        <w:t>et al.</w:t>
      </w:r>
      <w:r w:rsidRPr="009133B6">
        <w:rPr>
          <w:rFonts w:ascii="Cambria" w:hAnsi="Cambria"/>
          <w:noProof/>
        </w:rPr>
        <w:t xml:space="preserve">, 2009; Weichert </w:t>
      </w:r>
      <w:r w:rsidRPr="009133B6">
        <w:rPr>
          <w:rFonts w:ascii="Cambria" w:hAnsi="Cambria"/>
          <w:i/>
          <w:noProof/>
        </w:rPr>
        <w:t>et al.</w:t>
      </w:r>
      <w:r>
        <w:rPr>
          <w:rFonts w:ascii="Cambria" w:hAnsi="Cambria"/>
          <w:noProof/>
        </w:rPr>
        <w:t>, 2010</w:t>
      </w:r>
      <w:r w:rsidRPr="009133B6">
        <w:rPr>
          <w:rFonts w:ascii="Cambria" w:hAnsi="Cambria"/>
          <w:noProof/>
        </w:rPr>
        <w:t>)</w:t>
      </w:r>
      <w:r>
        <w:rPr>
          <w:rFonts w:ascii="Cambria" w:hAnsi="Cambria"/>
        </w:rPr>
        <w:fldChar w:fldCharType="end"/>
      </w:r>
      <w:r>
        <w:rPr>
          <w:rFonts w:ascii="Cambria" w:hAnsi="Cambria"/>
        </w:rPr>
        <w:t>.  Although elevated CO</w:t>
      </w:r>
      <w:r w:rsidRPr="009133B6">
        <w:rPr>
          <w:rFonts w:ascii="Cambria" w:hAnsi="Cambria"/>
          <w:vertAlign w:val="subscript"/>
        </w:rPr>
        <w:t>2</w:t>
      </w:r>
      <w:r>
        <w:rPr>
          <w:rFonts w:ascii="Cambria" w:hAnsi="Cambria"/>
        </w:rPr>
        <w:t xml:space="preserve"> suppresses photorespiration </w:t>
      </w:r>
      <w:r>
        <w:rPr>
          <w:rFonts w:ascii="Cambria" w:hAnsi="Cambria"/>
        </w:rPr>
        <w:fldChar w:fldCharType="begin" w:fldLock="1"/>
      </w:r>
      <w:r>
        <w:rPr>
          <w:rFonts w:ascii="Cambria" w:hAnsi="Cambria"/>
        </w:rPr>
        <w:instrText>ADDIN CSL_CITATION { "citationItems" : [ { "id" : "ITEM-1", "itemData" : { "DOI" : "10.1007/BF00386231", "ISBN" : "0032-0935", "ISSN" : "0032-0935", "PMID" : "12615544", "abstract" : "Various aspects of the biochemistry of photosynthetic carbon assimilation in C3 plants are integrated into a form compatible with studies of gas exchange in leaves. These aspects include the kinetic properties of ribulose bisphosphate carboxylase- oxygenase; the requirements of the photosynthetic carbon reduction and photorespiratory carbon oxida- tion cycles for reduced pyridine nucleotides; the de- pendence of electron transport on photon flux and the presence of a temperature dependent upper limit to electron transport. The measurements of gas ex- change with which the model outputs may be com- pared include those of the temperature and partial pressure of CO2(p(CO2) ) dependencies of quantum yield, the variation of compensation point with tem- perature and partial pressure of O2(p(O2)), the de- pendence of net CO 2 assimilation rate on p(CO2) and irradiance, and the influence of p(CO2) and ir- radiance on the temperature dependence of assimi- lation rate.", "author" : [ { "dropping-particle" : "", "family" : "Farquhar", "given" : "G D", "non-dropping-particle" : "", "parse-names" : false, "suffix" : "" }, { "dropping-particle" : "", "family" : "Caemmerer", "given" : "S", "non-dropping-particle" : "", "parse-names" : false, "suffix" : "" }, { "dropping-particle" : "", "family" : "Berry", "given" : "J A", "non-dropping-particle" : "", "parse-names" : false, "suffix" : "" } ], "container-title" : "Planta", "id" : "ITEM-1", "issue" : "1", "issued" : { "date-parts" : [ [ "1980" ] ] }, "page" : "78-90", "title" : "A biochemical model of photosynthetic CO2 assimilation in leaves of C3 species", "type" : "article-journal", "volume" : "149" }, "uris" : [ "http://www.mendeley.com/documents/?uuid=d04e1125-1676-4712-a46d-09892a968af9" ] } ], "mendeley" : { "formattedCitation" : "(Farquhar &lt;i&gt;et al.&lt;/i&gt;, 1980)", "plainTextFormattedCitation" : "(Farquhar et al., 1980)", "previouslyFormattedCitation" : "(Farquhar &lt;i&gt;et al.&lt;/i&gt;, 1980)" }, "properties" : { "noteIndex" : 0 }, "schema" : "https://github.com/citation-style-language/schema/raw/master/csl-citation.json" }</w:instrText>
      </w:r>
      <w:r>
        <w:rPr>
          <w:rFonts w:ascii="Cambria" w:hAnsi="Cambria"/>
        </w:rPr>
        <w:fldChar w:fldCharType="separate"/>
      </w:r>
      <w:r w:rsidRPr="009133B6">
        <w:rPr>
          <w:rFonts w:ascii="Cambria" w:hAnsi="Cambria"/>
          <w:noProof/>
        </w:rPr>
        <w:t xml:space="preserve">(Farquhar </w:t>
      </w:r>
      <w:r w:rsidRPr="009133B6">
        <w:rPr>
          <w:rFonts w:ascii="Cambria" w:hAnsi="Cambria"/>
          <w:i/>
          <w:noProof/>
        </w:rPr>
        <w:t>et al.</w:t>
      </w:r>
      <w:r w:rsidRPr="009133B6">
        <w:rPr>
          <w:rFonts w:ascii="Cambria" w:hAnsi="Cambria"/>
          <w:noProof/>
        </w:rPr>
        <w:t>, 1980)</w:t>
      </w:r>
      <w:r>
        <w:rPr>
          <w:rFonts w:ascii="Cambria" w:hAnsi="Cambria"/>
        </w:rPr>
        <w:fldChar w:fldCharType="end"/>
      </w:r>
      <w:r>
        <w:rPr>
          <w:rFonts w:ascii="Cambria" w:hAnsi="Cambria"/>
        </w:rPr>
        <w:t>, if sink capacity is insufficient the increased rates of photosynthesis under elevated CO</w:t>
      </w:r>
      <w:r w:rsidRPr="00B27F5A">
        <w:rPr>
          <w:rFonts w:ascii="Cambria" w:hAnsi="Cambria"/>
          <w:vertAlign w:val="subscript"/>
        </w:rPr>
        <w:t>2</w:t>
      </w:r>
      <w:r>
        <w:rPr>
          <w:rFonts w:ascii="Cambria" w:hAnsi="Cambria"/>
        </w:rPr>
        <w:t xml:space="preserve"> can decrease through acclimation </w:t>
      </w:r>
      <w:r>
        <w:rPr>
          <w:rFonts w:ascii="Cambria" w:hAnsi="Cambria"/>
        </w:rPr>
        <w:fldChar w:fldCharType="begin" w:fldLock="1"/>
      </w:r>
      <w:r w:rsidR="00906E41">
        <w:rPr>
          <w:rFonts w:ascii="Cambria" w:hAnsi="Cambria"/>
        </w:rPr>
        <w:instrText>ADDIN CSL_CITATION { "citationItems" : [ { "id" : "ITEM-1", "itemData" : { "ISSN" : "1532-2548", "PMID" : "9765554", "abstract" : "Acclimation of photosynthesis to elevated CO2 has previously been shown to be more pronounced when N supply is poor. Is this a direct effect of N or an indirect effect of N by limiting the development of sinks for photoassimilate? This question was tested by growing a perennial ryegrass (Lolium perenne) in the field under elevated (60 Pa) and current (36 Pa) partial pressures of CO2 (pCO2) at low and high levels of N fertilization. Cutting of this herbage crop at 4- to 8-week intervals removed about 80% of the canopy, therefore decreasing the ratio of photosynthetic area to sinks for photoassimilate. Leaf photosynthesis, in vivo carboxylation capacity, carbohydrate, N, ribulose-1,5-bisphosphate carboxylase/oxygenase, sedoheptulose-1,7-bisphosphatase, and chloroplastic fructose-1, 6-bisphosphatase levels were determined for mature lamina during two consecutive summers. Just before the cut, when the canopy was relatively large, growth at elevated pCO2 and low N resulted in significant decreases in carboxylation capacity and the amount of ribulose-1,5-bisphosphate carboxylase/oxygenase protein. In high N there were no significant decreases in carboxylation capacity or proteins, but chloroplastic fructose-1,6-bisphosphatase protein levels increased significantly. Elevated pCO2 resulted in a marked and significant increase in leaf carbohydrate content at low N, but had no effect at high N. This acclimation at low N was absent after the harvest, when the canopy size was small. These results suggest that acclimation under low N is caused by limitation of sink development rather than being a direct effect of N supply on photosynthesis.", "author" : [ { "dropping-particle" : "", "family" : "Rogers", "given" : "A", "non-dropping-particle" : "", "parse-names" : false, "suffix" : "" }, { "dropping-particle" : "", "family" : "Fischer", "given" : "BU", "non-dropping-particle" : "", "parse-names" : false, "suffix" : "" }, { "dropping-particle" : "", "family" : "Bryant", "given" : "J", "non-dropping-particle" : "", "parse-names" : false, "suffix" : "" }, { "dropping-particle" : "", "family" : "Frehner", "given" : "M", "non-dropping-particle" : "", "parse-names" : false, "suffix" : "" }, { "dropping-particle" : "", "family" : "Blum", "given" : "H", "non-dropping-particle" : "", "parse-names" : false, "suffix" : "" }, { "dropping-particle" : "", "family" : "Raines", "given" : "CA", "non-dropping-particle" : "", "parse-names" : false, "suffix" : "" }, { "dropping-particle" : "", "family" : "Long", "given" : "SP", "non-dropping-particle" : "", "parse-names" : false, "suffix" : "" } ], "container-title" : "Plant Physiology", "id" : "ITEM-1", "issue" : "2", "issued" : { "date-parts" : [ [ "1998", "10" ] ] }, "page" : "683-9", "title" : "Acclimation of photosynthesis to elevated CO2 under low-nitrogen nutrition is affected by the capacity for assimilate utilization. Perennial ryegrass under free-air CO2 enrichment", "type" : "article-journal", "volume" : "118" }, "uris" : [ "http://www.mendeley.com/documents/?uuid=cbd02c05-1a1f-4c95-812f-93fcf1df820a" ] }, { "id" : "ITEM-2", "itemData" : { "DOI" : "10.1146/annurev.arplant.55.031903.141610", "ISSN" : "1543-5008", "PMID" : "15377233", "abstract" : "Atmospheric CO(2) concentration ([CO(2)]) is now higher than it was at any time in the past 26 million years and is expected to nearly double during this century. Terrestrial plants with the C(3) photosynthetic pathway respond in the short term to increased [CO(2)] via increased net photosynthesis and decreased transpiration. In the longer term this increase is often offset by downregulation of photosynthetic capacity. But much of what is currently known about plant responses to elevated [CO(2)] comes from enclosure studies, where the responses of plants may be modified by size constraints and the limited life-cycle stages that are examined. Free-Air CO(2) Enrichment (FACE) was developed as a means to grow plants in the field at controlled elevation of CO(2) under fully open-air field conditions. The findings of FACE experiments are quantitatively summarized via meta-analytic statistics and compared to findings from chamber studies. Although trends agree with parallel summaries of enclosure studies, important quantitative differences emerge that have important implications both for predicting the future terrestrial biosphere and understanding how crops may need to be adapted to the changed and changing atmosphere.", "author" : [ { "dropping-particle" : "", "family" : "Long", "given" : "Stephen P", "non-dropping-particle" : "", "parse-names" : false, "suffix" : "" }, { "dropping-particle" : "", "family" : "Ainsworth", "given" : "Elizabeth A", "non-dropping-particle" : "", "parse-names" : false, "suffix" : "" }, { "dropping-particle" : "", "family" : "Rogers", "given" : "Alistair", "non-dropping-particle" : "", "parse-names" : false, "suffix" : "" }, { "dropping-particle" : "", "family" : "Ort", "given" : "Donald R", "non-dropping-particle" : "", "parse-names" : false, "suffix" : "" } ], "container-title" : "Annual Review of Plant Biology", "id" : "ITEM-2", "issued" : { "date-parts" : [ [ "2004", "1" ] ] }, "page" : "591-628", "title" : "Rising atmospheric carbon dioxide: plants FACE the future.", "type" : "article-journal", "volume" : "55" }, "uris" : [ "http://www.mendeley.com/documents/?uuid=26cf908c-0122-4e7c-b24f-8546f0c8ff30" ] } ], "mendeley" : { "formattedCitation" : "(Rogers &lt;i&gt;et al.&lt;/i&gt;, 1998; Long &lt;i&gt;et al.&lt;/i&gt;, 2004)", "plainTextFormattedCitation" : "(Rogers et al., 1998; Long et al., 2004)", "previouslyFormattedCitation" : "(Rogers &lt;i&gt;et al.&lt;/i&gt;, 1998; Long &lt;i&gt;et al.&lt;/i&gt;, 2004)" }, "properties" : { "noteIndex" : 0 }, "schema" : "https://github.com/citation-style-language/schema/raw/master/csl-citation.json" }</w:instrText>
      </w:r>
      <w:r>
        <w:rPr>
          <w:rFonts w:ascii="Cambria" w:hAnsi="Cambria"/>
        </w:rPr>
        <w:fldChar w:fldCharType="separate"/>
      </w:r>
      <w:r w:rsidRPr="00B27F5A">
        <w:rPr>
          <w:rFonts w:ascii="Cambria" w:hAnsi="Cambria"/>
          <w:noProof/>
        </w:rPr>
        <w:t xml:space="preserve">(Rogers </w:t>
      </w:r>
      <w:r w:rsidRPr="00B27F5A">
        <w:rPr>
          <w:rFonts w:ascii="Cambria" w:hAnsi="Cambria"/>
          <w:i/>
          <w:noProof/>
        </w:rPr>
        <w:t>et al.</w:t>
      </w:r>
      <w:r w:rsidRPr="00B27F5A">
        <w:rPr>
          <w:rFonts w:ascii="Cambria" w:hAnsi="Cambria"/>
          <w:noProof/>
        </w:rPr>
        <w:t xml:space="preserve">, 1998; Long </w:t>
      </w:r>
      <w:r w:rsidRPr="00B27F5A">
        <w:rPr>
          <w:rFonts w:ascii="Cambria" w:hAnsi="Cambria"/>
          <w:i/>
          <w:noProof/>
        </w:rPr>
        <w:t>et al.</w:t>
      </w:r>
      <w:r w:rsidRPr="00B27F5A">
        <w:rPr>
          <w:rFonts w:ascii="Cambria" w:hAnsi="Cambria"/>
          <w:noProof/>
        </w:rPr>
        <w:t>, 2004)</w:t>
      </w:r>
      <w:r>
        <w:rPr>
          <w:rFonts w:ascii="Cambria" w:hAnsi="Cambria"/>
        </w:rPr>
        <w:fldChar w:fldCharType="end"/>
      </w:r>
      <w:r>
        <w:rPr>
          <w:rFonts w:ascii="Cambria" w:hAnsi="Cambria"/>
        </w:rPr>
        <w:t xml:space="preserve">, leading to changes in biomass and yield which are below the expected responses.  Sink capacity may be increased by increasing the size or activity of the sink </w:t>
      </w:r>
      <w:r>
        <w:rPr>
          <w:rFonts w:ascii="Cambria" w:hAnsi="Cambria"/>
        </w:rPr>
        <w:fldChar w:fldCharType="begin" w:fldLock="1"/>
      </w:r>
      <w:r>
        <w:rPr>
          <w:rFonts w:ascii="Cambria" w:hAnsi="Cambria"/>
        </w:rPr>
        <w:instrText>ADDIN CSL_CITATION { "citationItems" : [ { "id" : "ITEM-1", "itemData" : { "author" : [ { "dropping-particle" : "", "family" : "Geiger", "given" : "D R", "non-dropping-particle" : "", "parse-names" : false, "suffix" : "" }, { "dropping-particle" : "", "family" : "Shieh", "given" : "W", "non-dropping-particle" : "", "parse-names" : false, "suffix" : "" } ], "container-title" : "Plant, Cell &amp; Environment", "id" : "ITEM-1", "issue" : "9", "issued" : { "date-parts" : [ [ "1993" ] ] }, "page" : "1017-1018", "title" : "Sink strength: learning to measure, measuring to learn", "type" : "article-journal", "volume" : "16" }, "uris" : [ "http://www.mendeley.com/documents/?uuid=b9f7c79f-01ed-4e5e-a48b-0c89d890af08" ] }, { "id" : "ITEM-2", "itemData" : { "DOI" : "10.1093/jxb/erv447", "ISSN" : "0022-0957", "author" : [ { "dropping-particle" : "", "family" : "White",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"Journal of Experimental Botany", "id" : "ITEM-2", "issue" : "1", "issued" : { "date-parts" : [ [ "2016" ] ] }, "page" : "31-45", "title" : "How can we make plants grow faster? A source\u2013sink perspective on growth rate", "type" : "article-journal", "volume" : "67" }, "uris" : [ "http://www.mendeley.com/documents/?uuid=071fcd57-e076-410e-903a-444abfb30785" ] } ], "mendeley" : { "formattedCitation" : "(Geiger and Shieh, 1993; White &lt;i&gt;et al.&lt;/i&gt;, 2016)", "plainTextFormattedCitation" : "(Geiger and Shieh, 1993; White et al., 2016)", "previouslyFormattedCitation" : "(Geiger and Shieh, 1993; White &lt;i&gt;et al.&lt;/i&gt;, 2016)" }, "properties" : { "noteIndex" : 0 }, "schema" : "https://github.com/citation-style-language/schema/raw/master/csl-citation.json" }</w:instrText>
      </w:r>
      <w:r>
        <w:rPr>
          <w:rFonts w:ascii="Cambria" w:hAnsi="Cambria"/>
        </w:rPr>
        <w:fldChar w:fldCharType="separate"/>
      </w:r>
      <w:r w:rsidRPr="00C5624C">
        <w:rPr>
          <w:rFonts w:ascii="Cambria" w:hAnsi="Cambria"/>
          <w:noProof/>
        </w:rPr>
        <w:t xml:space="preserve">(Geiger and Shieh, 1993; White </w:t>
      </w:r>
      <w:r w:rsidRPr="00C5624C">
        <w:rPr>
          <w:rFonts w:ascii="Cambria" w:hAnsi="Cambria"/>
          <w:i/>
          <w:noProof/>
        </w:rPr>
        <w:t>et al.</w:t>
      </w:r>
      <w:r w:rsidRPr="00C5624C">
        <w:rPr>
          <w:rFonts w:ascii="Cambria" w:hAnsi="Cambria"/>
          <w:noProof/>
        </w:rPr>
        <w:t>, 2016)</w:t>
      </w:r>
      <w:r>
        <w:rPr>
          <w:rFonts w:ascii="Cambria" w:hAnsi="Cambria"/>
        </w:rPr>
        <w:fldChar w:fldCharType="end"/>
      </w:r>
      <w:r>
        <w:rPr>
          <w:rFonts w:ascii="Cambria" w:hAnsi="Cambria"/>
        </w:rPr>
        <w:t>.  Thus manipulating the rate at which sinks can sequester carbon, and/or breeding for increased sink size during vegetative and reproductive growth, can increase the capacity of the sink and facilitate increases in growth and yield.</w:t>
      </w:r>
    </w:p>
    <w:p w14:paraId="540FE8D7" w14:textId="77777777" w:rsidR="00BD265E" w:rsidRPr="00531789" w:rsidRDefault="00BD265E" w:rsidP="00DF4522">
      <w:pPr>
        <w:spacing w:line="360" w:lineRule="auto"/>
        <w:jc w:val="both"/>
        <w:rPr>
          <w:rFonts w:ascii="Cambria" w:hAnsi="Cambria"/>
        </w:rPr>
      </w:pPr>
    </w:p>
    <w:p w14:paraId="1B475C3B" w14:textId="21F00387" w:rsidR="00DF4522" w:rsidRPr="00531789" w:rsidRDefault="00272C64" w:rsidP="00DF4522">
      <w:pPr>
        <w:spacing w:line="360" w:lineRule="auto"/>
        <w:jc w:val="both"/>
        <w:rPr>
          <w:rFonts w:ascii="Cambria" w:hAnsi="Cambria"/>
        </w:rPr>
      </w:pPr>
      <w:r>
        <w:rPr>
          <w:rFonts w:ascii="Cambria" w:hAnsi="Cambria"/>
        </w:rPr>
        <w:t xml:space="preserve">Although plants generally transition from carbon sink to source limitation during growth </w:t>
      </w:r>
      <w:r>
        <w:rPr>
          <w:rFonts w:ascii="Cambria" w:hAnsi="Cambria"/>
        </w:rPr>
        <w:fldChar w:fldCharType="begin" w:fldLock="1"/>
      </w:r>
      <w:r>
        <w:rPr>
          <w:rFonts w:ascii="Cambria" w:hAnsi="Cambria"/>
        </w:rPr>
        <w:instrText>ADDIN CSL_CITATION { "citationItems" : [ { "id" : "ITEM-1", "itemData" : { "author" : [ { "dropping-particle" : "", "family" : "Arp", "given" : "W J", "non-dropping-particle" : "", "parse-names" : false, "suffix" : "" } ], "container-title" : "Plant, Cell &amp; Environment", "id" : "ITEM-1", "issued" : { "date-parts" : [ [ "1991" ] ] }, "page" : "869-875", "title" : "Effects of source-sink relations on photosynthetic acclimation to elevated CO2", "type" : "article-journal", "volume" : "14" }, "uris" : [ "http://www.mendeley.com/documents/?uuid=bb80a4ae-185e-48b5-858d-08efd177107a" ] }, { "id" : "ITEM-2", "itemData" : { "ISBN" : "0-12-473543-6", "author" : [ { "dropping-particle" : "", "family" : "Marschner", "given" : "Horst", "non-dropping-particle" : "", "parse-names" : false, "suffix" : "" } ], "edition" : "2nd", "editor" : [ { "dropping-particle" : "", "family" : "Marschner", "given" : "P", "non-dropping-particle" : "", "parse-names" : false, "suffix" : "" } ], "id" : "ITEM-2", "issued" : { "date-parts" : [ [ "1995" ] ] }, "publisher" : "Academic Press", "publisher-place" : "London", "title" : "Mineral Nutrition of Higher Plants", "type" : "book" }, "uris" : [ "http://www.mendeley.com/documents/?uuid=4da83903-c379-4e79-8410-79eaf9305b73" ] } ], "mendeley" : { "formattedCitation" : "(Arp, 1991; Marschner, 1995)", "plainTextFormattedCitation" : "(Arp, 1991; Marschner, 1995)", "previouslyFormattedCitation" : "(Arp, 1991; Marschner, 1995)" }, "properties" : { "noteIndex" : 0 }, "schema" : "https://github.com/citation-style-language/schema/raw/master/csl-citation.json" }</w:instrText>
      </w:r>
      <w:r>
        <w:rPr>
          <w:rFonts w:ascii="Cambria" w:hAnsi="Cambria"/>
        </w:rPr>
        <w:fldChar w:fldCharType="separate"/>
      </w:r>
      <w:r w:rsidRPr="00C5624C">
        <w:rPr>
          <w:rFonts w:ascii="Cambria" w:hAnsi="Cambria"/>
          <w:noProof/>
        </w:rPr>
        <w:t>(Arp, 1991; Marschner, 1995)</w:t>
      </w:r>
      <w:r>
        <w:rPr>
          <w:rFonts w:ascii="Cambria" w:hAnsi="Cambria"/>
        </w:rPr>
        <w:fldChar w:fldCharType="end"/>
      </w:r>
      <w:r>
        <w:rPr>
          <w:rFonts w:ascii="Cambria" w:hAnsi="Cambria"/>
        </w:rPr>
        <w:t>, annual barley is sink limited during grain filling</w:t>
      </w:r>
      <w:r w:rsidR="000865EF">
        <w:rPr>
          <w:rFonts w:ascii="Cambria" w:hAnsi="Cambria"/>
        </w:rPr>
        <w:t xml:space="preserve"> </w:t>
      </w:r>
      <w:r w:rsidR="000865EF">
        <w:rPr>
          <w:rFonts w:ascii="Cambria" w:hAnsi="Cambria"/>
        </w:rPr>
        <w:fldChar w:fldCharType="begin" w:fldLock="1"/>
      </w:r>
      <w:r w:rsidR="00906E41">
        <w:rPr>
          <w:rFonts w:ascii="Cambria" w:hAnsi="Cambria"/>
        </w:rPr>
        <w:instrText>ADDIN CSL_CITATION { "citationItems" : [ { "id" : "ITEM-1", "itemData" : { "author" : [ { "dropping-particle" : "", "family" : "Schnyder", "given" : "Hans", "non-dropping-particle" : "", "parse-names" : false, "suffix" : "" } ], "container-title" : "New Phytologist", "id" : "ITEM-1", "issued" : { "date-parts" : [ [ "1993" ] ] }, "page" : "233-245", "title" : "The role of carbohydrate storage and redistribution in the source-sink relations of wheat and barley during grain filling - a review", "type" : "article-journal", "volume" : "123" }, "uris" : [ "http://www.mendeley.com/documents/?uuid=a96ba76f-e7bb-4eae-8406-df68dc700307" ] }, { "id" : "ITEM-2", "itemData" : { "DOI" : "10.1016/j.fcr.2013.05.016", "ISSN" : "03784290", "author" : [ { "dropping-particle" : "", "family" : "Serrago", "given" : "Rom\u00e1n A", "non-dropping-particle" : "", "parse-names" : false, "suffix" : "" }, { "dropping-particle" : "", "family" : "Alzueta", "given" : "Ignacio", "non-dropping-particle" : "", "parse-names" : false, "suffix" : "" }, { "dropping-particle" : "", "family" : "Savin", "given" : "Roxana", "non-dropping-particle" : "", "parse-names" : false, "suffix" : "" }, { "dropping-particle" : "", "family" : "Slafer", "given" : "Gustavo A", "non-dropping-particle" : "", "parse-names" : false, "suffix" : "" } ], "container-title" : "Field Crops Research", "id" : "ITEM-2", "issued" : { "date-parts" : [ [ "2013", "8" ] ] }, "page" : "42-51", "publisher" : "Elsevier B.V.", "title" : "Understanding grain yield responses to source\u2013sink ratios during grain filling in wheat and barley under contrasting environments", "type" : "article-journal", "volume" : "150" }, "uris" : [ "http://www.mendeley.com/documents/?uuid=369654bb-6b42-46c3-b263-b6ba3c2009f8" ] }, { "id" : "ITEM-3", "itemData" : { "DOI" : "10.1016/j.fcr.2006.11.005", "ISSN" : "03784290", "author" : [ { "dropping-particle" : "", "family" : "Bingham", "given" : "Ian J.", "non-dropping-particle" : "", "parse-names" : false, "suffix" : "" }, { "dropping-particle" : "", "family" : "Blake", "given" : "Jonathan", "non-dropping-particle" : "", "parse-names" : false, "suffix" : "" }, { "dropping-particle" : "", "family" : "Foulkes", "given" : "M. John", "non-dropping-particle" : "", "parse-names" : false, "suffix" : "" }, { "dropping-particle" : "", "family" : "Spink", "given" : "John", "non-dropping-particle" : "", "parse-names" : false, "suffix" : "" } ], "container-title" : "Field Crops Research", "id" : "ITEM-3", "issue" : "2", "issued" : { "date-parts" : [ [ "2007", "3" ] ] }, "page" : "198-211", "title" : "Is barley yield in the UK sink limited?", "type" : "article-journal", "volume" : "101" }, "uris" : [ "http://www.mendeley.com/documents/?uuid=4d6220d6-baa7-40e5-a9dc-e5712127fd68" ] } ], "mendeley" : { "formattedCitation" : "(Schnyder, 1993; Bingham &lt;i&gt;et al.&lt;/i&gt;, 2007; Serrago &lt;i&gt;et al.&lt;/i&gt;, 2013)", "plainTextFormattedCitation" : "(Schnyder, 1993; Bingham et al., 2007; Serrago et al., 2013)", "previouslyFormattedCitation" : "(Schnyder, 1993; Bingham &lt;i&gt;et al.&lt;/i&gt;, 2007; Serrago &lt;i&gt;et al.&lt;/i&gt;, 2013)" }, "properties" : { "noteIndex" : 0 }, "schema" : "https://github.com/citation-style-language/schema/raw/master/csl-citation.json" }</w:instrText>
      </w:r>
      <w:r w:rsidR="000865EF">
        <w:rPr>
          <w:rFonts w:ascii="Cambria" w:hAnsi="Cambria"/>
        </w:rPr>
        <w:fldChar w:fldCharType="separate"/>
      </w:r>
      <w:r w:rsidR="000865EF" w:rsidRPr="000865EF">
        <w:rPr>
          <w:rFonts w:ascii="Cambria" w:hAnsi="Cambria"/>
          <w:noProof/>
        </w:rPr>
        <w:t xml:space="preserve">(Schnyder, 1993; Bingham </w:t>
      </w:r>
      <w:r w:rsidR="000865EF" w:rsidRPr="000865EF">
        <w:rPr>
          <w:rFonts w:ascii="Cambria" w:hAnsi="Cambria"/>
          <w:i/>
          <w:noProof/>
        </w:rPr>
        <w:t>et al.</w:t>
      </w:r>
      <w:r w:rsidR="000865EF" w:rsidRPr="000865EF">
        <w:rPr>
          <w:rFonts w:ascii="Cambria" w:hAnsi="Cambria"/>
          <w:noProof/>
        </w:rPr>
        <w:t xml:space="preserve">, 2007; Serrago </w:t>
      </w:r>
      <w:r w:rsidR="000865EF" w:rsidRPr="000865EF">
        <w:rPr>
          <w:rFonts w:ascii="Cambria" w:hAnsi="Cambria"/>
          <w:i/>
          <w:noProof/>
        </w:rPr>
        <w:t>et al.</w:t>
      </w:r>
      <w:r w:rsidR="000865EF" w:rsidRPr="000865EF">
        <w:rPr>
          <w:rFonts w:ascii="Cambria" w:hAnsi="Cambria"/>
          <w:noProof/>
        </w:rPr>
        <w:t>, 2013)</w:t>
      </w:r>
      <w:r w:rsidR="000865EF">
        <w:rPr>
          <w:rFonts w:ascii="Cambria" w:hAnsi="Cambria"/>
        </w:rPr>
        <w:fldChar w:fldCharType="end"/>
      </w:r>
      <w:r w:rsidR="000865EF">
        <w:rPr>
          <w:rFonts w:ascii="Cambria" w:hAnsi="Cambria"/>
        </w:rPr>
        <w:t>.  Even if sink limitation were to be</w:t>
      </w:r>
      <w:r w:rsidR="00DF4522" w:rsidRPr="00531789">
        <w:rPr>
          <w:rFonts w:ascii="Cambria" w:hAnsi="Cambria"/>
        </w:rPr>
        <w:t xml:space="preserve"> reduced </w:t>
      </w:r>
      <w:r w:rsidR="000865EF">
        <w:rPr>
          <w:rFonts w:ascii="Cambria" w:hAnsi="Cambria"/>
        </w:rPr>
        <w:t xml:space="preserve">at later times during ontogeny – currently not the case for annual barley – </w:t>
      </w:r>
      <w:r w:rsidR="00DF4522" w:rsidRPr="00531789">
        <w:rPr>
          <w:rFonts w:ascii="Cambria" w:hAnsi="Cambria"/>
        </w:rPr>
        <w:t xml:space="preserve">maximising resource use efficiency early in development could still be useful for improving crop yields.  A key starting point for building on the work of this thesis will be to carry out investigations into the relative limitations imposed by carbon and nitrogen sources and sinks during the whole of crop development, from early vegetative growth right through to grain maturity.  Uniting work on carbon and nitrogen, for </w:t>
      </w:r>
      <w:r w:rsidR="006D1976">
        <w:rPr>
          <w:rFonts w:ascii="Cambria" w:hAnsi="Cambria"/>
        </w:rPr>
        <w:t>instanc</w:t>
      </w:r>
      <w:r w:rsidR="00DF4522" w:rsidRPr="00531789">
        <w:rPr>
          <w:rFonts w:ascii="Cambria" w:hAnsi="Cambria"/>
        </w:rPr>
        <w:t>e by measuring photosynthetic capacity along a nitrogen gradient or measuring nitrogen uptake along a CO</w:t>
      </w:r>
      <w:r w:rsidR="00DF4522" w:rsidRPr="00531789">
        <w:rPr>
          <w:rFonts w:ascii="Cambria" w:hAnsi="Cambria"/>
          <w:vertAlign w:val="subscript"/>
        </w:rPr>
        <w:t>2</w:t>
      </w:r>
      <w:r w:rsidR="00DF4522" w:rsidRPr="00531789">
        <w:rPr>
          <w:rFonts w:ascii="Cambria" w:hAnsi="Cambria"/>
        </w:rPr>
        <w:t xml:space="preserve"> gradient, will enable greater integration of the results seen here.  This will enable potential crossover between, for example, carbon source limitation and nitrogen sink limitation to be established, as </w:t>
      </w:r>
      <w:r w:rsidR="00DF4522">
        <w:rPr>
          <w:rFonts w:ascii="Cambria" w:hAnsi="Cambria"/>
        </w:rPr>
        <w:t xml:space="preserve">well as </w:t>
      </w:r>
      <w:r w:rsidR="006D1976">
        <w:rPr>
          <w:rFonts w:ascii="Cambria" w:hAnsi="Cambria"/>
        </w:rPr>
        <w:t xml:space="preserve">facilitating </w:t>
      </w:r>
      <w:r w:rsidR="00DF4522">
        <w:rPr>
          <w:rFonts w:ascii="Cambria" w:hAnsi="Cambria"/>
        </w:rPr>
        <w:t>the development of</w:t>
      </w:r>
      <w:r w:rsidR="00DF4522" w:rsidRPr="00531789">
        <w:rPr>
          <w:rFonts w:ascii="Cambria" w:hAnsi="Cambria"/>
        </w:rPr>
        <w:t xml:space="preserve"> a holistic perspective of carbon-nitrogen interactions during ontogeny.  New approaches could also be taken to deepen understanding of the ways in which sources and sinks underpin development, by looking not just at </w:t>
      </w:r>
      <w:r w:rsidR="00DF4522">
        <w:rPr>
          <w:rFonts w:ascii="Cambria" w:hAnsi="Cambria"/>
        </w:rPr>
        <w:t xml:space="preserve">tillering and </w:t>
      </w:r>
      <w:r w:rsidR="00DF4522" w:rsidRPr="00531789">
        <w:rPr>
          <w:rFonts w:ascii="Cambria" w:hAnsi="Cambria"/>
        </w:rPr>
        <w:t>relative growth rate but also at cell division rate and meristem branching</w:t>
      </w:r>
      <w:r w:rsidR="006D1976">
        <w:rPr>
          <w:rFonts w:ascii="Cambria" w:hAnsi="Cambria"/>
        </w:rPr>
        <w:t>.</w:t>
      </w:r>
      <w:r w:rsidR="00DF4522" w:rsidRPr="00531789">
        <w:rPr>
          <w:rFonts w:ascii="Cambria" w:hAnsi="Cambria"/>
        </w:rPr>
        <w:t xml:space="preserve">  Furthermore, experiments similar to those conducted here in growth chambers should be carried out in the field under agronomically relevant conditions and on a wider range of species, in order to confirm and expand the generality of the findings, so that genetic modification or selective breeding may be used to </w:t>
      </w:r>
      <w:proofErr w:type="spellStart"/>
      <w:r w:rsidR="00DF4522" w:rsidRPr="00531789">
        <w:rPr>
          <w:rFonts w:ascii="Cambria" w:hAnsi="Cambria"/>
        </w:rPr>
        <w:t>upregulate</w:t>
      </w:r>
      <w:proofErr w:type="spellEnd"/>
      <w:r w:rsidR="00DF4522" w:rsidRPr="00531789">
        <w:rPr>
          <w:rFonts w:ascii="Cambria" w:hAnsi="Cambria"/>
        </w:rPr>
        <w:t xml:space="preserve"> source and sink together in order to improve productivity.  </w:t>
      </w:r>
    </w:p>
    <w:p w14:paraId="1BA9F63D" w14:textId="77777777" w:rsidR="00DF4522" w:rsidRPr="00531789" w:rsidRDefault="00DF4522" w:rsidP="00DF4522">
      <w:pPr>
        <w:spacing w:line="360" w:lineRule="auto"/>
        <w:jc w:val="both"/>
        <w:rPr>
          <w:rFonts w:ascii="Cambria" w:hAnsi="Cambria"/>
        </w:rPr>
      </w:pPr>
    </w:p>
    <w:p w14:paraId="105EA97A" w14:textId="77777777" w:rsidR="00E90DA6" w:rsidRDefault="004345BC" w:rsidP="00BA5283">
      <w:pPr>
        <w:spacing w:line="360" w:lineRule="auto"/>
        <w:jc w:val="both"/>
        <w:rPr>
          <w:rFonts w:ascii="Cambria" w:hAnsi="Cambria"/>
        </w:rPr>
      </w:pPr>
      <w:r>
        <w:rPr>
          <w:rFonts w:ascii="Cambria" w:hAnsi="Cambria"/>
        </w:rPr>
        <w:t xml:space="preserve">Manipulation of the molecular mechanisms controlling communication between sources and sinks for carbon and nitrogen </w:t>
      </w:r>
      <w:r>
        <w:rPr>
          <w:rFonts w:ascii="Cambria" w:hAnsi="Cambria"/>
        </w:rPr>
        <w:fldChar w:fldCharType="begin" w:fldLock="1"/>
      </w:r>
      <w:r w:rsidR="00E25053">
        <w:rPr>
          <w:rFonts w:ascii="Cambria" w:hAnsi="Cambria"/>
        </w:rPr>
        <w:instrText>ADDIN CSL_CITATION { "citationItems" : [ { "id" : "ITEM-1", "itemData" : { "DOI" : "10.3389/fpls.2014.00418", "ISSN" : "1664-462X", "PMID" : "25202319", "abstract" : "Considerable interest has been evoked by the analysis of the regulatory pathway in carbohydrate metabolism and cell growth involving the non-reducing disaccharide trehalose (TRE). TRE is at small concentrations in mesophytes such as Arabidopsis thaliana and Triticum aestivum, excluding a role in osmoregulation once suggested for it. Studies of TRE metabolism, and genetic modification of it, have shown a very wide and more important role of the pathway in regulation of many processes in development, growth, and photosynthesis. It has now been established that rather than TRE, it is trehalose 6-phosphate (T6P) which has such profound effects. T6P is the intermediary in TRE synthesis formed from glucose-6-phosphate and UDP-glucose, derived from sucrose, by the action of trehalose phosphate synthase. The concentration of T6P is determined both by the rate of synthesis, which depends on the sucrose concentration, and also by the rate of breakdown by trehalose-6-phosphate phosphatase which produces TRE. Changing T6P concentrations by genetically modifying the enzymes of synthesis and breakdown has altered photosynthesis, sugar metabolism, growth, and development which affect responses to, and recovery from, environmental factors. Many of the effects of T6P on metabolism and growth occur via the interaction of T6P with the SnRK1 protein kinase system. T6P inhibits the activity of SnRK1, which de-represses genes encoding proteins involved in anabolism. Consequently, a large concentration of sucrose increases T6P and thereby inhibits SnRK1, so stimulating growth of cells and their metabolic activity. The T6P/SnRK1 mechanism offers an important new view of how the distribution of assimilates to organs, such as developing grains in cereal plants, is achieved. This review briefly summarizes the factors determining, and limiting, yield of wheat (particularly mass/grain which is highly conserved) and considers how T6P/SnRK1 might function to determine grain yield and might be altered to increase them. Increasing the potential rate of filling and mass/grain are ways in which total crop yield could be increased with good husbandry which maintains crop assimilation Cereal yields globally are not increasing, despite the greater production required to meet human demand. Careful targeting of T6P is showing much promise for optimization of source/sink for yield improvement and offers yet further possibilities for increasing sink demand and grain size in wheat.", "author" : [ { "dropping-particle" : "", "family" : "Lawlor", "given" : "David W", "non-dropping-particle" : "", "parse-names" : false, "suffix" : "" }, { "dropping-particle" : "", "family" : "Paul", "given" : "Matthew J", "non-dropping-particle" : "", "parse-names" : false, "suffix" : "" } ], "container-title" : "Frontiers in Plant Science", "id" : "ITEM-1", "issue" : "August", "issued" : { "date-parts" : [ [ "2014", "1" ] ] }, "page" : "418", "title" : "Source/sink interactions underpin crop yield: the case for trehalose 6-phosphate/SnRK1 in improvement of wheat.", "type" : "article-journal", "volume" : "5" }, "uris" : [ "http://www.mendeley.com/documents/?uuid=c97af0ea-42dd-4e07-870d-deb434033f1a" ] }, { "id" : "ITEM-2", "itemData" : { "DOI" : "10.1093/jxb/erv447", "ISSN" : "0022-0957", "author" : [ { "dropping-particle" : "", "family" : "White",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"Journal of Experimental Botany", "id" : "ITEM-2", "issue" : "1", "issued" : { "date-parts" : [ [ "2016" ] ] }, "page" : "31-45", "title" : "How can we make plants grow faster? A source\u2013sink perspective on growth rate", "type" : "article-journal", "volume" : "67" }, "uris" : [ "http://www.mendeley.com/documents/?uuid=071fcd57-e076-410e-903a-444abfb30785" ] }, { "id" : "ITEM-3", "itemData" : { "DOI" : "10.1111/j.1365-3040.2007.01708.x", "ISSN" : "0140-7791", "PMID" : "17661751", "abstract" : "Plants must achieve a balance between carbon assimilation, storage and growth, but little is known about how this is achieved. We describe evidence for the existence of regulatory mechanisms that coordinate carbon supply and use, and the likely central role of sugar signalling. We propose the existence of both 'acute' and 'acclimatory' responses to alterations in carbon supply, the latter tuning the balance between carbon supply and demand to optimise the capacity for sustained growth. A full understanding of these responses requires new, systems-level approaches that integrate information from transcriptomic, enzyme activity, metabolomic and growth analyses. We illustrate the complexity of acute and acclimatory responses by consideration of the control of starch synthesis and degradation in leaves. Finally, we consider how carbon balance may be linked to growth, and the importance of these linkages for sustained plant growth in a changing environment.", "author" : [ { "dropping-particle" : "", "family" : "Smith", "given" : "Alison M", "non-dropping-particle" : "", "parse-names" : false, "suffix" : "" }, { "dropping-particle" : "", "family" : "Stitt", "given" : "Mark", "non-dropping-particle" : "", "parse-names" : false, "suffix" : "" } ], "container-title" : "Plant, Cell &amp; Environment", "id" : "ITEM-3", "issue" : "9", "issued" : { "date-parts" : [ [ "2007", "9" ] ] }, "page" : "1126-49", "title" : "Coordination of carbon supply and plant growth.", "type" : "article-journal", "volume" : "30" }, "uris" : [ "http://www.mendeley.com/documents/?uuid=5675458c-c801-4db7-8395-76bd083741f4" ] }, { "id" : "ITEM-4", "itemData" : { "DOI" : "10.1093/aob/mcq028", "ISBN" : "0305-7364", "ISSN" : "03057364", "PMID" : "20299346", "abstract" : "Productive agriculture needs a large amount of expensive nitrogenous fertilizers. Improving nitrogen use efficiency (NUE) of crop plants is thus of key importance. NUE definitions differ depending on whether plants are cultivated to produce biomass or grain yields. However, for most plant species, NUE mainly depends on how plants extract inorganic nitrogen from the soil, assimilate nitrate and ammonium, and recycle organic nitrogen. Efforts have been made to study the genetic basis as well as the biochemical and enzymatic mechanisms involved in nitrogen uptake, assimilation, and remobilization in crops and model plants. The detection of the limiting factors that could be manipulated to increase NUE is the major goal of such research.", "author" : [ { "dropping-particle" : "", "family" : "Masclaux-Daubresse", "given" : "C\u00e9line", "non-dropping-particle" : "", "parse-names" : false, "suffix" : "" }, { "dropping-particle" : "", "family" : "Daniel-Vedele", "given" : "Franoise", "non-dropping-particle" : "", "parse-names" : false, "suffix" : "" }, { "dropping-particle" : "", "family" : "Dechorgnat", "given" : "Julie", "non-dropping-particle" : "", "parse-names" : false, "suffix" : "" }, { "dropping-particle" : "", "family" : "Chardon", "given" : "Fabien", "non-dropping-particle" : "", "parse-names" : false, "suffix" : "" }, { "dropping-particle" : "", "family" : "Gaufichon", "given" : "Laure", "non-dropping-particle" : "", "parse-names" : false, "suffix" : "" }, { "dropping-particle" : "", "family" : "Suzuki", "given" : "Akira", "non-dropping-particle" : "", "parse-names" : false, "suffix" : "" } ], "container-title" : "Annals of Botany", "id" : "ITEM-4", "issue" : "7", "issued" : { "date-parts" : [ [ "2010" ] ] }, "page" : "1141-1157", "title" : "Nitrogen uptake, assimilation and remobilization in plants: Challenges for sustainable and productive agriculture", "type" : "article-journal", "volume" : "105" }, "uris" : [ "http://www.mendeley.com/documents/?uuid=b92ca514-eac6-4c5b-98a3-db622e6a4797" ] }, { "id" : "ITEM-5", "itemData" : { "DOI" : "10.1046/j.1365-3040.1999.00386.x", "ISSN" : "0140-7791", "author" : [ { "dropping-particle" : "", "family" : "Stitt", "given" : "M.", "non-dropping-particle" : "", "parse-names" : false, "suffix" : "" }, { "dropping-particle" : "", "family" : "Krapp", "given" : "A.", "non-dropping-particle" : "", "parse-names" : false, "suffix" : "" } ], "container-title" : "Plant, Cell &amp; Environment", "id" : "ITEM-5", "issue" : "6", "issued" : { "date-parts" : [ [ "1999", "6" ] ] }, "page" : "583-621", "title" : "The interaction between elevated carbon dioxide and nitrogen nutrition: the physiological and molecular background", "type" : "article-journal", "volume" : "22" }, "uris" : [ "http://www.mendeley.com/documents/?uuid=12d0f917-f3d6-43c6-92fa-0d13f38659a0" ] } ], "mendeley" : { "formattedCitation" : "(Stitt and Krapp, 1999; Smith and Stitt, 2007; Masclaux-Daubresse &lt;i&gt;et al.&lt;/i&gt;, 2010; Lawlor and Paul, 2014; White &lt;i&gt;et al.&lt;/i&gt;, 2016)", "plainTextFormattedCitation" : "(Stitt and Krapp, 1999; Smith and Stitt, 2007; Masclaux-Daubresse et al., 2010; Lawlor and Paul, 2014; White et al., 2016)", "previouslyFormattedCitation" : "(Stitt and Krapp, 1999; Smith and Stitt, 2007; Masclaux-Daubresse &lt;i&gt;et al.&lt;/i&gt;, 2010; Lawlor and Paul, 2014; White &lt;i&gt;et al.&lt;/i&gt;, 2016)" }, "properties" : { "noteIndex" : 0 }, "schema" : "https://github.com/citation-style-language/schema/raw/master/csl-citation.json" }</w:instrText>
      </w:r>
      <w:r>
        <w:rPr>
          <w:rFonts w:ascii="Cambria" w:hAnsi="Cambria"/>
        </w:rPr>
        <w:fldChar w:fldCharType="separate"/>
      </w:r>
      <w:r w:rsidR="00E25053" w:rsidRPr="00E25053">
        <w:rPr>
          <w:rFonts w:ascii="Cambria" w:hAnsi="Cambria"/>
          <w:noProof/>
        </w:rPr>
        <w:t xml:space="preserve">(Stitt and Krapp, 1999; Smith and Stitt, 2007; Masclaux-Daubresse </w:t>
      </w:r>
      <w:r w:rsidR="00E25053" w:rsidRPr="00E25053">
        <w:rPr>
          <w:rFonts w:ascii="Cambria" w:hAnsi="Cambria"/>
          <w:i/>
          <w:noProof/>
        </w:rPr>
        <w:t>et al.</w:t>
      </w:r>
      <w:r w:rsidR="00E25053" w:rsidRPr="00E25053">
        <w:rPr>
          <w:rFonts w:ascii="Cambria" w:hAnsi="Cambria"/>
          <w:noProof/>
        </w:rPr>
        <w:t xml:space="preserve">, 2010; Lawlor and Paul, 2014; White </w:t>
      </w:r>
      <w:r w:rsidR="00E25053" w:rsidRPr="00E25053">
        <w:rPr>
          <w:rFonts w:ascii="Cambria" w:hAnsi="Cambria"/>
          <w:i/>
          <w:noProof/>
        </w:rPr>
        <w:t>et al.</w:t>
      </w:r>
      <w:r w:rsidR="00E25053" w:rsidRPr="00E25053">
        <w:rPr>
          <w:rFonts w:ascii="Cambria" w:hAnsi="Cambria"/>
          <w:noProof/>
        </w:rPr>
        <w:t>, 2016)</w:t>
      </w:r>
      <w:r>
        <w:rPr>
          <w:rFonts w:ascii="Cambria" w:hAnsi="Cambria"/>
        </w:rPr>
        <w:fldChar w:fldCharType="end"/>
      </w:r>
      <w:r w:rsidR="009133B6">
        <w:rPr>
          <w:rFonts w:ascii="Cambria" w:hAnsi="Cambria"/>
        </w:rPr>
        <w:t xml:space="preserve"> could be another target for alleviating sink limitation and enabling increased crop yields.</w:t>
      </w:r>
      <w:r w:rsidR="00B1371D">
        <w:rPr>
          <w:rFonts w:ascii="Cambria" w:hAnsi="Cambria"/>
        </w:rPr>
        <w:t xml:space="preserve">  The signalling pathways facilitating communication between sources and sinks of carbon and nitrogen form another target for crop improvement.  Manipulating the signalling pathway that integrates photosynthesis and starch synthesis, for example, has been shown to </w:t>
      </w:r>
      <w:r w:rsidR="006D1976">
        <w:rPr>
          <w:rFonts w:ascii="Cambria" w:hAnsi="Cambria"/>
        </w:rPr>
        <w:t>increase</w:t>
      </w:r>
      <w:r w:rsidR="00B1371D">
        <w:rPr>
          <w:rFonts w:ascii="Cambria" w:hAnsi="Cambria"/>
        </w:rPr>
        <w:t xml:space="preserve"> yield in</w:t>
      </w:r>
      <w:r w:rsidR="00B44FB5">
        <w:rPr>
          <w:rFonts w:ascii="Cambria" w:hAnsi="Cambria"/>
        </w:rPr>
        <w:t xml:space="preserve"> maize </w:t>
      </w:r>
      <w:r w:rsidR="00B44FB5">
        <w:rPr>
          <w:rFonts w:ascii="Cambria" w:hAnsi="Cambria"/>
        </w:rPr>
        <w:fldChar w:fldCharType="begin" w:fldLock="1"/>
      </w:r>
      <w:r w:rsidR="00B44FB5">
        <w:rPr>
          <w:rFonts w:ascii="Cambria" w:hAnsi="Cambria"/>
        </w:rPr>
        <w:instrText>ADDIN CSL_CITATION { "citationItems" : [ { "id" : "ITEM-1", "itemData" : { "DOI" : "10.1038/nbt.3277", "ISBN" : "1087-0156", "ISSN" : "1087-0156", "PMID" : "26121413", "abstract" : "Maize, the highest-yielding cereal crop worldwide, is particularly susceptible to drought during its 2- to 3-week flowering period. Many genetic engineering strategies for drought tolerance impinge on plant development, reduce maximum yield potential or do not translate from laboratory conditions to the field. We overexpressed a gene encoding a rice trehalose-6-phosphate phosphatase (TPP) in developing maize ears using a floral promoter. This reduced the concentration of trehalose-6-phosphate (T6P), a sugar signal that regulates growth and development, and increased the concentration of sucrose in ear spikelets. Overexpression of TPP increased both kernel set and harvest index. Field data at several sites and over multiple seasons showed that the engineered trait improved yields from 9% to 49% under non-drought or mild drought conditions, and from 31% to 123% under more severe drought conditions, relative to yields from nontransgenic controls.", "author" : [ { "dropping-particle" : "", "family" : "Nuccio", "given" : "Michael L", "non-dropping-particle" : "", "parse-names" : false, "suffix" : "" }, { "dropping-particle" : "", "family" : "Wu", "given" : "Jeff", "non-dropping-particle" : "", "parse-names" : false, "suffix" : "" }, { "dropping-particle" : "", "family" : "Mowers", "given" : "Ron", "non-dropping-particle" : "", "parse-names" : false, "suffix" : "" }, { "dropping-particle" : "", "family" : "Zhou", "given" : "Hua-Ping", "non-dropping-particle" : "", "parse-names" : false, "suffix" : "" }, { "dropping-particle" : "", "family" : "Meghji", "given" : "Moez", "non-dropping-particle" : "", "parse-names" : false, "suffix" : "" }, { "dropping-particle" : "", "family" : "Primavesi", "given" : "Lucia F", "non-dropping-particle" : "", "parse-names" : false, "suffix" : "" }, { "dropping-particle" : "", "family" : "Paul", "given" : "Matthew J", "non-dropping-particle" : "", "parse-names" : false, "suffix" : "" }, { "dropping-particle" : "", "family" : "Chen", "given" : "Xi", "non-dropping-particle" : "", "parse-names" : false, "suffix" : "" }, { "dropping-particle" : "", "family" : "Gao", "given" : "Yan", "non-dropping-particle" : "", "parse-names" : false, "suffix" : "" }, { "dropping-particle" : "", "family" : "Haque", "given" : "Emdadul", "non-dropping-particle" : "", "parse-names" : false, "suffix" : "" }, { "dropping-particle" : "", "family" : "Basu", "given" : "Shib Sankar", "non-dropping-particle" : "", "parse-names" : false, "suffix" : "" }, { "dropping-particle" : "", "family" : "Lagrimini", "given" : "L Mark", "non-dropping-particle" : "", "parse-names" : false, "suffix" : "" } ], "container-title" : "Nature Biotechnology", "id" : "ITEM-1", "issue" : "October 2014", "issued" : { "date-parts" : [ [ "2015" ] ] }, "page" : "1-13", "title" : "Expression of trehalose-6-phosphate phosphatase in maize ears improves yield in well-watered and drought conditions", "type" : "article-journal", "volume" : "33" }, "uris" : [ "http://www.mendeley.com/documents/?uuid=2f7a6fd5-b6b9-4a3f-8da2-3fd1f9c41176" ] } ], "mendeley" : { "formattedCitation" : "(Nuccio &lt;i&gt;et al.&lt;/i&gt;, 2015)", "plainTextFormattedCitation" : "(Nuccio et al., 2015)", "previouslyFormattedCitation" : "(Nuccio &lt;i&gt;et al.&lt;/i&gt;, 2015)" }, "properties" : { "noteIndex" : 0 }, "schema" : "https://github.com/citation-style-language/schema/raw/master/csl-citation.json" }</w:instrText>
      </w:r>
      <w:r w:rsidR="00B44FB5">
        <w:rPr>
          <w:rFonts w:ascii="Cambria" w:hAnsi="Cambria"/>
        </w:rPr>
        <w:fldChar w:fldCharType="separate"/>
      </w:r>
      <w:r w:rsidR="00B44FB5" w:rsidRPr="00B44FB5">
        <w:rPr>
          <w:rFonts w:ascii="Cambria" w:hAnsi="Cambria"/>
          <w:noProof/>
        </w:rPr>
        <w:t xml:space="preserve">(Nuccio </w:t>
      </w:r>
      <w:r w:rsidR="00B44FB5" w:rsidRPr="00B44FB5">
        <w:rPr>
          <w:rFonts w:ascii="Cambria" w:hAnsi="Cambria"/>
          <w:i/>
          <w:noProof/>
        </w:rPr>
        <w:t>et al.</w:t>
      </w:r>
      <w:r w:rsidR="00B44FB5" w:rsidRPr="00B44FB5">
        <w:rPr>
          <w:rFonts w:ascii="Cambria" w:hAnsi="Cambria"/>
          <w:noProof/>
        </w:rPr>
        <w:t>, 2015)</w:t>
      </w:r>
      <w:r w:rsidR="00B44FB5">
        <w:rPr>
          <w:rFonts w:ascii="Cambria" w:hAnsi="Cambria"/>
        </w:rPr>
        <w:fldChar w:fldCharType="end"/>
      </w:r>
      <w:r w:rsidR="00B1371D">
        <w:rPr>
          <w:rFonts w:ascii="Cambria" w:hAnsi="Cambria"/>
        </w:rPr>
        <w:t xml:space="preserve">.  Alongside work to increase sink capacity directly, signalling mechanisms in barley could also be investigated as a potential means of increasing growth and yield.  </w:t>
      </w:r>
      <w:r w:rsidR="006D1976">
        <w:rPr>
          <w:rFonts w:ascii="Cambria" w:hAnsi="Cambria"/>
        </w:rPr>
        <w:t>Furthermore, m</w:t>
      </w:r>
      <w:r w:rsidR="00B1371D">
        <w:rPr>
          <w:rFonts w:ascii="Cambria" w:hAnsi="Cambria"/>
        </w:rPr>
        <w:t>odelling will be an important part of developing future crops through collaborative re</w:t>
      </w:r>
      <w:r w:rsidR="00B1371D" w:rsidRPr="00F12904">
        <w:rPr>
          <w:rFonts w:ascii="Cambria" w:hAnsi="Cambria"/>
        </w:rPr>
        <w:t xml:space="preserve">search.  </w:t>
      </w:r>
      <w:r w:rsidR="00F12904" w:rsidRPr="00F12904">
        <w:rPr>
          <w:rFonts w:ascii="Cambria" w:hAnsi="Cambria"/>
        </w:rPr>
        <w:fldChar w:fldCharType="begin" w:fldLock="1"/>
      </w:r>
      <w:r w:rsidR="00D420FE">
        <w:rPr>
          <w:rFonts w:ascii="Cambria" w:hAnsi="Cambria"/>
        </w:rPr>
        <w:instrText>ADDIN CSL_CITATION { "citationItems" : [ { "id" : "ITEM-1", "itemData" : { "DOI" : "10.1111/pce.12673", "ISSN" : "01407791", "PMID" : "26523481", "abstract" : "A paradigm shift is needed and timely in moving plant modelling from largely isolated efforts to a connected community endeavour that can take full advantage of advances in computer science and in mechanistic under- standing of plant processes. Plants in silico (Psi) envisions a digital representation of layered dynamic modules, linking from gene networks and metabolic pathways through to cellular organization, tissue, organ and whole plant devel- opment, together with resource capture and use efficiency in dynamic competitive environments, ultimately allowing a mechanistically rich simulation of the plant or of a com- munity of plants in silico. The concept is to integrate models or modules from different layers of organization spanning from genome to phenome to ecosystem in a modular framework allowing the use of modules of varying mechanistic detail representing the same biological process. Developments in high-performance computing, functional knowledge of plants, the internet and open-source version controlled software make achieving the concept realistic. Open source will enhance collaboration and move towards testing and consensus on quantitative theoretical frame- works. Importantly, Psi provides a quantitative knowledge framework where the implications of a discovery at one level, for example, single gene function or developmental response, can be examined at the whole plant or even crop and natural ecosystem levels.", "author" : [ { "dropping-particle" : "", "family" : "Zhu", "given" : "Xin-Guang", "non-dropping-particle" : "", "parse-names" : false, "suffix" : "" }, { "dropping-particle" : "", "family" : "Lynch", "given" : "Jonathan P.", "non-dropping-particle" : "", "parse-names" : false, "suffix" : "" }, { "dropping-particle" : "", "family" : "LeBauer", "given" : "David S.", "non-dropping-particle" : "", "parse-names" : false, "suffix" : "" }, { "dropping-particle" : "", "family" : "Millar", "given" : "Andrew J.", "non-dropping-particle" : "", "parse-names" : false, "suffix" : "" }, { "dropping-particle" : "", "family" : "Stitt", "given" : "Mark", "non-dropping-particle" : "", "parse-names" : false, "suffix" : "" }, { "dropping-particle" : "", "family" : "Long", "given" : "Stephen P.", "non-dropping-particle" : "", "parse-names" : false, "suffix" : "" } ], "container-title" : "Plant, Cell and Environment", "id" : "ITEM-1", "issued" : { "date-parts" : [ [ "2016" ] ] }, "page" : "1049-1057", "title" : "Plants in silico: why, why now and what? - an integrative platform for plant systems biology research.", "type" : "article-journal", "volume" : "39" }, "uris" : [ "http://www.mendeley.com/documents/?uuid=0f8afdf8-980f-4407-9388-be7011bd00d8" ] } ], "mendeley" : { "formattedCitation" : "(Zhu &lt;i&gt;et al.&lt;/i&gt;, 2016)", "manualFormatting" : "Zhu et al. (2016)", "plainTextFormattedCitation" : "(Zhu et al., 2016)", "previouslyFormattedCitation" : "(Zhu &lt;i&gt;et al.&lt;/i&gt;, 2016)" }, "properties" : { "noteIndex" : 0 }, "schema" : "https://github.com/citation-style-language/schema/raw/master/csl-citation.json" }</w:instrText>
      </w:r>
      <w:r w:rsidR="00F12904" w:rsidRPr="00F12904">
        <w:rPr>
          <w:rFonts w:ascii="Cambria" w:hAnsi="Cambria"/>
        </w:rPr>
        <w:fldChar w:fldCharType="separate"/>
      </w:r>
      <w:r w:rsidR="00F12904" w:rsidRPr="00F12904">
        <w:rPr>
          <w:rFonts w:ascii="Cambria" w:hAnsi="Cambria"/>
          <w:noProof/>
        </w:rPr>
        <w:t xml:space="preserve">Zhu </w:t>
      </w:r>
      <w:r w:rsidR="00F12904" w:rsidRPr="00F12904">
        <w:rPr>
          <w:rFonts w:ascii="Cambria" w:hAnsi="Cambria"/>
          <w:i/>
          <w:noProof/>
        </w:rPr>
        <w:t>et al.</w:t>
      </w:r>
      <w:r w:rsidR="00F12904" w:rsidRPr="00F12904">
        <w:rPr>
          <w:rFonts w:ascii="Cambria" w:hAnsi="Cambria"/>
          <w:noProof/>
        </w:rPr>
        <w:t xml:space="preserve"> (2016)</w:t>
      </w:r>
      <w:r w:rsidR="00F12904" w:rsidRPr="00F12904">
        <w:rPr>
          <w:rFonts w:ascii="Cambria" w:hAnsi="Cambria"/>
        </w:rPr>
        <w:fldChar w:fldCharType="end"/>
      </w:r>
      <w:r w:rsidR="00B1371D">
        <w:rPr>
          <w:rFonts w:ascii="Cambria" w:hAnsi="Cambria"/>
          <w:color w:val="FF0000"/>
        </w:rPr>
        <w:t xml:space="preserve"> </w:t>
      </w:r>
      <w:r w:rsidR="00B1371D">
        <w:rPr>
          <w:rFonts w:ascii="Cambria" w:hAnsi="Cambria"/>
        </w:rPr>
        <w:t xml:space="preserve">make a strong case for the need for coherent collaboration in order to utilise modelling work effectively.  This will be an important aspect of breeding for increased yield, since modelling can bring about increased understanding of the impacts of, for example, external environmental factors on sources and sinks.  The approach </w:t>
      </w:r>
      <w:r w:rsidR="00B1371D" w:rsidRPr="00BA5283">
        <w:rPr>
          <w:rFonts w:ascii="Cambria" w:hAnsi="Cambria"/>
        </w:rPr>
        <w:t xml:space="preserve">advocated by Zhu </w:t>
      </w:r>
      <w:r w:rsidR="00B1371D" w:rsidRPr="00BA5283">
        <w:rPr>
          <w:rFonts w:ascii="Cambria" w:hAnsi="Cambria"/>
          <w:i/>
        </w:rPr>
        <w:t>et al</w:t>
      </w:r>
      <w:r w:rsidR="00B1371D" w:rsidRPr="00BA5283">
        <w:rPr>
          <w:rFonts w:ascii="Cambria" w:hAnsi="Cambria"/>
        </w:rPr>
        <w:t>. is a multi-layer mode</w:t>
      </w:r>
      <w:r w:rsidR="00BA5283" w:rsidRPr="00BA5283">
        <w:rPr>
          <w:rFonts w:ascii="Cambria" w:hAnsi="Cambria"/>
        </w:rPr>
        <w:t>lling community, enabling insig</w:t>
      </w:r>
      <w:r w:rsidR="00B1371D" w:rsidRPr="00BA5283">
        <w:rPr>
          <w:rFonts w:ascii="Cambria" w:hAnsi="Cambria"/>
        </w:rPr>
        <w:t>h</w:t>
      </w:r>
      <w:r w:rsidR="00BA5283" w:rsidRPr="00BA5283">
        <w:rPr>
          <w:rFonts w:ascii="Cambria" w:hAnsi="Cambria"/>
        </w:rPr>
        <w:t>t</w:t>
      </w:r>
      <w:r w:rsidR="00B1371D" w:rsidRPr="00BA5283">
        <w:rPr>
          <w:rFonts w:ascii="Cambria" w:hAnsi="Cambria"/>
        </w:rPr>
        <w:t xml:space="preserve">s from the genetic to the </w:t>
      </w:r>
      <w:r w:rsidR="00B1371D" w:rsidRPr="00E43572">
        <w:rPr>
          <w:rFonts w:ascii="Cambria" w:hAnsi="Cambria"/>
        </w:rPr>
        <w:t>ecological level to be integrated into a holistic picture of growth, of great interest for developing breeding goals dependent on environmental factors</w:t>
      </w:r>
      <w:r w:rsidR="00E43572" w:rsidRPr="00E43572">
        <w:rPr>
          <w:rFonts w:ascii="Cambria" w:hAnsi="Cambria"/>
        </w:rPr>
        <w:t xml:space="preserve">, and linking with the concept of physiological breeding which unites genetic strategies with </w:t>
      </w:r>
      <w:proofErr w:type="spellStart"/>
      <w:r w:rsidR="00E43572" w:rsidRPr="00E43572">
        <w:rPr>
          <w:rFonts w:ascii="Cambria" w:hAnsi="Cambria"/>
        </w:rPr>
        <w:t>phenomic</w:t>
      </w:r>
      <w:proofErr w:type="spellEnd"/>
      <w:r w:rsidR="00E43572" w:rsidRPr="00E43572">
        <w:rPr>
          <w:rFonts w:ascii="Cambria" w:hAnsi="Cambria"/>
        </w:rPr>
        <w:t xml:space="preserve"> screening </w:t>
      </w:r>
      <w:r w:rsidR="00E43572" w:rsidRPr="00E43572">
        <w:rPr>
          <w:rFonts w:ascii="Cambria" w:hAnsi="Cambria"/>
        </w:rPr>
        <w:fldChar w:fldCharType="begin" w:fldLock="1"/>
      </w:r>
      <w:r w:rsidR="000865EF">
        <w:rPr>
          <w:rFonts w:ascii="Cambria" w:hAnsi="Cambria"/>
        </w:rPr>
        <w:instrText>ADDIN CSL_CITATION { "citationItems" : [ { "id" : "ITEM-1", "itemData" : { "DOI" : "10.1016/j.pbi.2016.04.005", "ISSN" : "13695266", "PMID" : "27161822", "author" : [ { "dropping-particle" : "", "family" : "Reynolds", "given" : "Matthew", "non-dropping-particle" : "", "parse-names" : false, "suffix" : "" }, { "dropping-particle" : "", "family" : "Langridge", "given" : "Peter", "non-dropping-particle" : "", "parse-names" : false, "suffix" : "" } ], "container-title" : "Current Opinion in Plant Biology", "id" : "ITEM-1", "issued" : { "date-parts" : [ [ "2016" ] ] }, "page" : "162-171", "publisher" : "Elsevier Ltd", "title" : "Physiological breeding", "type" : "article-journal", "volume" : "31" }, "uris" : [ "http://www.mendeley.com/documents/?uuid=42030101-a775-4db6-b84a-2bf1ce03a925" ] } ], "mendeley" : { "formattedCitation" : "(Reynolds and Langridge, 2016)", "plainTextFormattedCitation" : "(Reynolds and Langridge, 2016)", "previouslyFormattedCitation" : "(Reynolds and Langridge, 2016)" }, "properties" : { "noteIndex" : 0 }, "schema" : "https://github.com/citation-style-language/schema/raw/master/csl-citation.json" }</w:instrText>
      </w:r>
      <w:r w:rsidR="00E43572" w:rsidRPr="00E43572">
        <w:rPr>
          <w:rFonts w:ascii="Cambria" w:hAnsi="Cambria"/>
        </w:rPr>
        <w:fldChar w:fldCharType="separate"/>
      </w:r>
      <w:r w:rsidR="00E43572" w:rsidRPr="00E43572">
        <w:rPr>
          <w:rFonts w:ascii="Cambria" w:hAnsi="Cambria"/>
          <w:noProof/>
        </w:rPr>
        <w:t>(Reynolds and Langridge, 2016)</w:t>
      </w:r>
      <w:r w:rsidR="00E43572" w:rsidRPr="00E43572">
        <w:rPr>
          <w:rFonts w:ascii="Cambria" w:hAnsi="Cambria"/>
        </w:rPr>
        <w:fldChar w:fldCharType="end"/>
      </w:r>
      <w:r w:rsidR="00B1371D" w:rsidRPr="00E43572">
        <w:rPr>
          <w:rFonts w:ascii="Cambria" w:hAnsi="Cambria"/>
        </w:rPr>
        <w:t>.</w:t>
      </w:r>
      <w:r w:rsidR="00B1371D" w:rsidRPr="00BA5283">
        <w:rPr>
          <w:rFonts w:ascii="Cambria" w:hAnsi="Cambria"/>
        </w:rPr>
        <w:t xml:space="preserve">  </w:t>
      </w:r>
    </w:p>
    <w:p w14:paraId="6133D5E3" w14:textId="77777777" w:rsidR="00E90DA6" w:rsidRDefault="00E90DA6" w:rsidP="00BA5283">
      <w:pPr>
        <w:spacing w:line="360" w:lineRule="auto"/>
        <w:jc w:val="both"/>
        <w:rPr>
          <w:rFonts w:ascii="Cambria" w:hAnsi="Cambria"/>
        </w:rPr>
      </w:pPr>
    </w:p>
    <w:p w14:paraId="5EE5F3DB" w14:textId="1A98564F" w:rsidR="009133B6" w:rsidRPr="00E43572" w:rsidRDefault="00B1371D" w:rsidP="00BA5283">
      <w:pPr>
        <w:spacing w:line="360" w:lineRule="auto"/>
        <w:jc w:val="both"/>
        <w:rPr>
          <w:rFonts w:ascii="Cambria" w:hAnsi="Cambria"/>
          <w:color w:val="FF0000"/>
        </w:rPr>
      </w:pPr>
      <w:r w:rsidRPr="00BA5283">
        <w:rPr>
          <w:rFonts w:ascii="Cambria" w:hAnsi="Cambria"/>
        </w:rPr>
        <w:t xml:space="preserve">However, </w:t>
      </w:r>
      <w:r w:rsidR="00BA5283" w:rsidRPr="00BA5283">
        <w:rPr>
          <w:rFonts w:ascii="Cambria" w:hAnsi="Cambria"/>
        </w:rPr>
        <w:t xml:space="preserve">the need to base models on species-specific parameters must not be under-estimated.  </w:t>
      </w:r>
      <w:r w:rsidR="00802281">
        <w:rPr>
          <w:rFonts w:ascii="Cambria" w:hAnsi="Cambria" w:cs="Arial"/>
        </w:rPr>
        <w:t>T</w:t>
      </w:r>
      <w:r w:rsidR="00802281" w:rsidRPr="00BA5283">
        <w:rPr>
          <w:rFonts w:ascii="Cambria" w:hAnsi="Cambria" w:cs="Arial"/>
        </w:rPr>
        <w:t xml:space="preserve">he physiology and metabolism of </w:t>
      </w:r>
      <w:r w:rsidR="00802281" w:rsidRPr="00BA5283">
        <w:rPr>
          <w:rFonts w:ascii="Cambria" w:hAnsi="Cambria" w:cs="Arial"/>
          <w:i/>
        </w:rPr>
        <w:t xml:space="preserve">Arabidopsis </w:t>
      </w:r>
      <w:r w:rsidR="00802281" w:rsidRPr="00BA5283">
        <w:rPr>
          <w:rFonts w:ascii="Cambria" w:hAnsi="Cambria" w:cs="Arial"/>
        </w:rPr>
        <w:t xml:space="preserve">do not always map onto those of crop plants </w:t>
      </w:r>
      <w:r w:rsidR="00802281" w:rsidRPr="00BA5283">
        <w:rPr>
          <w:rFonts w:ascii="Cambria" w:hAnsi="Cambria" w:cs="Arial"/>
        </w:rPr>
        <w:fldChar w:fldCharType="begin" w:fldLock="1"/>
      </w:r>
      <w:r w:rsidR="00802281" w:rsidRPr="00BA5283">
        <w:rPr>
          <w:rFonts w:ascii="Cambria" w:hAnsi="Cambria" w:cs="Arial"/>
        </w:rPr>
        <w:instrText>ADDIN CSL_CITATION { "citationItems" : [ { "id" : "ITEM-1", "itemData" : { "DOI" : "10.1093/jxb/erv447", "ISSN" : "0022-0957", "author" : [ { "dropping-particle" : "", "family" : "White", "given" : "Angela C.", "non-dropping-particle" : "", "parse-names" : false, "suffix" : "" }, { "dropping-particle" : "", "family" : "Rogers", "given" : "Alistair", "non-dropping-particle" : "", "parse-names" : false, "suffix" : "" }, { "dropping-particle" : "", "family" : "Rees", "given" : "Mark", "non-dropping-particle" : "", "parse-names" : false, "suffix" : "" }, { "dropping-particle" : "", "family" : "Osborne", "given" : "Colin P.", "non-dropping-particle" : "", "parse-names" : false, "suffix" : "" } ], "container-title" : "Journal of Experimental Botany", "id" : "ITEM-1", "issue" : "1", "issued" : { "date-parts" : [ [ "2016" ] ] }, "page" : "31-45", "title" : "How can we make plants grow faster? A source\u2013sink perspective on growth rate", "type" : "article-journal", "volume" : "67" }, "uris" : [ "http://www.mendeley.com/documents/?uuid=071fcd57-e076-410e-903a-444abfb30785" ] } ], "mendeley" : { "formattedCitation" : "(White &lt;i&gt;et al.&lt;/i&gt;, 2016)", "plainTextFormattedCitation" : "(White et al., 2016)", "previouslyFormattedCitation" : "(White &lt;i&gt;et al.&lt;/i&gt;, 2016)" }, "properties" : { "noteIndex" : 0 }, "schema" : "https://github.com/citation-style-language/schema/raw/master/csl-citation.json" }</w:instrText>
      </w:r>
      <w:r w:rsidR="00802281" w:rsidRPr="00BA5283">
        <w:rPr>
          <w:rFonts w:ascii="Cambria" w:hAnsi="Cambria" w:cs="Arial"/>
        </w:rPr>
        <w:fldChar w:fldCharType="separate"/>
      </w:r>
      <w:r w:rsidR="00802281" w:rsidRPr="00BA5283">
        <w:rPr>
          <w:rFonts w:ascii="Cambria" w:hAnsi="Cambria" w:cs="Arial"/>
          <w:noProof/>
        </w:rPr>
        <w:t xml:space="preserve">(White </w:t>
      </w:r>
      <w:r w:rsidR="00802281" w:rsidRPr="00BA5283">
        <w:rPr>
          <w:rFonts w:ascii="Cambria" w:hAnsi="Cambria" w:cs="Arial"/>
          <w:i/>
          <w:noProof/>
        </w:rPr>
        <w:t>et al.</w:t>
      </w:r>
      <w:r w:rsidR="00802281" w:rsidRPr="00BA5283">
        <w:rPr>
          <w:rFonts w:ascii="Cambria" w:hAnsi="Cambria" w:cs="Arial"/>
          <w:noProof/>
        </w:rPr>
        <w:t>, 2016)</w:t>
      </w:r>
      <w:r w:rsidR="00802281" w:rsidRPr="00BA5283">
        <w:rPr>
          <w:rFonts w:ascii="Cambria" w:hAnsi="Cambria" w:cs="Arial"/>
        </w:rPr>
        <w:fldChar w:fldCharType="end"/>
      </w:r>
      <w:r w:rsidR="00802281" w:rsidRPr="00BA5283">
        <w:rPr>
          <w:rFonts w:ascii="Cambria" w:hAnsi="Cambria" w:cs="Arial"/>
        </w:rPr>
        <w:t xml:space="preserve">.  </w:t>
      </w:r>
      <w:r w:rsidR="00BA5283" w:rsidRPr="00BA5283">
        <w:rPr>
          <w:rFonts w:ascii="Cambria" w:hAnsi="Cambria"/>
        </w:rPr>
        <w:t>For</w:t>
      </w:r>
      <w:r w:rsidR="00802281">
        <w:rPr>
          <w:rFonts w:ascii="Cambria" w:hAnsi="Cambria"/>
        </w:rPr>
        <w:t xml:space="preserve"> example</w:t>
      </w:r>
      <w:r w:rsidR="00BA5283" w:rsidRPr="00BA5283">
        <w:rPr>
          <w:rFonts w:ascii="Cambria" w:hAnsi="Cambria"/>
        </w:rPr>
        <w:t xml:space="preserve">, the fact that species differ in their metabolite storage strategies must be treated carefully.  </w:t>
      </w:r>
      <w:r w:rsidR="00BA5283">
        <w:rPr>
          <w:rFonts w:ascii="Cambria" w:hAnsi="Cambria"/>
        </w:rPr>
        <w:t>Indeed,</w:t>
      </w:r>
      <w:r w:rsidR="00BA5283" w:rsidRPr="00BA5283">
        <w:rPr>
          <w:rFonts w:ascii="Cambria" w:hAnsi="Cambria" w:cs="Arial"/>
        </w:rPr>
        <w:t xml:space="preserve"> the negative correlation between starch and biomass observed in a range of accessions of </w:t>
      </w:r>
      <w:r w:rsidR="00BA5283" w:rsidRPr="00BA5283">
        <w:rPr>
          <w:rFonts w:ascii="Cambria" w:hAnsi="Cambria" w:cs="Arial"/>
          <w:i/>
        </w:rPr>
        <w:t xml:space="preserve">Arabidopsis </w:t>
      </w:r>
      <w:r w:rsidR="00BA5283" w:rsidRPr="00BA5283">
        <w:rPr>
          <w:rFonts w:ascii="Cambria" w:hAnsi="Cambria" w:cs="Arial"/>
          <w:i/>
        </w:rPr>
        <w:fldChar w:fldCharType="begin" w:fldLock="1"/>
      </w:r>
      <w:r w:rsidR="00BA5283" w:rsidRPr="00BA5283">
        <w:rPr>
          <w:rFonts w:ascii="Cambria" w:hAnsi="Cambria" w:cs="Arial"/>
          <w:i/>
        </w:rPr>
        <w:instrText>ADDIN CSL_CITATION { "citationItems" : [ { "id" : "ITEM-1", "itemData" : { "author" : [ { "dropping-particle" : "", "family" : "Sulpice", "given" : "Ronan", "non-dropping-particle" : "", "parse-names" : false, "suffix" : "" }, { "dropping-particle" : "", "family" : "Pyl", "given" : "Eva-theresa", "non-dropping-particle" : "", "parse-names" : false, "suffix" : "" }, { "dropping-particle" : "", "family" : "Ishihara", "given" : "Hirofumi", "non-dropping-particle" : "", "parse-names" : false, "suffix" : "" }, { "dropping-particle" : "", "family" : "Trenkamp", "given" : "Sandra", "non-dropping-particle" : "", "parse-names" : false, "suffix" : "" }, { "dropping-particle" : "", "family" : "Steinfath", "given" : "Matthias", "non-dropping-particle" : "", "parse-names" : false, "suffix" : "" }, { "dropping-particle" : "", "family" : "Witucka-wall", "given" : "Hanna", "non-dropping-particle" : "", "parse-names" : false, "suffix" : "" }, { "dropping-particle" : "Von", "family" : "Korff", "given" : "Maria", "non-dropping-particle" : "", "parse-names" : false, "suffix" : "" }, { "dropping-particle" : "", "family" : "Caroline", "given" : "Marie", "non-dropping-particle" : "", "parse-names" : false, "suffix" : "" }, { "dropping-particle" : "", "family" : "Gibon", "given" : "Yves", "non-dropping-particle" : "", "parse-names" : false, "suffix" : "" }, { "dropping-particle" : "", "family" : "Stitt", "given" : "Mark", "non-dropping-particle" : "", "parse-names" : false, "suffix" : "" } ], "container-title" : "Proceedings of the National Academy of Sciences of the United States of America", "id" : "ITEM-1", "issue" : "25", "issued" : { "date-parts" : [ [ "2009" ] ] }, "page" : "10348-10353", "title" : "Starch as a major integrator in the regulation of plant growth", "type" : "article-journal", "volume" : "106" }, "uris" : [ "http://www.mendeley.com/documents/?uuid=9cc4311a-cd13-472d-8217-994ca91275e6" ] } ], "mendeley" : { "formattedCitation" : "(Sulpice &lt;i&gt;et al.&lt;/i&gt;, 2009)", "plainTextFormattedCitation" : "(Sulpice et al., 2009)", "previouslyFormattedCitation" : "(Sulpice &lt;i&gt;et al.&lt;/i&gt;, 2009)" }, "properties" : { "noteIndex" : 0 }, "schema" : "https://github.com/citation-style-language/schema/raw/master/csl-citation.json" }</w:instrText>
      </w:r>
      <w:r w:rsidR="00BA5283" w:rsidRPr="00BA5283">
        <w:rPr>
          <w:rFonts w:ascii="Cambria" w:hAnsi="Cambria" w:cs="Arial"/>
          <w:i/>
        </w:rPr>
        <w:fldChar w:fldCharType="separate"/>
      </w:r>
      <w:r w:rsidR="00BA5283" w:rsidRPr="00BA5283">
        <w:rPr>
          <w:rFonts w:ascii="Cambria" w:hAnsi="Cambria" w:cs="Arial"/>
          <w:noProof/>
        </w:rPr>
        <w:t xml:space="preserve">(Sulpice </w:t>
      </w:r>
      <w:r w:rsidR="00BA5283" w:rsidRPr="00BA5283">
        <w:rPr>
          <w:rFonts w:ascii="Cambria" w:hAnsi="Cambria" w:cs="Arial"/>
          <w:i/>
          <w:noProof/>
        </w:rPr>
        <w:t>et al.</w:t>
      </w:r>
      <w:r w:rsidR="00BA5283" w:rsidRPr="00BA5283">
        <w:rPr>
          <w:rFonts w:ascii="Cambria" w:hAnsi="Cambria" w:cs="Arial"/>
          <w:noProof/>
        </w:rPr>
        <w:t>, 2009)</w:t>
      </w:r>
      <w:r w:rsidR="00BA5283" w:rsidRPr="00BA5283">
        <w:rPr>
          <w:rFonts w:ascii="Cambria" w:hAnsi="Cambria" w:cs="Arial"/>
          <w:i/>
        </w:rPr>
        <w:fldChar w:fldCharType="end"/>
      </w:r>
      <w:r w:rsidR="00BA5283" w:rsidRPr="00BA5283">
        <w:rPr>
          <w:rFonts w:ascii="Cambria" w:hAnsi="Cambria" w:cs="Arial"/>
          <w:i/>
        </w:rPr>
        <w:t xml:space="preserve"> </w:t>
      </w:r>
      <w:r w:rsidR="00BA5283" w:rsidRPr="00BA5283">
        <w:rPr>
          <w:rFonts w:ascii="Cambria" w:hAnsi="Cambria" w:cs="Arial"/>
        </w:rPr>
        <w:t xml:space="preserve">is not borne out by the data </w:t>
      </w:r>
      <w:r w:rsidR="00BA5283">
        <w:rPr>
          <w:rFonts w:ascii="Cambria" w:hAnsi="Cambria" w:cs="Arial"/>
        </w:rPr>
        <w:t>presented in this thesis</w:t>
      </w:r>
      <w:r w:rsidR="00BA5283" w:rsidRPr="00BA5283">
        <w:rPr>
          <w:rFonts w:ascii="Cambria" w:hAnsi="Cambria" w:cs="Arial"/>
        </w:rPr>
        <w:t xml:space="preserve"> – rather, the fast-growing annual species has a higher rate of carbohydrate accumulation despite having greater biomass. </w:t>
      </w:r>
      <w:r w:rsidR="00802281">
        <w:rPr>
          <w:rFonts w:ascii="Cambria" w:hAnsi="Cambria" w:cs="Arial"/>
        </w:rPr>
        <w:t xml:space="preserve"> </w:t>
      </w:r>
      <w:r w:rsidR="00BA5283" w:rsidRPr="00BA5283">
        <w:rPr>
          <w:rFonts w:ascii="Cambria" w:hAnsi="Cambria" w:cs="Arial"/>
        </w:rPr>
        <w:t xml:space="preserve">Growth in plants with different life forms and life histories may be subject to different constraints; in slow growing </w:t>
      </w:r>
      <w:r w:rsidR="00BA5283" w:rsidRPr="00BA5283">
        <w:rPr>
          <w:rFonts w:ascii="Cambria" w:hAnsi="Cambria" w:cs="Arial"/>
          <w:i/>
        </w:rPr>
        <w:t xml:space="preserve">Arabidopsis </w:t>
      </w:r>
      <w:r w:rsidR="00BA5283" w:rsidRPr="00BA5283">
        <w:rPr>
          <w:rFonts w:ascii="Cambria" w:hAnsi="Cambria" w:cs="Arial"/>
        </w:rPr>
        <w:t>accessions, growth is slow because it is sink limited, whereas in perennial barley, growth is slower than the annual because it is source limited and therefore uncorrelated with carbohydrate content.</w:t>
      </w:r>
      <w:r w:rsidR="00802281">
        <w:rPr>
          <w:rFonts w:ascii="Cambria" w:hAnsi="Cambria" w:cs="Arial"/>
        </w:rPr>
        <w:t xml:space="preserve">  Whilst the use of </w:t>
      </w:r>
      <w:r w:rsidR="00802281">
        <w:rPr>
          <w:rFonts w:ascii="Cambria" w:hAnsi="Cambria" w:cs="Arial"/>
          <w:i/>
        </w:rPr>
        <w:t>Arabidopsis</w:t>
      </w:r>
      <w:r w:rsidR="00802281">
        <w:rPr>
          <w:rFonts w:ascii="Cambria" w:hAnsi="Cambria" w:cs="Arial"/>
        </w:rPr>
        <w:t xml:space="preserve"> as a model plant is certainly </w:t>
      </w:r>
      <w:r w:rsidR="00802281" w:rsidRPr="00B44FB5">
        <w:rPr>
          <w:rFonts w:ascii="Cambria" w:hAnsi="Cambria" w:cs="Arial"/>
        </w:rPr>
        <w:t xml:space="preserve">highly valuable, care must be taken to ensure that species-specific characterisations are carried out.  For example, </w:t>
      </w:r>
      <w:r w:rsidR="00F17B44" w:rsidRPr="00B44FB5">
        <w:rPr>
          <w:rFonts w:ascii="Cambria" w:hAnsi="Cambria" w:cs="Arial"/>
        </w:rPr>
        <w:t xml:space="preserve">pathways involved in starch synthesis and degradation differ between </w:t>
      </w:r>
      <w:r w:rsidR="00F12904" w:rsidRPr="00B44FB5">
        <w:rPr>
          <w:rFonts w:ascii="Cambria" w:hAnsi="Cambria" w:cs="Arial"/>
          <w:i/>
        </w:rPr>
        <w:t xml:space="preserve">Arabidopsis </w:t>
      </w:r>
      <w:r w:rsidR="00F12904" w:rsidRPr="00B44FB5">
        <w:rPr>
          <w:rFonts w:ascii="Cambria" w:hAnsi="Cambria" w:cs="Arial"/>
        </w:rPr>
        <w:t xml:space="preserve">and other </w:t>
      </w:r>
      <w:r w:rsidR="00F17B44" w:rsidRPr="00B44FB5">
        <w:rPr>
          <w:rFonts w:ascii="Cambria" w:hAnsi="Cambria" w:cs="Arial"/>
        </w:rPr>
        <w:t xml:space="preserve">species </w:t>
      </w:r>
      <w:r w:rsidR="00F17B44" w:rsidRPr="00B44FB5">
        <w:rPr>
          <w:rFonts w:ascii="Cambria" w:hAnsi="Cambria" w:cs="Arial"/>
        </w:rPr>
        <w:fldChar w:fldCharType="begin" w:fldLock="1"/>
      </w:r>
      <w:r w:rsidR="00F12904" w:rsidRPr="00B44FB5">
        <w:rPr>
          <w:rFonts w:ascii="Cambria" w:hAnsi="Cambria" w:cs="Arial"/>
        </w:rPr>
        <w:instrText>ADDIN CSL_CITATION { "citationItems" : [ { "id" : "ITEM-1", "itemData" : { "DOI" : "10.1002/star.201100163", "ISSN" : "00389056", "abstract" : "The genetic and genomic resources available for the model plant Arabidopsis have allowed rapid progress in understanding the pathways of leaf starch synthesis and degradation. The pathway of starch synthesis is generally similar to that in other plants, but Arabidopsis research has permitted new insights into the mechanism of granule initiation. The pathway of starch degradation is very different from the \u2018textbook\u2019 version, largely derived from research on germinating cereal grains. The starch granule is attacked by b- rather than a-amylases, and this process is strongly dependent on a cycle of phosphorylation and dephosphorylation of the granule surface. The major product of granule degradation is maltose, which is exported to the cytosol where it is metabolised to hexose phosphate and then to sucrose. Cytosolic maltose metabolism requires a glucanotransferase and a glucosyl acceptor which is believed to be a complex heteroglycan. Plant productivity and yield are highly dependent on leaf starch turnover, and starch metabolism is coordinated with other factors and processes that determine growth rate. Research in Arabidopsis provides an important knowledge base for the study of starch metabolism in other, less tractable species.", "author" : [ { "dropping-particle" : "", "family" : "Smith", "given" : "Alison M.", "non-dropping-particle" : "", "parse-names" : false, "suffix" : "" } ], "container-title" : "Starch/St\u00e4rke", "id" : "ITEM-1", "issued" : { "date-parts" : [ [ "2012", "2", "24" ] ] }, "page" : "421-434", "title" : "Starch in the Arabidopsis plant", "type" : "article-journal", "volume" : "64" }, "uris" : [ "http://www.mendeley.com/documents/?uuid=b580c6a0-c77a-4fa0-8962-c1fa6181f697" ] }, { "id" : "ITEM-2", "itemData" : { "DOI" : "10.1016/j.pbi.2012.03.016", "ISSN" : "1879-0356", "PMID" : "22541711", "abstract" : "Many plants store part of their photosynthate as starch during the day and remobilise it to support metabolism and growth at night. Mutants unable to synthesize or degrade starch show strongly impaired growth except in long day conditions. In rapidly growing plants, starch turnover is regulated such that it is almost, but not completely, exhausted at dawn. There is increasing evidence that premature or incomplete exhaustion of starch turnover results in lower rates of plant growth. This review provides an update on the pathways for starch synthesis and degradation. We discuss recent advances in understanding how starch turnover and the use of carbon for growth is regulated during diurnal cycles, with special emphasis on the role of the biological clock. Much of the molecular and genetic research on starch turnover has been performed in the reference system Arabidopsis. This review considers to what extent information gained in this weed species maybe applicable to annual crops and perennial species.", "author" : [ { "dropping-particle" : "", "family" : "Stitt", "given" : "Mark", "non-dropping-particle" : "", "parse-names" : false, "suffix" : "" }, { "dropping-particle" : "", "family" : "Zeeman", "given" : "Samuel C", "non-dropping-particle" : "", "parse-names" : false, "suffix" : "" } ], "container-title" : "Current Opinion in Plant Biology", "id" : "ITEM-2", "issue" : "3", "issued" : { "date-parts" : [ [ "2012", "6" ] ] }, "page" : "282-92", "publisher" : "Elsevier Ltd", "title" : "Starch turnover: pathways, regulation and role in growth.", "type" : "article-journal", "volume" : "15" }, "uris" : [ "http://www.mendeley.com/documents/?uuid=6beb95dc-e1be-434a-bb86-9041d8712908" ] } ], "mendeley" : { "formattedCitation" : "(Smith, 2012; Stitt and Zeeman, 2012)", "plainTextFormattedCitation" : "(Smith, 2012; Stitt and Zeeman, 2012)", "previouslyFormattedCitation" : "(Smith, 2012; Stitt and Zeeman, 2012)" }, "properties" : { "noteIndex" : 0 }, "schema" : "https://github.com/citation-style-language/schema/raw/master/csl-citation.json" }</w:instrText>
      </w:r>
      <w:r w:rsidR="00F17B44" w:rsidRPr="00B44FB5">
        <w:rPr>
          <w:rFonts w:ascii="Cambria" w:hAnsi="Cambria" w:cs="Arial"/>
        </w:rPr>
        <w:fldChar w:fldCharType="separate"/>
      </w:r>
      <w:r w:rsidR="00F17B44" w:rsidRPr="00B44FB5">
        <w:rPr>
          <w:rFonts w:ascii="Cambria" w:hAnsi="Cambria" w:cs="Arial"/>
          <w:noProof/>
        </w:rPr>
        <w:t>(Smith, 2012; Stitt and Zeeman, 2012)</w:t>
      </w:r>
      <w:r w:rsidR="00F17B44" w:rsidRPr="00B44FB5">
        <w:rPr>
          <w:rFonts w:ascii="Cambria" w:hAnsi="Cambria" w:cs="Arial"/>
        </w:rPr>
        <w:fldChar w:fldCharType="end"/>
      </w:r>
      <w:r w:rsidR="00F17B44" w:rsidRPr="00B44FB5">
        <w:rPr>
          <w:rFonts w:ascii="Cambria" w:hAnsi="Cambria" w:cs="Arial"/>
        </w:rPr>
        <w:t>.</w:t>
      </w:r>
    </w:p>
    <w:p w14:paraId="32F53C14" w14:textId="77777777" w:rsidR="004345BC" w:rsidRPr="00BA5283" w:rsidRDefault="004345BC" w:rsidP="00BA5283">
      <w:pPr>
        <w:spacing w:line="360" w:lineRule="auto"/>
        <w:jc w:val="both"/>
        <w:rPr>
          <w:rFonts w:ascii="Cambria" w:hAnsi="Cambria"/>
        </w:rPr>
      </w:pPr>
    </w:p>
    <w:p w14:paraId="0D421167" w14:textId="77777777" w:rsidR="00E90DA6" w:rsidRDefault="00D05EDB" w:rsidP="00BA5283">
      <w:pPr>
        <w:spacing w:line="360" w:lineRule="auto"/>
        <w:jc w:val="both"/>
        <w:rPr>
          <w:rFonts w:ascii="Cambria" w:hAnsi="Cambria"/>
        </w:rPr>
      </w:pPr>
      <w:r w:rsidRPr="00BA5283">
        <w:rPr>
          <w:rFonts w:ascii="Cambria" w:hAnsi="Cambria"/>
        </w:rPr>
        <w:t>The results presented in this thesis suggest that improving sink strength in annual barley during the vegetative growth stage will be critical for maximising yield</w:t>
      </w:r>
      <w:r w:rsidR="00FB53C0" w:rsidRPr="00BA5283">
        <w:rPr>
          <w:rFonts w:ascii="Cambria" w:hAnsi="Cambria"/>
        </w:rPr>
        <w:t>s</w:t>
      </w:r>
      <w:r w:rsidRPr="00BA5283">
        <w:rPr>
          <w:rFonts w:ascii="Cambria" w:hAnsi="Cambria"/>
        </w:rPr>
        <w:t xml:space="preserve"> of this important crop.  Annual barley is sink lim</w:t>
      </w:r>
      <w:r w:rsidR="00FB53C0" w:rsidRPr="00BA5283">
        <w:rPr>
          <w:rFonts w:ascii="Cambria" w:hAnsi="Cambria"/>
        </w:rPr>
        <w:t xml:space="preserve">ited during grain filling </w:t>
      </w:r>
      <w:r w:rsidR="00FB53C0" w:rsidRPr="00BA5283">
        <w:rPr>
          <w:rFonts w:ascii="Cambria" w:hAnsi="Cambria"/>
        </w:rPr>
        <w:fldChar w:fldCharType="begin" w:fldLock="1"/>
      </w:r>
      <w:r w:rsidR="000865EF">
        <w:rPr>
          <w:rFonts w:ascii="Cambria" w:hAnsi="Cambria"/>
        </w:rPr>
        <w:instrText>ADDIN CSL_CITATION { "citationItems" : [ { "id" : "ITEM-1", "itemData" : { "author" : [ { "dropping-particle" : "", "family" : "Schnyder", "given" : "Hans", "non-dropping-particle" : "", "parse-names" : false, "suffix" : "" } ], "container-title" : "New Phytologist", "id" : "ITEM-1", "issued" : { "date-parts" : [ [ "1993" ] ] }, "page" : "233-245", "title" : "The role of carbohydrate storage and redistribution in the source-sink relations of wheat and barley during grain filling - a review", "type" : "article-journal", "volume" : "123" }, "uris" : [ "http://www.mendeley.com/documents/?uuid=a96ba76f-e7bb-4eae-8406-df68dc700307" ] }, { "id" : "ITEM-2", "itemData" : { "DOI" : "10.1016/j.fcr.2006.11.005", "ISSN" : "03784290", "author" : [ { "dropping-particle" : "", "family" : "Bingham", "given" : "Ian J.", "non-dropping-particle" : "", "parse-names" : false, "suffix" : "" }, { "dropping-particle" : "", "family" : "Blake", "given" : "Jonathan", "non-dropping-particle" : "", "parse-names" : false, "suffix" : "" }, { "dropping-particle" : "", "family" : "Foulkes", "given" : "M. John", "non-dropping-particle" : "", "parse-names" : false, "suffix" : "" }, { "dropping-particle" : "", "family" : "Spink", "given" : "John", "non-dropping-particle" : "", "parse-names" : false, "suffix" : "" } ], "container-title" : "Field Crops Research", "id" : "ITEM-2", "issue" : "2", "issued" : { "date-parts" : [ [ "2007", "3" ] ] }, "page" : "198-211", "title" : "Is barley yield in the UK sink limited?", "type" : "article-journal", "volume" : "101" }, "uris" : [ "http://www.mendeley.com/documents/?uuid=4d6220d6-baa7-40e5-a9dc-e5712127fd68" ] }, { "id" : "ITEM-3", "itemData" : { "DOI" : "10.1016/j.fcr.2013.05.016", "ISSN" : "03784290", "author" : [ { "dropping-particle" : "", "family" : "Serrago", "given" : "Rom\u00e1n A", "non-dropping-particle" : "", "parse-names" : false, "suffix" : "" }, { "dropping-particle" : "", "family" : "Alzueta", "given" : "Ignacio", "non-dropping-particle" : "", "parse-names" : false, "suffix" : "" }, { "dropping-particle" : "", "family" : "Savin", "given" : "Roxana", "non-dropping-particle" : "", "parse-names" : false, "suffix" : "" }, { "dropping-particle" : "", "family" : "Slafer", "given" : "Gustavo A", "non-dropping-particle" : "", "parse-names" : false, "suffix" : "" } ], "container-title" : "Field Crops Research", "id" : "ITEM-3", "issued" : { "date-parts" : [ [ "2013", "8" ] ] }, "page" : "42-51", "publisher" : "Elsevier B.V.", "title" : "Understanding grain yield responses to source\u2013sink ratios during grain filling in wheat and barley under contrasting environments", "type" : "article-journal", "volume" : "150" }, "uris" : [ "http://www.mendeley.com/documents/?uuid=369654bb-6b42-46c3-b263-b6ba3c2009f8" ] } ], "mendeley" : { "formattedCitation" : "(Schnyder, 1993; Bingham &lt;i&gt;et al.&lt;/i&gt;, 2007; Serrago &lt;i&gt;et al.&lt;/i&gt;, 2013)", "plainTextFormattedCitation" : "(Schnyder, 1993; Bingham et al., 2007; Serrago et al., 2013)", "previouslyFormattedCitation" : "(Schnyder, 1993; Bingham &lt;i&gt;et al.&lt;/i&gt;, 2007; Serrago &lt;i&gt;et al.&lt;/i&gt;, 2013)" }, "properties" : { "noteIndex" : 0 }, "schema" : "https://github.com/citation-style-language/schema/raw/master/csl-citation.json" }</w:instrText>
      </w:r>
      <w:r w:rsidR="00FB53C0" w:rsidRPr="00BA5283">
        <w:rPr>
          <w:rFonts w:ascii="Cambria" w:hAnsi="Cambria"/>
        </w:rPr>
        <w:fldChar w:fldCharType="separate"/>
      </w:r>
      <w:r w:rsidR="000865EF" w:rsidRPr="000865EF">
        <w:rPr>
          <w:rFonts w:ascii="Cambria" w:hAnsi="Cambria"/>
          <w:noProof/>
        </w:rPr>
        <w:t xml:space="preserve">(Schnyder, 1993; Bingham </w:t>
      </w:r>
      <w:r w:rsidR="000865EF" w:rsidRPr="000865EF">
        <w:rPr>
          <w:rFonts w:ascii="Cambria" w:hAnsi="Cambria"/>
          <w:i/>
          <w:noProof/>
        </w:rPr>
        <w:t>et al.</w:t>
      </w:r>
      <w:r w:rsidR="000865EF" w:rsidRPr="000865EF">
        <w:rPr>
          <w:rFonts w:ascii="Cambria" w:hAnsi="Cambria"/>
          <w:noProof/>
        </w:rPr>
        <w:t xml:space="preserve">, 2007; Serrago </w:t>
      </w:r>
      <w:r w:rsidR="000865EF" w:rsidRPr="000865EF">
        <w:rPr>
          <w:rFonts w:ascii="Cambria" w:hAnsi="Cambria"/>
          <w:i/>
          <w:noProof/>
        </w:rPr>
        <w:t>et al.</w:t>
      </w:r>
      <w:r w:rsidR="000865EF" w:rsidRPr="000865EF">
        <w:rPr>
          <w:rFonts w:ascii="Cambria" w:hAnsi="Cambria"/>
          <w:noProof/>
        </w:rPr>
        <w:t>, 2013)</w:t>
      </w:r>
      <w:r w:rsidR="00FB53C0" w:rsidRPr="00BA5283">
        <w:rPr>
          <w:rFonts w:ascii="Cambria" w:hAnsi="Cambria"/>
        </w:rPr>
        <w:fldChar w:fldCharType="end"/>
      </w:r>
      <w:r w:rsidRPr="00BA5283">
        <w:rPr>
          <w:rFonts w:ascii="Cambria" w:hAnsi="Cambria"/>
        </w:rPr>
        <w:t xml:space="preserve"> and the findings presented here show that annual barley is also sink limited during the vegetative stage</w:t>
      </w:r>
      <w:r w:rsidR="00FB53C0" w:rsidRPr="00BA5283">
        <w:rPr>
          <w:rFonts w:ascii="Cambria" w:hAnsi="Cambria"/>
        </w:rPr>
        <w:t>, for both carbon and nitrogen</w:t>
      </w:r>
      <w:r w:rsidRPr="00BA5283">
        <w:rPr>
          <w:rFonts w:ascii="Cambria" w:hAnsi="Cambria"/>
        </w:rPr>
        <w:t>.</w:t>
      </w:r>
      <w:r w:rsidR="006D1976">
        <w:rPr>
          <w:rFonts w:ascii="Cambria" w:hAnsi="Cambria"/>
        </w:rPr>
        <w:t xml:space="preserve">  It seems that the perennial is better able to utilise additional CO</w:t>
      </w:r>
      <w:r w:rsidR="006D1976" w:rsidRPr="00B31B42">
        <w:rPr>
          <w:rFonts w:ascii="Cambria" w:hAnsi="Cambria"/>
          <w:vertAlign w:val="subscript"/>
        </w:rPr>
        <w:t>2</w:t>
      </w:r>
      <w:r w:rsidR="006D1976">
        <w:rPr>
          <w:rFonts w:ascii="Cambria" w:hAnsi="Cambria"/>
        </w:rPr>
        <w:t xml:space="preserve"> than the annual, which has important implications for the role of wild crop relatives in breeding crops suited to future elevated </w:t>
      </w:r>
      <w:r w:rsidR="006D1976" w:rsidRPr="006D1976">
        <w:rPr>
          <w:rFonts w:ascii="Cambria" w:hAnsi="Cambria"/>
        </w:rPr>
        <w:t>atmospheric CO</w:t>
      </w:r>
      <w:r w:rsidR="006D1976" w:rsidRPr="006D1976">
        <w:rPr>
          <w:rFonts w:ascii="Cambria" w:hAnsi="Cambria"/>
          <w:vertAlign w:val="subscript"/>
        </w:rPr>
        <w:t>2</w:t>
      </w:r>
      <w:r w:rsidR="006D1976" w:rsidRPr="006D1976">
        <w:rPr>
          <w:rFonts w:ascii="Cambria" w:hAnsi="Cambria"/>
        </w:rPr>
        <w:t>.</w:t>
      </w:r>
      <w:r w:rsidRPr="006D1976">
        <w:rPr>
          <w:rFonts w:ascii="Cambria" w:hAnsi="Cambria"/>
        </w:rPr>
        <w:t xml:space="preserve">  </w:t>
      </w:r>
      <w:r w:rsidR="006D1976" w:rsidRPr="006D1976">
        <w:rPr>
          <w:rFonts w:ascii="Cambria" w:hAnsi="Cambria"/>
        </w:rPr>
        <w:t>In terms of nitrogen, r</w:t>
      </w:r>
      <w:r w:rsidR="00BA5283" w:rsidRPr="006D1976">
        <w:rPr>
          <w:rFonts w:ascii="Cambria" w:hAnsi="Cambria"/>
        </w:rPr>
        <w:t>educing</w:t>
      </w:r>
      <w:r w:rsidR="00BA5283" w:rsidRPr="00BA5283">
        <w:rPr>
          <w:rFonts w:ascii="Cambria" w:hAnsi="Cambria"/>
        </w:rPr>
        <w:t xml:space="preserve"> fertiliser use will be important for economically viable and environmentally sustainable agriculture in the future </w:t>
      </w:r>
      <w:r w:rsidR="00BA5283" w:rsidRPr="00BA5283">
        <w:rPr>
          <w:rFonts w:ascii="Cambria" w:hAnsi="Cambria"/>
        </w:rPr>
        <w:fldChar w:fldCharType="begin" w:fldLock="1"/>
      </w:r>
      <w:r w:rsidR="00BA5283" w:rsidRPr="00BA5283">
        <w:rPr>
          <w:rFonts w:ascii="Cambria" w:hAnsi="Cambria"/>
        </w:rPr>
        <w:instrText>ADDIN CSL_CITATION { "citationItems" : [ { "id" : "ITEM-1", "itemData" : { "DOI" : "10.1093/aob/mcq028", "ISBN" : "0305-7364", "ISSN" : "03057364", "PMID" : "20299346", "abstract" : "Productive agriculture needs a large amount of expensive nitrogenous fertilizers. Improving nitrogen use efficiency (NUE) of crop plants is thus of key importance. NUE definitions differ depending on whether plants are cultivated to produce biomass or grain yields. However, for most plant species, NUE mainly depends on how plants extract inorganic nitrogen from the soil, assimilate nitrate and ammonium, and recycle organic nitrogen. Efforts have been made to study the genetic basis as well as the biochemical and enzymatic mechanisms involved in nitrogen uptake, assimilation, and remobilization in crops and model plants. The detection of the limiting factors that could be manipulated to increase NUE is the major goal of such research.", "author" : [ { "dropping-particle" : "", "family" : "Masclaux-Daubresse", "given" : "C\u00e9line", "non-dropping-particle" : "", "parse-names" : false, "suffix" : "" }, { "dropping-particle" : "", "family" : "Daniel-Vedele", "given" : "Franoise", "non-dropping-particle" : "", "parse-names" : false, "suffix" : "" }, { "dropping-particle" : "", "family" : "Dechorgnat", "given" : "Julie", "non-dropping-particle" : "", "parse-names" : false, "suffix" : "" }, { "dropping-particle" : "", "family" : "Chardon", "given" : "Fabien", "non-dropping-particle" : "", "parse-names" : false, "suffix" : "" }, { "dropping-particle" : "", "family" : "Gaufichon", "given" : "Laure", "non-dropping-particle" : "", "parse-names" : false, "suffix" : "" }, { "dropping-particle" : "", "family" : "Suzuki", "given" : "Akira", "non-dropping-particle" : "", "parse-names" : false, "suffix" : "" } ], "container-title" : "Annals of Botany", "id" : "ITEM-1", "issue" : "7", "issued" : { "date-parts" : [ [ "2010" ] ] }, "page" : "1141-1157", "title" : "Nitrogen uptake, assimilation and remobilization in plants: Challenges for sustainable and productive agriculture", "type" : "article-journal", "volume" : "105" }, "uris" : [ "http://www.mendeley.com/documents/?uuid=b92ca514-eac6-4c5b-98a3-db622e6a4797" ] }, { "id" : "ITEM-2", "itemData" : { "DOI" : "10.1038/ngeo325", "ISBN" : "1752-0894", "ISSN" : "1752-0894", "abstract" : "On 13 October 1908, Fritz Haber filed his patent on the \"synthesis of ammonia from its elements\" for which he was later awarded the 1918 Nobel Prize in Chemistry. A hundred years on we live in a world transformed by and highly dependent upon Haber\u2013Bosch nitrogen.", "author" : [ { "dropping-particle" : "", "family" : "Erisman", "given" : "Jan Willem", "non-dropping-particle" : "", "parse-names" : false, "suffix" : "" }, { "dropping-particle" : "", "family" : "Sutton", "given" : "Mark A", "non-dropping-particle" : "", "parse-names" : false, "suffix" : "" }, { "dropping-particle" : "", "family" : "Galloway", "given" : "James", "non-dropping-particle" : "", "parse-names" : false, "suffix" : "" }, { "dropping-particle" : "", "family" : "Klimont", "given" : "Zbigniew", "non-dropping-particle" : "", "parse-names" : false, "suffix" : "" }, { "dropping-particle" : "", "family" : "Winiwarter", "given" : "Wilfried", "non-dropping-particle" : "", "parse-names" : false, "suffix" : "" } ], "container-title" : "Nature Geoscience", "id" : "ITEM-2", "issue" : "October 2008", "issued" : { "date-parts" : [ [ "2008" ] ] }, "page" : "636-639", "title" : "How a century of ammonia synthesis changed the world", "type" : "article-journal", "volume" : "1" }, "uris" : [ "http://www.mendeley.com/documents/?uuid=04322b55-eda9-4606-bac2-6eac88adc3a7" ] }, { "id" : "ITEM-3", "itemData" : { "DOI" : "10.1146/annurev.ecolsys.33.010802.150513", "ISBN" : "00664162", "ISSN" : "0066-4162", "PMID" : "241", "author" : [ { "dropping-particle" : "", "family" : "Rabalais", "given" : "Nancy N.", "non-dropping-particle" : "", "parse-names" : false, "suffix" : "" }, { "dropping-particle" : "", "family" : "Turner", "given" : "R. Eugene", "non-dropping-particle" : "", "parse-names" : false, "suffix" : "" }, { "dropping-particle" : "", "family" : "Wiseman", "given" : "William J.", "non-dropping-particle" : "", "parse-names" : false, "suffix" : "" } ], "container-title" : "Annual Review of Ecology and Systematics", "id" : "ITEM-3", "issue" : "1", "issued" : { "date-parts" : [ [ "2002" ] ] }, "page" : "235-263", "title" : "Gulf of Mexico Hypoxia, A.K.A. \u201cThe Dead Zone\u201d", "type" : "article-journal", "volume" : "33" }, "uris" : [ "http://www.mendeley.com/documents/?uuid=3cd4211b-8927-4141-b7a0-3535366e3c61" ] } ], "mendeley" : { "formattedCitation" : "(Rabalais &lt;i&gt;et al.&lt;/i&gt;, 2002; Erisman &lt;i&gt;et al.&lt;/i&gt;, 2008; Masclaux-Daubresse &lt;i&gt;et al.&lt;/i&gt;, 2010)", "plainTextFormattedCitation" : "(Rabalais et al., 2002; Erisman et al., 2008; Masclaux-Daubresse et al., 2010)", "previouslyFormattedCitation" : "(Rabalais &lt;i&gt;et al.&lt;/i&gt;, 2002; Erisman &lt;i&gt;et al.&lt;/i&gt;, 2008; Masclaux-Daubresse &lt;i&gt;et al.&lt;/i&gt;, 2010)" }, "properties" : { "noteIndex" : 0 }, "schema" : "https://github.com/citation-style-language/schema/raw/master/csl-citation.json" }</w:instrText>
      </w:r>
      <w:r w:rsidR="00BA5283" w:rsidRPr="00BA5283">
        <w:rPr>
          <w:rFonts w:ascii="Cambria" w:hAnsi="Cambria"/>
        </w:rPr>
        <w:fldChar w:fldCharType="separate"/>
      </w:r>
      <w:r w:rsidR="00BA5283" w:rsidRPr="00BA5283">
        <w:rPr>
          <w:rFonts w:ascii="Cambria" w:hAnsi="Cambria"/>
          <w:noProof/>
        </w:rPr>
        <w:t xml:space="preserve">(Rabalais </w:t>
      </w:r>
      <w:r w:rsidR="00BA5283" w:rsidRPr="00BA5283">
        <w:rPr>
          <w:rFonts w:ascii="Cambria" w:hAnsi="Cambria"/>
          <w:i/>
          <w:noProof/>
        </w:rPr>
        <w:t>et al.</w:t>
      </w:r>
      <w:r w:rsidR="00BA5283" w:rsidRPr="00BA5283">
        <w:rPr>
          <w:rFonts w:ascii="Cambria" w:hAnsi="Cambria"/>
          <w:noProof/>
        </w:rPr>
        <w:t xml:space="preserve">, 2002; Erisman </w:t>
      </w:r>
      <w:r w:rsidR="00BA5283" w:rsidRPr="00BA5283">
        <w:rPr>
          <w:rFonts w:ascii="Cambria" w:hAnsi="Cambria"/>
          <w:i/>
          <w:noProof/>
        </w:rPr>
        <w:t>et al.</w:t>
      </w:r>
      <w:r w:rsidR="00BA5283" w:rsidRPr="00BA5283">
        <w:rPr>
          <w:rFonts w:ascii="Cambria" w:hAnsi="Cambria"/>
          <w:noProof/>
        </w:rPr>
        <w:t xml:space="preserve">, 2008; Masclaux-Daubresse </w:t>
      </w:r>
      <w:r w:rsidR="00BA5283" w:rsidRPr="00BA5283">
        <w:rPr>
          <w:rFonts w:ascii="Cambria" w:hAnsi="Cambria"/>
          <w:i/>
          <w:noProof/>
        </w:rPr>
        <w:t>et al.</w:t>
      </w:r>
      <w:r w:rsidR="00BA5283" w:rsidRPr="00BA5283">
        <w:rPr>
          <w:rFonts w:ascii="Cambria" w:hAnsi="Cambria"/>
          <w:noProof/>
        </w:rPr>
        <w:t>, 2010)</w:t>
      </w:r>
      <w:r w:rsidR="00BA5283" w:rsidRPr="00BA5283">
        <w:rPr>
          <w:rFonts w:ascii="Cambria" w:hAnsi="Cambria"/>
        </w:rPr>
        <w:fldChar w:fldCharType="end"/>
      </w:r>
      <w:r w:rsidR="006D1976">
        <w:rPr>
          <w:rFonts w:ascii="Cambria" w:hAnsi="Cambria"/>
        </w:rPr>
        <w:t>.  Nitrogen</w:t>
      </w:r>
      <w:r w:rsidR="00BA5283" w:rsidRPr="00BA5283">
        <w:rPr>
          <w:rFonts w:ascii="Cambria" w:hAnsi="Cambria"/>
        </w:rPr>
        <w:t xml:space="preserve"> is of vital importance for crop production, and providing a great excess of nitrogen had </w:t>
      </w:r>
      <w:r w:rsidR="00C556D5">
        <w:rPr>
          <w:rFonts w:ascii="Cambria" w:hAnsi="Cambria"/>
        </w:rPr>
        <w:t>a relatively small</w:t>
      </w:r>
      <w:r w:rsidR="00BA5283" w:rsidRPr="00BA5283">
        <w:rPr>
          <w:rFonts w:ascii="Cambria" w:hAnsi="Cambria"/>
        </w:rPr>
        <w:t xml:space="preserve"> effect on growth in the annual barley studied</w:t>
      </w:r>
      <w:r w:rsidR="00BA5283" w:rsidRPr="00531789">
        <w:rPr>
          <w:rFonts w:ascii="Cambria" w:hAnsi="Cambria"/>
        </w:rPr>
        <w:t xml:space="preserve"> here (Chapter 5).  </w:t>
      </w:r>
      <w:r w:rsidR="00BA5283">
        <w:rPr>
          <w:rFonts w:ascii="Cambria" w:hAnsi="Cambria"/>
        </w:rPr>
        <w:t xml:space="preserve">Crops have been bred to be able to exploit high levels of soil nitrogen </w:t>
      </w:r>
      <w:r w:rsidR="00BA5283">
        <w:rPr>
          <w:rFonts w:ascii="Cambria" w:hAnsi="Cambria"/>
        </w:rPr>
        <w:fldChar w:fldCharType="begin" w:fldLock="1"/>
      </w:r>
      <w:r w:rsidR="00BA5283">
        <w:rPr>
          <w:rFonts w:ascii="Cambria" w:hAnsi="Cambria"/>
        </w:rPr>
        <w:instrText>ADDIN CSL_CITATION { "citationItems" : [ { "id" : "ITEM-1", "itemData" : { "DOI" : "10.1146/annurev-arplant-042811-105532", "ISSN" : "1545-2123", "PMID" : "22224450", "abstract" : "Crop productivity relies heavily on nitrogen (N) fertilization. Production and application of N fertilizers consume huge amounts of energy, and excess is detrimental to the environment; therefore, increasing plant N use efficiency (NUE) is essential for the development of sustainable agriculture. Plant NUE is inherently complex, as each step-including N uptake, translocation, assimilation, and remobilization-is governed by multiple interacting genetic and environmental factors. The limiting factors in plant metabolism for maximizing NUE are different at high and low N supplies, indicating great potential for improving the NUE of current cultivars, which were bred in well-fertilized soil. Decreasing environmental losses and increasing the productivity of crop-acquired N requires the coordination of carbohydrate and N metabolism to give high yields. Increasing both the grain and N harvest index to drive N acquisition and utilization are important approaches for breeding future high-NUE cultivars.", "author" : [ { "dropping-particle" : "", "family" : "Xu", "given" : "Guohua", "non-dropping-particle" : "", "parse-names" : false, "suffix" : "" }, { "dropping-particle" : "", "family" : "Fan", "given" : "Xiaorong", "non-dropping-particle" : "", "parse-names" : false, "suffix" : "" }, { "dropping-particle" : "", "family" : "Miller", "given" : "Anthony J", "non-dropping-particle" : "", "parse-names" : false, "suffix" : "" } ], "container-title" : "Annual Review of Plant Biology", "id" : "ITEM-1", "issued" : { "date-parts" : [ [ "2012", "1" ] ] }, "page" : "153-82", "title" : "Plant nitrogen assimilation and use efficiency.", "type" : "article-journal", "volume" : "63" }, "uris" : [ "http://www.mendeley.com/documents/?uuid=fc23f4b8-e994-4cc2-9b88-98ffeb2b13dc" ] } ], "mendeley" : { "formattedCitation" : "(Xu &lt;i&gt;et al.&lt;/i&gt;, 2012)", "plainTextFormattedCitation" : "(Xu et al., 2012)", "previouslyFormattedCitation" : "(Xu &lt;i&gt;et al.&lt;/i&gt;, 2012)" }, "properties" : { "noteIndex" : 0 }, "schema" : "https://github.com/citation-style-language/schema/raw/master/csl-citation.json" }</w:instrText>
      </w:r>
      <w:r w:rsidR="00BA5283">
        <w:rPr>
          <w:rFonts w:ascii="Cambria" w:hAnsi="Cambria"/>
        </w:rPr>
        <w:fldChar w:fldCharType="separate"/>
      </w:r>
      <w:r w:rsidR="00BA5283" w:rsidRPr="00CF656A">
        <w:rPr>
          <w:rFonts w:ascii="Cambria" w:hAnsi="Cambria"/>
          <w:noProof/>
        </w:rPr>
        <w:t xml:space="preserve">(Xu </w:t>
      </w:r>
      <w:r w:rsidR="00BA5283" w:rsidRPr="00CF656A">
        <w:rPr>
          <w:rFonts w:ascii="Cambria" w:hAnsi="Cambria"/>
          <w:i/>
          <w:noProof/>
        </w:rPr>
        <w:t>et al.</w:t>
      </w:r>
      <w:r w:rsidR="00BA5283" w:rsidRPr="00CF656A">
        <w:rPr>
          <w:rFonts w:ascii="Cambria" w:hAnsi="Cambria"/>
          <w:noProof/>
        </w:rPr>
        <w:t>, 2012)</w:t>
      </w:r>
      <w:r w:rsidR="00BA5283">
        <w:rPr>
          <w:rFonts w:ascii="Cambria" w:hAnsi="Cambria"/>
        </w:rPr>
        <w:fldChar w:fldCharType="end"/>
      </w:r>
      <w:r w:rsidR="00BA5283">
        <w:rPr>
          <w:rFonts w:ascii="Cambria" w:hAnsi="Cambria"/>
        </w:rPr>
        <w:t xml:space="preserve">, yet beyond acquisition the efficient utilisation of this resource is important if we are to develop efficient crops with high yields </w:t>
      </w:r>
      <w:r w:rsidR="00BA5283">
        <w:rPr>
          <w:rFonts w:ascii="Cambria" w:hAnsi="Cambria"/>
        </w:rPr>
        <w:fldChar w:fldCharType="begin" w:fldLock="1"/>
      </w:r>
      <w:r w:rsidR="00BA5283">
        <w:rPr>
          <w:rFonts w:ascii="Cambria" w:hAnsi="Cambria"/>
        </w:rPr>
        <w:instrText>ADDIN CSL_CITATION { "citationItems" : [ { "id" : "ITEM-1", "itemData" : { "DOI" : "10.1093/jxb/erv162", "ISSN" : "0022-0957", "author" : [ { "dropping-particle" : "", "family" : "Santa-Maria", "given" : "G. E.", "non-dropping-particle" : "", "parse-names" : false, "suffix" : "" }, { "dropping-particle" : "", "family" : "Moriconi", "given" : "J. I.", "non-dropping-particle" : "", "parse-names" : false, "suffix" : "" }, { "dropping-particle" : "", "family" : "Oliferuk", "given" : "S.", "non-dropping-particle" : "", "parse-names" : false, "suffix" : "" } ], "container-title" : "Journal of Experimental Botany", "id" : "ITEM-1", "issue" : "11", "issued" : { "date-parts" : [ [ "2015" ] ] }, "page" : "3011-3018", "title" : "Internal efficiency of nutrient utilization: what is it and how to measure it during vegetative plant growth?", "type" : "article-journal", "volume" : "66" }, "uris" : [ "http://www.mendeley.com/documents/?uuid=d946beee-7a44-4d16-b64f-4d3983f0066e" ] }, { "id" : "ITEM-2", "itemData" : { "DOI" : "10.1111/j.1469-8137.2008.02705.x", "ISSN" : "1469-8137", "PMID" : "19140947", "abstract" : "A rising human population and changing patterns of land use mean that world food production rates will need to be increased by at least 50% by 2050, a massive rise in harvestable yield per hectare of the major crops such as rice (Oryza sativa) and wheat (Triticum aestivum). Combinations of breeding for improved morphology-related traits such as harvest index and increased inputs of water and fertilizer, which have sustained yield increases since the 1960s, will be neither sufficient nor sustainable. An important limiting factor will be the capacity to produce sufficient biomass during favourable growing periods. Here we analyse this problem in the context of increasing the efficiency of conversion of solar energy into biomass, that is, leaf and canopy photosynthesis. Focussing on crops carrying out C3 photosynthesis, we analyse the evidence for 'losses' in the process of conversion of solar energy into crop biomass and we explore novel mechanisms of improving biomass production rates, which have arisen from recent research into the fundamental primary processes of photosynthesis and carbohydrate metabolism. We show that there are several lines of evidence that these processes are not fully optimized for maximum yield. We put forward the hypothesis that the chloroplast itself should be given greater prominence as a sensor, processor and integrator of highly variable environmental signals to allow a more efficient transduction of energy supply into biomass production.", "author" : [ { "dropping-particle" : "", "family" : "Murchie", "given" : "E H", "non-dropping-particle" : "", "parse-names" : false, "suffix" : "" }, { "dropping-particle" : "", "family" : "Pinto", "given" : "M", "non-dropping-particle" : "", "parse-names" : false, "suffix" : "" }, { "dropping-particle" : "", "family" : "Horton", "given" : "P", "non-dropping-particle" : "", "parse-names" : false, "suffix" : "" } ], "container-title" : "New Phytologist", "id" : "ITEM-2", "issue" : "3", "issued" : { "date-parts" : [ [ "2009", "1" ] ] }, "page" : "532-52", "title" : "Agriculture and the new challenges for photosynthesis research.", "type" : "article-journal", "volume" : "181" }, "uris" : [ "http://www.mendeley.com/documents/?uuid=a952d5fc-e3dc-47e7-b25d-704d57b6d009" ] }, { "id" : "ITEM-3", "itemData" : { "DOI" : "10.1093/aob/mcq028", "ISBN" : "0305-7364", "ISSN" : "03057364", "PMID" : "20299346", "abstract" : "Productive agriculture needs a large amount of expensive nitrogenous fertilizers. Improving nitrogen use efficiency (NUE) of crop plants is thus of key importance. NUE definitions differ depending on whether plants are cultivated to produce biomass or grain yields. However, for most plant species, NUE mainly depends on how plants extract inorganic nitrogen from the soil, assimilate nitrate and ammonium, and recycle organic nitrogen. Efforts have been made to study the genetic basis as well as the biochemical and enzymatic mechanisms involved in nitrogen uptake, assimilation, and remobilization in crops and model plants. The detection of the limiting factors that could be manipulated to increase NUE is the major goal of such research.", "author" : [ { "dropping-particle" : "", "family" : "Masclaux-Daubresse", "given" : "C\u00e9line", "non-dropping-particle" : "", "parse-names" : false, "suffix" : "" }, { "dropping-particle" : "", "family" : "Daniel-Vedele", "given" : "Franoise", "non-dropping-particle" : "", "parse-names" : false, "suffix" : "" }, { "dropping-particle" : "", "family" : "Dechorgnat", "given" : "Julie", "non-dropping-particle" : "", "parse-names" : false, "suffix" : "" }, { "dropping-particle" : "", "family" : "Chardon", "given" : "Fabien", "non-dropping-particle" : "", "parse-names" : false, "suffix" : "" }, { "dropping-particle" : "", "family" : "Gaufichon", "given" : "Laure", "non-dropping-particle" : "", "parse-names" : false, "suffix" : "" }, { "dropping-particle" : "", "family" : "Suzuki", "given" : "Akira", "non-dropping-particle" : "", "parse-names" : false, "suffix" : "" } ], "container-title" : "Annals of Botany", "id" : "ITEM-3", "issue" : "7", "issued" : { "date-parts" : [ [ "2010" ] ] }, "page" : "1141-1157", "title" : "Nitrogen uptake, assimilation and remobilization in plants: Challenges for sustainable and productive agriculture", "type" : "article-journal", "volume" : "105" }, "uris" : [ "http://www.mendeley.com/documents/?uuid=b92ca514-eac6-4c5b-98a3-db622e6a4797" ] } ], "mendeley" : { "formattedCitation" : "(Murchie &lt;i&gt;et al.&lt;/i&gt;, 2009; Masclaux-Daubresse &lt;i&gt;et al.&lt;/i&gt;, 2010; Santa-Maria &lt;i&gt;et al.&lt;/i&gt;, 2015)", "plainTextFormattedCitation" : "(Murchie et al., 2009; Masclaux-Daubresse et al., 2010; Santa-Maria et al., 2015)", "previouslyFormattedCitation" : "(Murchie &lt;i&gt;et al.&lt;/i&gt;, 2009; Masclaux-Daubresse &lt;i&gt;et al.&lt;/i&gt;, 2010; Santa-Maria &lt;i&gt;et al.&lt;/i&gt;, 2015)" }, "properties" : { "noteIndex" : 0 }, "schema" : "https://github.com/citation-style-language/schema/raw/master/csl-citation.json" }</w:instrText>
      </w:r>
      <w:r w:rsidR="00BA5283">
        <w:rPr>
          <w:rFonts w:ascii="Cambria" w:hAnsi="Cambria"/>
        </w:rPr>
        <w:fldChar w:fldCharType="separate"/>
      </w:r>
      <w:r w:rsidR="00BA5283" w:rsidRPr="00E25053">
        <w:rPr>
          <w:rFonts w:ascii="Cambria" w:hAnsi="Cambria"/>
          <w:noProof/>
        </w:rPr>
        <w:t xml:space="preserve">(Murchie </w:t>
      </w:r>
      <w:r w:rsidR="00BA5283" w:rsidRPr="00E25053">
        <w:rPr>
          <w:rFonts w:ascii="Cambria" w:hAnsi="Cambria"/>
          <w:i/>
          <w:noProof/>
        </w:rPr>
        <w:t>et al.</w:t>
      </w:r>
      <w:r w:rsidR="00BA5283" w:rsidRPr="00E25053">
        <w:rPr>
          <w:rFonts w:ascii="Cambria" w:hAnsi="Cambria"/>
          <w:noProof/>
        </w:rPr>
        <w:t xml:space="preserve">, 2009; Masclaux-Daubresse </w:t>
      </w:r>
      <w:r w:rsidR="00BA5283" w:rsidRPr="00E25053">
        <w:rPr>
          <w:rFonts w:ascii="Cambria" w:hAnsi="Cambria"/>
          <w:i/>
          <w:noProof/>
        </w:rPr>
        <w:t>et al.</w:t>
      </w:r>
      <w:r w:rsidR="00BA5283" w:rsidRPr="00E25053">
        <w:rPr>
          <w:rFonts w:ascii="Cambria" w:hAnsi="Cambria"/>
          <w:noProof/>
        </w:rPr>
        <w:t xml:space="preserve">, 2010; Santa-Maria </w:t>
      </w:r>
      <w:r w:rsidR="00BA5283" w:rsidRPr="00E25053">
        <w:rPr>
          <w:rFonts w:ascii="Cambria" w:hAnsi="Cambria"/>
          <w:i/>
          <w:noProof/>
        </w:rPr>
        <w:t>et al.</w:t>
      </w:r>
      <w:r w:rsidR="00BA5283" w:rsidRPr="00E25053">
        <w:rPr>
          <w:rFonts w:ascii="Cambria" w:hAnsi="Cambria"/>
          <w:noProof/>
        </w:rPr>
        <w:t>, 2015)</w:t>
      </w:r>
      <w:r w:rsidR="00BA5283">
        <w:rPr>
          <w:rFonts w:ascii="Cambria" w:hAnsi="Cambria"/>
        </w:rPr>
        <w:fldChar w:fldCharType="end"/>
      </w:r>
      <w:r w:rsidR="00BA5283">
        <w:rPr>
          <w:rFonts w:ascii="Cambria" w:hAnsi="Cambria"/>
        </w:rPr>
        <w:t xml:space="preserve"> and will potentially enable us to reduce fertiliser application whilst maintaining yield </w:t>
      </w:r>
      <w:r w:rsidR="00BA5283">
        <w:rPr>
          <w:rFonts w:ascii="Cambria" w:hAnsi="Cambria"/>
        </w:rPr>
        <w:fldChar w:fldCharType="begin" w:fldLock="1"/>
      </w:r>
      <w:r w:rsidR="00F17B44">
        <w:rPr>
          <w:rFonts w:ascii="Cambria" w:hAnsi="Cambria"/>
        </w:rPr>
        <w:instrText>ADDIN CSL_CITATION { "citationItems" : [ { "id" : "ITEM-1", "itemData" : { "author" : [ { "dropping-particle" : "", "family" : "Syngenta Crop Protection", "given" : "", "non-dropping-particle" : "", "parse-names" : false, "suffix" : "" } ], "id" : "ITEM-1", "issued" : { "date-parts" : [ [ "2011" ] ] }, "title" : "NFC Tipple", "type" : "report" }, "uris" : [ "http://www.mendeley.com/documents/?uuid=a970ea63-981a-444c-a148-12cd43069cb0" ] } ], "mendeley" : { "formattedCitation" : "(Syngenta Crop Protection, 2011)", "plainTextFormattedCitation" : "(Syngenta Crop Protection, 2011)", "previouslyFormattedCitation" : "(Syngenta Crop Protection, 2011)" }, "properties" : { "noteIndex" : 0 }, "schema" : "https://github.com/citation-style-language/schema/raw/master/csl-citation.json" }</w:instrText>
      </w:r>
      <w:r w:rsidR="00BA5283">
        <w:rPr>
          <w:rFonts w:ascii="Cambria" w:hAnsi="Cambria"/>
        </w:rPr>
        <w:fldChar w:fldCharType="separate"/>
      </w:r>
      <w:r w:rsidR="00BA5283" w:rsidRPr="00E25053">
        <w:rPr>
          <w:rFonts w:ascii="Cambria" w:hAnsi="Cambria"/>
          <w:noProof/>
        </w:rPr>
        <w:t>(Syngenta Crop Protection, 2011)</w:t>
      </w:r>
      <w:r w:rsidR="00BA5283">
        <w:rPr>
          <w:rFonts w:ascii="Cambria" w:hAnsi="Cambria"/>
        </w:rPr>
        <w:fldChar w:fldCharType="end"/>
      </w:r>
      <w:r w:rsidR="00BA5283">
        <w:rPr>
          <w:rFonts w:ascii="Cambria" w:hAnsi="Cambria"/>
        </w:rPr>
        <w:t xml:space="preserve">.  </w:t>
      </w:r>
      <w:r w:rsidR="00BA5283" w:rsidRPr="00531789">
        <w:rPr>
          <w:rFonts w:ascii="Cambria" w:hAnsi="Cambria"/>
        </w:rPr>
        <w:t>Future crop design for utilising low nitrogen, such as through improving uptake rates at low soil nitrogen concentrations, will be important for crops in areas of poor soil quality in order to reduce the economic and environmental costs of nitrogen fertiliser, and will be especially critical for improving yields in less economically developed countries.</w:t>
      </w:r>
      <w:r w:rsidR="00BA5283">
        <w:rPr>
          <w:rFonts w:ascii="Cambria" w:hAnsi="Cambria"/>
        </w:rPr>
        <w:t xml:space="preserve">  </w:t>
      </w:r>
      <w:r w:rsidR="006D1976">
        <w:rPr>
          <w:rFonts w:ascii="Cambria" w:hAnsi="Cambria"/>
        </w:rPr>
        <w:t>Finally, t</w:t>
      </w:r>
      <w:r>
        <w:rPr>
          <w:rFonts w:ascii="Cambria" w:hAnsi="Cambria"/>
        </w:rPr>
        <w:t xml:space="preserve">he translocation of </w:t>
      </w:r>
      <w:r w:rsidR="006D1976">
        <w:rPr>
          <w:rFonts w:ascii="Cambria" w:hAnsi="Cambria"/>
        </w:rPr>
        <w:t xml:space="preserve">carbon and nitrogen </w:t>
      </w:r>
      <w:r>
        <w:rPr>
          <w:rFonts w:ascii="Cambria" w:hAnsi="Cambria"/>
        </w:rPr>
        <w:t xml:space="preserve">resources accumulated during the vegetative growth stage makes a significant contribution to grain filling </w:t>
      </w:r>
      <w:r>
        <w:rPr>
          <w:rFonts w:ascii="Cambria" w:hAnsi="Cambria"/>
        </w:rPr>
        <w:fldChar w:fldCharType="begin" w:fldLock="1"/>
      </w:r>
      <w:r w:rsidR="00FB53C0">
        <w:rPr>
          <w:rFonts w:ascii="Cambria" w:hAnsi="Cambria"/>
        </w:rPr>
        <w:instrText>ADDIN CSL_CITATION { "citationItems" : [ { "id" : "ITEM-1", "itemData" : { "author" : [ { "dropping-particle" : "", "family" : "Schnyder", "given" : "Hans", "non-dropping-particle" : "", "parse-names" : false, "suffix" : "" } ], "container-title" : "New Phytologist", "id" : "ITEM-1", "issued" : { "date-parts" : [ [ "1993" ] ] }, "page" : "233-245", "title" : "The role of carbohydrate storage and redistribution in the source-sink relations of wheat and barley during grain filling - a review", "type" : "article-journal", "volume" : "123" }, "uris" : [ "http://www.mendeley.com/documents/?uuid=a96ba76f-e7bb-4eae-8406-df68dc700307" ] } ], "mendeley" : { "formattedCitation" : "(Schnyder, 1993)", "plainTextFormattedCitation" : "(Schnyder, 1993)", "previouslyFormattedCitation" : "(Schnyder, 1993)" }, "properties" : { "noteIndex" : 0 }, "schema" : "https://github.com/citation-style-language/schema/raw/master/csl-citation.json" }</w:instrText>
      </w:r>
      <w:r>
        <w:rPr>
          <w:rFonts w:ascii="Cambria" w:hAnsi="Cambria"/>
        </w:rPr>
        <w:fldChar w:fldCharType="separate"/>
      </w:r>
      <w:r w:rsidRPr="00D05EDB">
        <w:rPr>
          <w:rFonts w:ascii="Cambria" w:hAnsi="Cambria"/>
          <w:noProof/>
        </w:rPr>
        <w:t>(Schnyder, 1993)</w:t>
      </w:r>
      <w:r>
        <w:rPr>
          <w:rFonts w:ascii="Cambria" w:hAnsi="Cambria"/>
        </w:rPr>
        <w:fldChar w:fldCharType="end"/>
      </w:r>
      <w:r>
        <w:rPr>
          <w:rFonts w:ascii="Cambria" w:hAnsi="Cambria"/>
        </w:rPr>
        <w:t xml:space="preserve">.  </w:t>
      </w:r>
    </w:p>
    <w:p w14:paraId="7E98249A" w14:textId="77777777" w:rsidR="00E90DA6" w:rsidRDefault="00E90DA6" w:rsidP="00BA5283">
      <w:pPr>
        <w:spacing w:line="360" w:lineRule="auto"/>
        <w:jc w:val="both"/>
        <w:rPr>
          <w:rFonts w:ascii="Cambria" w:hAnsi="Cambria"/>
        </w:rPr>
      </w:pPr>
    </w:p>
    <w:p w14:paraId="2088F14A" w14:textId="00819001" w:rsidR="00D05EDB" w:rsidRDefault="00E90DA6" w:rsidP="00BA5283">
      <w:pPr>
        <w:spacing w:line="360" w:lineRule="auto"/>
        <w:jc w:val="both"/>
        <w:rPr>
          <w:rFonts w:ascii="Cambria" w:hAnsi="Cambria"/>
        </w:rPr>
      </w:pPr>
      <w:r>
        <w:rPr>
          <w:rFonts w:ascii="Cambria" w:hAnsi="Cambria"/>
        </w:rPr>
        <w:t>To conclude,</w:t>
      </w:r>
      <w:r w:rsidR="00D05EDB">
        <w:rPr>
          <w:rFonts w:ascii="Cambria" w:hAnsi="Cambria"/>
        </w:rPr>
        <w:t xml:space="preserve"> if the overall sink strength of annual barley can be improved – both during vegetative growth, in order to accumulate greater reserves for grain filling, and during the reproductive stage, in order to increase the sink capacity of grains – then source manipulations, whether </w:t>
      </w:r>
      <w:r w:rsidR="00D05EDB">
        <w:rPr>
          <w:rFonts w:ascii="Cambria" w:hAnsi="Cambria"/>
          <w:i/>
        </w:rPr>
        <w:t xml:space="preserve">via </w:t>
      </w:r>
      <w:r w:rsidR="00D05EDB">
        <w:rPr>
          <w:rFonts w:ascii="Cambria" w:hAnsi="Cambria"/>
        </w:rPr>
        <w:t>increased atmospheric CO</w:t>
      </w:r>
      <w:r w:rsidR="00D05EDB" w:rsidRPr="00D05EDB">
        <w:rPr>
          <w:rFonts w:ascii="Cambria" w:hAnsi="Cambria"/>
          <w:vertAlign w:val="subscript"/>
        </w:rPr>
        <w:t>2</w:t>
      </w:r>
      <w:r w:rsidR="00D05EDB">
        <w:rPr>
          <w:rFonts w:ascii="Cambria" w:hAnsi="Cambria"/>
        </w:rPr>
        <w:t xml:space="preserve"> levels due to anthropogenic climate change, or </w:t>
      </w:r>
      <w:r w:rsidR="00D05EDB">
        <w:rPr>
          <w:rFonts w:ascii="Cambria" w:hAnsi="Cambria"/>
          <w:i/>
        </w:rPr>
        <w:t xml:space="preserve">via </w:t>
      </w:r>
      <w:r w:rsidR="00FB53C0">
        <w:rPr>
          <w:rFonts w:ascii="Cambria" w:hAnsi="Cambria"/>
        </w:rPr>
        <w:t>breeding</w:t>
      </w:r>
      <w:r w:rsidR="00D05EDB">
        <w:rPr>
          <w:rFonts w:ascii="Cambria" w:hAnsi="Cambria"/>
        </w:rPr>
        <w:t xml:space="preserve"> for increased photosynthetic capacity, will be able to have a greater effect.</w:t>
      </w:r>
      <w:r w:rsidR="00BA5283">
        <w:rPr>
          <w:rFonts w:ascii="Cambria" w:hAnsi="Cambria"/>
        </w:rPr>
        <w:t xml:space="preserve">  </w:t>
      </w:r>
    </w:p>
    <w:p w14:paraId="50D1D627" w14:textId="77777777" w:rsidR="00CF656A" w:rsidRDefault="00CF656A" w:rsidP="00DF4522">
      <w:pPr>
        <w:spacing w:line="360" w:lineRule="auto"/>
        <w:jc w:val="both"/>
        <w:rPr>
          <w:rFonts w:ascii="Cambria" w:hAnsi="Cambria"/>
        </w:rPr>
      </w:pPr>
    </w:p>
    <w:p w14:paraId="6DEEB5CC" w14:textId="77777777" w:rsidR="00DF4522" w:rsidRDefault="00DF4522" w:rsidP="00DF4522">
      <w:pPr>
        <w:pStyle w:val="Heading1"/>
        <w:rPr>
          <w:rFonts w:ascii="Cambria" w:hAnsi="Cambria"/>
          <w:color w:val="auto"/>
        </w:rPr>
      </w:pPr>
      <w:bookmarkStart w:id="139" w:name="_Toc322267731"/>
      <w:r>
        <w:rPr>
          <w:rFonts w:ascii="Cambria" w:hAnsi="Cambria"/>
          <w:color w:val="auto"/>
        </w:rPr>
        <w:br w:type="page"/>
      </w:r>
    </w:p>
    <w:p w14:paraId="79C14453" w14:textId="77777777" w:rsidR="00DF4522" w:rsidRDefault="00DF4522" w:rsidP="002D6D6A">
      <w:pPr>
        <w:pStyle w:val="Heading1"/>
        <w:jc w:val="both"/>
        <w:rPr>
          <w:rFonts w:ascii="Cambria" w:hAnsi="Cambria"/>
          <w:color w:val="auto"/>
        </w:rPr>
      </w:pPr>
      <w:bookmarkStart w:id="140" w:name="_Toc331253034"/>
      <w:r>
        <w:rPr>
          <w:rFonts w:ascii="Cambria" w:hAnsi="Cambria"/>
          <w:color w:val="auto"/>
        </w:rPr>
        <w:t>References</w:t>
      </w:r>
      <w:bookmarkEnd w:id="140"/>
    </w:p>
    <w:p w14:paraId="652FA5B0" w14:textId="77777777" w:rsidR="002B4FD9" w:rsidRPr="002B4FD9" w:rsidRDefault="00DF4522" w:rsidP="002D6D6A">
      <w:pPr>
        <w:widowControl w:val="0"/>
        <w:autoSpaceDE w:val="0"/>
        <w:autoSpaceDN w:val="0"/>
        <w:adjustRightInd w:val="0"/>
        <w:jc w:val="both"/>
        <w:rPr>
          <w:rFonts w:ascii="Cambria" w:hAnsi="Cambria"/>
          <w:noProof/>
          <w:lang w:val="en-US"/>
        </w:rPr>
      </w:pPr>
      <w:r w:rsidRPr="00650AA2">
        <w:rPr>
          <w:rFonts w:ascii="Cambria" w:hAnsi="Cambria"/>
        </w:rPr>
        <w:fldChar w:fldCharType="begin" w:fldLock="1"/>
      </w:r>
      <w:r w:rsidRPr="00650AA2">
        <w:rPr>
          <w:rFonts w:ascii="Cambria" w:hAnsi="Cambria"/>
        </w:rPr>
        <w:instrText xml:space="preserve">ADDIN Mendeley Bibliography CSL_BIBLIOGRAPHY </w:instrText>
      </w:r>
      <w:r w:rsidRPr="00650AA2">
        <w:rPr>
          <w:rFonts w:ascii="Cambria" w:hAnsi="Cambria"/>
        </w:rPr>
        <w:fldChar w:fldCharType="separate"/>
      </w:r>
    </w:p>
    <w:p w14:paraId="6FF43843"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Ackerman F, Stanton EA</w:t>
      </w:r>
      <w:r w:rsidRPr="002B4FD9">
        <w:rPr>
          <w:rFonts w:ascii="Cambria" w:hAnsi="Cambria"/>
          <w:noProof/>
          <w:lang w:val="en-US"/>
        </w:rPr>
        <w:t xml:space="preserve">. 2013. </w:t>
      </w:r>
      <w:r w:rsidRPr="002B4FD9">
        <w:rPr>
          <w:rFonts w:ascii="Cambria" w:hAnsi="Cambria"/>
          <w:i/>
          <w:iCs/>
          <w:noProof/>
          <w:lang w:val="en-US"/>
        </w:rPr>
        <w:t>Climate Impacts on Agriculture: A Challenge to Complacency?</w:t>
      </w:r>
    </w:p>
    <w:p w14:paraId="071F4EB1"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Acreche MM, Slafer GA</w:t>
      </w:r>
      <w:r w:rsidRPr="002B4FD9">
        <w:rPr>
          <w:rFonts w:ascii="Cambria" w:hAnsi="Cambria"/>
          <w:noProof/>
          <w:lang w:val="en-US"/>
        </w:rPr>
        <w:t xml:space="preserve">. 2009. Grain weight, radiation interception and use efficiency as affected by sink-strength in Mediterranean wheats released from 1940 to 2005. Field Crops Research </w:t>
      </w:r>
      <w:r w:rsidRPr="002B4FD9">
        <w:rPr>
          <w:rFonts w:ascii="Cambria" w:hAnsi="Cambria"/>
          <w:b/>
          <w:bCs/>
          <w:noProof/>
          <w:lang w:val="en-US"/>
        </w:rPr>
        <w:t>110</w:t>
      </w:r>
      <w:r w:rsidRPr="002B4FD9">
        <w:rPr>
          <w:rFonts w:ascii="Cambria" w:hAnsi="Cambria"/>
          <w:noProof/>
          <w:lang w:val="en-US"/>
        </w:rPr>
        <w:t>, 98–105.</w:t>
      </w:r>
    </w:p>
    <w:p w14:paraId="571A8297" w14:textId="10D63A51"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Aerts R, Chapin FS</w:t>
      </w:r>
      <w:r w:rsidRPr="002B4FD9">
        <w:rPr>
          <w:rFonts w:ascii="Cambria" w:hAnsi="Cambria"/>
          <w:noProof/>
          <w:lang w:val="en-US"/>
        </w:rPr>
        <w:t xml:space="preserve">. 2000. The mineral nutrition of wild plants revisited: a </w:t>
      </w:r>
      <w:r w:rsidR="00F34461">
        <w:rPr>
          <w:rFonts w:ascii="Cambria" w:hAnsi="Cambria"/>
          <w:noProof/>
          <w:lang w:val="en-US"/>
        </w:rPr>
        <w:t>r</w:t>
      </w:r>
      <w:r w:rsidRPr="002B4FD9">
        <w:rPr>
          <w:rFonts w:ascii="Cambria" w:hAnsi="Cambria"/>
          <w:noProof/>
          <w:lang w:val="en-US"/>
        </w:rPr>
        <w:t xml:space="preserve">e-evaluation of processes and patterns. Advances in Ecological Research </w:t>
      </w:r>
      <w:r w:rsidRPr="002B4FD9">
        <w:rPr>
          <w:rFonts w:ascii="Cambria" w:hAnsi="Cambria"/>
          <w:b/>
          <w:bCs/>
          <w:noProof/>
          <w:lang w:val="en-US"/>
        </w:rPr>
        <w:t>30</w:t>
      </w:r>
      <w:r w:rsidRPr="002B4FD9">
        <w:rPr>
          <w:rFonts w:ascii="Cambria" w:hAnsi="Cambria"/>
          <w:noProof/>
          <w:lang w:val="en-US"/>
        </w:rPr>
        <w:t>, 1–67.</w:t>
      </w:r>
    </w:p>
    <w:p w14:paraId="2F10ADBA"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Ainsworth EA, Bush DR</w:t>
      </w:r>
      <w:r w:rsidRPr="002B4FD9">
        <w:rPr>
          <w:rFonts w:ascii="Cambria" w:hAnsi="Cambria"/>
          <w:noProof/>
          <w:lang w:val="en-US"/>
        </w:rPr>
        <w:t xml:space="preserve">. 2011. Carbohydrate export from the leaf: a highly regulated process and target to enhance photosynthesis and productivity. Plant Physiology </w:t>
      </w:r>
      <w:r w:rsidRPr="002B4FD9">
        <w:rPr>
          <w:rFonts w:ascii="Cambria" w:hAnsi="Cambria"/>
          <w:b/>
          <w:bCs/>
          <w:noProof/>
          <w:lang w:val="en-US"/>
        </w:rPr>
        <w:t>155</w:t>
      </w:r>
      <w:r w:rsidRPr="002B4FD9">
        <w:rPr>
          <w:rFonts w:ascii="Cambria" w:hAnsi="Cambria"/>
          <w:noProof/>
          <w:lang w:val="en-US"/>
        </w:rPr>
        <w:t>, 64–9.</w:t>
      </w:r>
    </w:p>
    <w:p w14:paraId="2DE58E5D"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Ainsworth EA, Davey PA, Hymus GJ, Osborne CP, Rogers A, Blum H, Nösberger J</w:t>
      </w:r>
      <w:r w:rsidRPr="002B4FD9">
        <w:rPr>
          <w:rFonts w:ascii="Cambria" w:hAnsi="Cambria"/>
          <w:noProof/>
          <w:lang w:val="en-US"/>
        </w:rPr>
        <w:t xml:space="preserve">. 2003. Is stimulation of leaf photosynthesis by elevated carbon dioxide concentration maintained in the long term? A test with </w:t>
      </w:r>
      <w:r w:rsidRPr="00F34461">
        <w:rPr>
          <w:rFonts w:ascii="Cambria" w:hAnsi="Cambria"/>
          <w:i/>
          <w:noProof/>
          <w:lang w:val="en-US"/>
        </w:rPr>
        <w:t>Lolium perenne</w:t>
      </w:r>
      <w:r w:rsidRPr="002B4FD9">
        <w:rPr>
          <w:rFonts w:ascii="Cambria" w:hAnsi="Cambria"/>
          <w:noProof/>
          <w:lang w:val="en-US"/>
        </w:rPr>
        <w:t xml:space="preserve"> grown for 10 years at two nitrogen fertilization levels under Free Air CO</w:t>
      </w:r>
      <w:r w:rsidRPr="00F34461">
        <w:rPr>
          <w:rFonts w:ascii="Cambria" w:hAnsi="Cambria"/>
          <w:noProof/>
          <w:vertAlign w:val="subscript"/>
          <w:lang w:val="en-US"/>
        </w:rPr>
        <w:t>2</w:t>
      </w:r>
      <w:r w:rsidRPr="002B4FD9">
        <w:rPr>
          <w:rFonts w:ascii="Cambria" w:hAnsi="Cambria"/>
          <w:noProof/>
          <w:lang w:val="en-US"/>
        </w:rPr>
        <w:t xml:space="preserve"> Enrichment (FACE). Plant, Cell &amp; Environment </w:t>
      </w:r>
      <w:r w:rsidRPr="002B4FD9">
        <w:rPr>
          <w:rFonts w:ascii="Cambria" w:hAnsi="Cambria"/>
          <w:b/>
          <w:bCs/>
          <w:noProof/>
          <w:lang w:val="en-US"/>
        </w:rPr>
        <w:t>26</w:t>
      </w:r>
      <w:r w:rsidRPr="002B4FD9">
        <w:rPr>
          <w:rFonts w:ascii="Cambria" w:hAnsi="Cambria"/>
          <w:noProof/>
          <w:lang w:val="en-US"/>
        </w:rPr>
        <w:t>, 705–714.</w:t>
      </w:r>
    </w:p>
    <w:p w14:paraId="5A935ECC"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Ainsworth EA, Leakey ADB, Ort DR, Long SP</w:t>
      </w:r>
      <w:r w:rsidRPr="002B4FD9">
        <w:rPr>
          <w:rFonts w:ascii="Cambria" w:hAnsi="Cambria"/>
          <w:noProof/>
          <w:lang w:val="en-US"/>
        </w:rPr>
        <w:t>. 2008</w:t>
      </w:r>
      <w:r w:rsidRPr="002B4FD9">
        <w:rPr>
          <w:rFonts w:ascii="Cambria" w:hAnsi="Cambria"/>
          <w:i/>
          <w:iCs/>
          <w:noProof/>
          <w:lang w:val="en-US"/>
        </w:rPr>
        <w:t>a</w:t>
      </w:r>
      <w:r w:rsidRPr="002B4FD9">
        <w:rPr>
          <w:rFonts w:ascii="Cambria" w:hAnsi="Cambria"/>
          <w:noProof/>
          <w:lang w:val="en-US"/>
        </w:rPr>
        <w:t>. FACE-ing the facts: inconsistencies and interdependence among field, chamber and modeling studies of elevated [CO</w:t>
      </w:r>
      <w:r w:rsidRPr="00F34461">
        <w:rPr>
          <w:rFonts w:ascii="Cambria" w:hAnsi="Cambria"/>
          <w:noProof/>
          <w:vertAlign w:val="subscript"/>
          <w:lang w:val="en-US"/>
        </w:rPr>
        <w:t>2</w:t>
      </w:r>
      <w:r w:rsidRPr="002B4FD9">
        <w:rPr>
          <w:rFonts w:ascii="Cambria" w:hAnsi="Cambria"/>
          <w:noProof/>
          <w:lang w:val="en-US"/>
        </w:rPr>
        <w:t xml:space="preserve">] impacts on crop yield and food supply. New Phytologist </w:t>
      </w:r>
      <w:r w:rsidRPr="002B4FD9">
        <w:rPr>
          <w:rFonts w:ascii="Cambria" w:hAnsi="Cambria"/>
          <w:b/>
          <w:bCs/>
          <w:noProof/>
          <w:lang w:val="en-US"/>
        </w:rPr>
        <w:t>179</w:t>
      </w:r>
      <w:r w:rsidRPr="002B4FD9">
        <w:rPr>
          <w:rFonts w:ascii="Cambria" w:hAnsi="Cambria"/>
          <w:noProof/>
          <w:lang w:val="en-US"/>
        </w:rPr>
        <w:t>, 5–9.</w:t>
      </w:r>
    </w:p>
    <w:p w14:paraId="62A8B038"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Ainsworth EA, Rogers A</w:t>
      </w:r>
      <w:r w:rsidRPr="002B4FD9">
        <w:rPr>
          <w:rFonts w:ascii="Cambria" w:hAnsi="Cambria"/>
          <w:noProof/>
          <w:lang w:val="en-US"/>
        </w:rPr>
        <w:t>. 2007. The response of photosynthesis and stomatal conductance to rising [CO</w:t>
      </w:r>
      <w:r w:rsidRPr="00F34461">
        <w:rPr>
          <w:rFonts w:ascii="Cambria" w:hAnsi="Cambria"/>
          <w:noProof/>
          <w:vertAlign w:val="subscript"/>
          <w:lang w:val="en-US"/>
        </w:rPr>
        <w:t>2</w:t>
      </w:r>
      <w:r w:rsidRPr="002B4FD9">
        <w:rPr>
          <w:rFonts w:ascii="Cambria" w:hAnsi="Cambria"/>
          <w:noProof/>
          <w:lang w:val="en-US"/>
        </w:rPr>
        <w:t xml:space="preserve">]: mechanisms and environmental interactions. Plant, Cell &amp; Environment </w:t>
      </w:r>
      <w:r w:rsidRPr="002B4FD9">
        <w:rPr>
          <w:rFonts w:ascii="Cambria" w:hAnsi="Cambria"/>
          <w:b/>
          <w:bCs/>
          <w:noProof/>
          <w:lang w:val="en-US"/>
        </w:rPr>
        <w:t>30</w:t>
      </w:r>
      <w:r w:rsidRPr="002B4FD9">
        <w:rPr>
          <w:rFonts w:ascii="Cambria" w:hAnsi="Cambria"/>
          <w:noProof/>
          <w:lang w:val="en-US"/>
        </w:rPr>
        <w:t>, 258–70.</w:t>
      </w:r>
    </w:p>
    <w:p w14:paraId="7C7D34B3"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Ainsworth EA, Rogers A, Leakey ADB</w:t>
      </w:r>
      <w:r w:rsidRPr="002B4FD9">
        <w:rPr>
          <w:rFonts w:ascii="Cambria" w:hAnsi="Cambria"/>
          <w:noProof/>
          <w:lang w:val="en-US"/>
        </w:rPr>
        <w:t>. 2008</w:t>
      </w:r>
      <w:r w:rsidRPr="002B4FD9">
        <w:rPr>
          <w:rFonts w:ascii="Cambria" w:hAnsi="Cambria"/>
          <w:i/>
          <w:iCs/>
          <w:noProof/>
          <w:lang w:val="en-US"/>
        </w:rPr>
        <w:t>b</w:t>
      </w:r>
      <w:r w:rsidRPr="002B4FD9">
        <w:rPr>
          <w:rFonts w:ascii="Cambria" w:hAnsi="Cambria"/>
          <w:noProof/>
          <w:lang w:val="en-US"/>
        </w:rPr>
        <w:t>. Targets for crop biotechnology in a future high-CO</w:t>
      </w:r>
      <w:r w:rsidRPr="00F34461">
        <w:rPr>
          <w:rFonts w:ascii="Cambria" w:hAnsi="Cambria"/>
          <w:noProof/>
          <w:vertAlign w:val="subscript"/>
          <w:lang w:val="en-US"/>
        </w:rPr>
        <w:t>2</w:t>
      </w:r>
      <w:r w:rsidRPr="002B4FD9">
        <w:rPr>
          <w:rFonts w:ascii="Cambria" w:hAnsi="Cambria"/>
          <w:noProof/>
          <w:lang w:val="en-US"/>
        </w:rPr>
        <w:t xml:space="preserve"> and high-O</w:t>
      </w:r>
      <w:r w:rsidRPr="00F34461">
        <w:rPr>
          <w:rFonts w:ascii="Cambria" w:hAnsi="Cambria"/>
          <w:noProof/>
          <w:vertAlign w:val="subscript"/>
          <w:lang w:val="en-US"/>
        </w:rPr>
        <w:t>3</w:t>
      </w:r>
      <w:r w:rsidRPr="002B4FD9">
        <w:rPr>
          <w:rFonts w:ascii="Cambria" w:hAnsi="Cambria"/>
          <w:noProof/>
          <w:lang w:val="en-US"/>
        </w:rPr>
        <w:t xml:space="preserve"> world. Plant Physiology </w:t>
      </w:r>
      <w:r w:rsidRPr="002B4FD9">
        <w:rPr>
          <w:rFonts w:ascii="Cambria" w:hAnsi="Cambria"/>
          <w:b/>
          <w:bCs/>
          <w:noProof/>
          <w:lang w:val="en-US"/>
        </w:rPr>
        <w:t>147</w:t>
      </w:r>
      <w:r w:rsidRPr="002B4FD9">
        <w:rPr>
          <w:rFonts w:ascii="Cambria" w:hAnsi="Cambria"/>
          <w:noProof/>
          <w:lang w:val="en-US"/>
        </w:rPr>
        <w:t>, 13–9.</w:t>
      </w:r>
    </w:p>
    <w:p w14:paraId="6A5BA77E"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Ainsworth EA, Rogers A, Leakey ADB, Heady LE, Gibon Y, Stitt M, Schurr U</w:t>
      </w:r>
      <w:r w:rsidRPr="002B4FD9">
        <w:rPr>
          <w:rFonts w:ascii="Cambria" w:hAnsi="Cambria"/>
          <w:noProof/>
          <w:lang w:val="en-US"/>
        </w:rPr>
        <w:t>. 2007. Does elevated atmospheric [CO</w:t>
      </w:r>
      <w:r w:rsidRPr="00F34461">
        <w:rPr>
          <w:rFonts w:ascii="Cambria" w:hAnsi="Cambria"/>
          <w:noProof/>
          <w:vertAlign w:val="subscript"/>
          <w:lang w:val="en-US"/>
        </w:rPr>
        <w:t>2</w:t>
      </w:r>
      <w:r w:rsidRPr="002B4FD9">
        <w:rPr>
          <w:rFonts w:ascii="Cambria" w:hAnsi="Cambria"/>
          <w:noProof/>
          <w:lang w:val="en-US"/>
        </w:rPr>
        <w:t xml:space="preserve">] alter diurnal C uptake and the balance of C and N metabolites in growing and fully expanded soybean leaves? Journal of Experimental Botany </w:t>
      </w:r>
      <w:r w:rsidRPr="002B4FD9">
        <w:rPr>
          <w:rFonts w:ascii="Cambria" w:hAnsi="Cambria"/>
          <w:b/>
          <w:bCs/>
          <w:noProof/>
          <w:lang w:val="en-US"/>
        </w:rPr>
        <w:t>58</w:t>
      </w:r>
      <w:r w:rsidRPr="002B4FD9">
        <w:rPr>
          <w:rFonts w:ascii="Cambria" w:hAnsi="Cambria"/>
          <w:noProof/>
          <w:lang w:val="en-US"/>
        </w:rPr>
        <w:t>, 579–91.</w:t>
      </w:r>
    </w:p>
    <w:p w14:paraId="59357F56"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Ainsworth EA, Rogers A, Nelson R, Long SP</w:t>
      </w:r>
      <w:r w:rsidRPr="002B4FD9">
        <w:rPr>
          <w:rFonts w:ascii="Cambria" w:hAnsi="Cambria"/>
          <w:noProof/>
          <w:lang w:val="en-US"/>
        </w:rPr>
        <w:t>. 2004. Testing the ‘source–sink’ hypothesis of down-regulation of photosynthesis in elevated [CO</w:t>
      </w:r>
      <w:r w:rsidRPr="00F34461">
        <w:rPr>
          <w:rFonts w:ascii="Cambria" w:hAnsi="Cambria"/>
          <w:noProof/>
          <w:vertAlign w:val="subscript"/>
          <w:lang w:val="en-US"/>
        </w:rPr>
        <w:t>2</w:t>
      </w:r>
      <w:r w:rsidRPr="002B4FD9">
        <w:rPr>
          <w:rFonts w:ascii="Cambria" w:hAnsi="Cambria"/>
          <w:noProof/>
          <w:lang w:val="en-US"/>
        </w:rPr>
        <w:t xml:space="preserve">] in the field with single gene substitutions in </w:t>
      </w:r>
      <w:r w:rsidRPr="00F34461">
        <w:rPr>
          <w:rFonts w:ascii="Cambria" w:hAnsi="Cambria"/>
          <w:i/>
          <w:noProof/>
          <w:lang w:val="en-US"/>
        </w:rPr>
        <w:t>Glycine max</w:t>
      </w:r>
      <w:r w:rsidRPr="002B4FD9">
        <w:rPr>
          <w:rFonts w:ascii="Cambria" w:hAnsi="Cambria"/>
          <w:noProof/>
          <w:lang w:val="en-US"/>
        </w:rPr>
        <w:t xml:space="preserve">. Agricultural and Forest Meteorology </w:t>
      </w:r>
      <w:r w:rsidRPr="002B4FD9">
        <w:rPr>
          <w:rFonts w:ascii="Cambria" w:hAnsi="Cambria"/>
          <w:b/>
          <w:bCs/>
          <w:noProof/>
          <w:lang w:val="en-US"/>
        </w:rPr>
        <w:t>122</w:t>
      </w:r>
      <w:r w:rsidRPr="002B4FD9">
        <w:rPr>
          <w:rFonts w:ascii="Cambria" w:hAnsi="Cambria"/>
          <w:noProof/>
          <w:lang w:val="en-US"/>
        </w:rPr>
        <w:t>, 85–94.</w:t>
      </w:r>
    </w:p>
    <w:p w14:paraId="7462FC07"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Álvaro F, Royo C, García del Moral LF, Villegas D</w:t>
      </w:r>
      <w:r w:rsidRPr="002B4FD9">
        <w:rPr>
          <w:rFonts w:ascii="Cambria" w:hAnsi="Cambria"/>
          <w:noProof/>
          <w:lang w:val="en-US"/>
        </w:rPr>
        <w:t xml:space="preserve">. 2008. Grain filling and dry matter translocation responses to source–sink modifications in a historical series of durum wheat. Crop Science </w:t>
      </w:r>
      <w:r w:rsidRPr="002B4FD9">
        <w:rPr>
          <w:rFonts w:ascii="Cambria" w:hAnsi="Cambria"/>
          <w:b/>
          <w:bCs/>
          <w:noProof/>
          <w:lang w:val="en-US"/>
        </w:rPr>
        <w:t>48</w:t>
      </w:r>
      <w:r w:rsidRPr="002B4FD9">
        <w:rPr>
          <w:rFonts w:ascii="Cambria" w:hAnsi="Cambria"/>
          <w:noProof/>
          <w:lang w:val="en-US"/>
        </w:rPr>
        <w:t>, 1523.</w:t>
      </w:r>
    </w:p>
    <w:p w14:paraId="146B8711" w14:textId="3579445F"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Amthor JS</w:t>
      </w:r>
      <w:r w:rsidRPr="002B4FD9">
        <w:rPr>
          <w:rFonts w:ascii="Cambria" w:hAnsi="Cambria"/>
          <w:noProof/>
          <w:lang w:val="en-US"/>
        </w:rPr>
        <w:t>. 2000. The McCree-de</w:t>
      </w:r>
      <w:r w:rsidR="00904AE2">
        <w:rPr>
          <w:rFonts w:ascii="Cambria" w:hAnsi="Cambria"/>
          <w:noProof/>
          <w:lang w:val="en-US"/>
        </w:rPr>
        <w:t xml:space="preserve"> Wit-Penning de Vries-Thornley respiration paradigms: 30 years l</w:t>
      </w:r>
      <w:r w:rsidRPr="002B4FD9">
        <w:rPr>
          <w:rFonts w:ascii="Cambria" w:hAnsi="Cambria"/>
          <w:noProof/>
          <w:lang w:val="en-US"/>
        </w:rPr>
        <w:t xml:space="preserve">ater. Annals of Botany </w:t>
      </w:r>
      <w:r w:rsidRPr="002B4FD9">
        <w:rPr>
          <w:rFonts w:ascii="Cambria" w:hAnsi="Cambria"/>
          <w:b/>
          <w:bCs/>
          <w:noProof/>
          <w:lang w:val="en-US"/>
        </w:rPr>
        <w:t>86</w:t>
      </w:r>
      <w:r w:rsidRPr="002B4FD9">
        <w:rPr>
          <w:rFonts w:ascii="Cambria" w:hAnsi="Cambria"/>
          <w:noProof/>
          <w:lang w:val="en-US"/>
        </w:rPr>
        <w:t>, 1–20.</w:t>
      </w:r>
    </w:p>
    <w:p w14:paraId="7C2947A7"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Aranjuelo I, Sanz-Sáez A, Jauregui I, Irigoyen JJ, Araus JL, Sánchez-Díaz M, Erice G</w:t>
      </w:r>
      <w:r w:rsidRPr="002B4FD9">
        <w:rPr>
          <w:rFonts w:ascii="Cambria" w:hAnsi="Cambria"/>
          <w:noProof/>
          <w:lang w:val="en-US"/>
        </w:rPr>
        <w:t>. 2013. Harvest index, a parameter conditioning responsiveness of wheat plants to elevated CO</w:t>
      </w:r>
      <w:r w:rsidRPr="00F34461">
        <w:rPr>
          <w:rFonts w:ascii="Cambria" w:hAnsi="Cambria"/>
          <w:noProof/>
          <w:vertAlign w:val="subscript"/>
          <w:lang w:val="en-US"/>
        </w:rPr>
        <w:t>2</w:t>
      </w:r>
      <w:r w:rsidRPr="002B4FD9">
        <w:rPr>
          <w:rFonts w:ascii="Cambria" w:hAnsi="Cambria"/>
          <w:noProof/>
          <w:lang w:val="en-US"/>
        </w:rPr>
        <w:t xml:space="preserve">. Journal of Experimental Botany </w:t>
      </w:r>
      <w:r w:rsidRPr="002B4FD9">
        <w:rPr>
          <w:rFonts w:ascii="Cambria" w:hAnsi="Cambria"/>
          <w:b/>
          <w:bCs/>
          <w:noProof/>
          <w:lang w:val="en-US"/>
        </w:rPr>
        <w:t>64</w:t>
      </w:r>
      <w:r w:rsidRPr="002B4FD9">
        <w:rPr>
          <w:rFonts w:ascii="Cambria" w:hAnsi="Cambria"/>
          <w:noProof/>
          <w:lang w:val="en-US"/>
        </w:rPr>
        <w:t>, 1879–1892.</w:t>
      </w:r>
    </w:p>
    <w:p w14:paraId="56AEBF83"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Araújo WL, Nunes-Nesi A, Nikoloski Z, Sweetlove LJ, Fernie AR</w:t>
      </w:r>
      <w:r w:rsidRPr="002B4FD9">
        <w:rPr>
          <w:rFonts w:ascii="Cambria" w:hAnsi="Cambria"/>
          <w:noProof/>
          <w:lang w:val="en-US"/>
        </w:rPr>
        <w:t xml:space="preserve">. 2012. Metabolic control and regulation of the tricarboxylic acid cycle in photosynthetic and heterotrophic plant tissues. Plant, Cell &amp; Environment </w:t>
      </w:r>
      <w:r w:rsidRPr="002B4FD9">
        <w:rPr>
          <w:rFonts w:ascii="Cambria" w:hAnsi="Cambria"/>
          <w:b/>
          <w:bCs/>
          <w:noProof/>
          <w:lang w:val="en-US"/>
        </w:rPr>
        <w:t>35</w:t>
      </w:r>
      <w:r w:rsidRPr="002B4FD9">
        <w:rPr>
          <w:rFonts w:ascii="Cambria" w:hAnsi="Cambria"/>
          <w:noProof/>
          <w:lang w:val="en-US"/>
        </w:rPr>
        <w:t>, 1–21.</w:t>
      </w:r>
    </w:p>
    <w:p w14:paraId="08F5E986"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Arp WJ</w:t>
      </w:r>
      <w:r w:rsidRPr="002B4FD9">
        <w:rPr>
          <w:rFonts w:ascii="Cambria" w:hAnsi="Cambria"/>
          <w:noProof/>
          <w:lang w:val="en-US"/>
        </w:rPr>
        <w:t>. 1991. Effects of source-sink relations on photosynthetic acclimation to elevated CO</w:t>
      </w:r>
      <w:r w:rsidRPr="00F34461">
        <w:rPr>
          <w:rFonts w:ascii="Cambria" w:hAnsi="Cambria"/>
          <w:noProof/>
          <w:vertAlign w:val="subscript"/>
          <w:lang w:val="en-US"/>
        </w:rPr>
        <w:t>2</w:t>
      </w:r>
      <w:r w:rsidRPr="002B4FD9">
        <w:rPr>
          <w:rFonts w:ascii="Cambria" w:hAnsi="Cambria"/>
          <w:noProof/>
          <w:lang w:val="en-US"/>
        </w:rPr>
        <w:t xml:space="preserve">. Plant, Cell &amp; Environment </w:t>
      </w:r>
      <w:r w:rsidRPr="002B4FD9">
        <w:rPr>
          <w:rFonts w:ascii="Cambria" w:hAnsi="Cambria"/>
          <w:b/>
          <w:bCs/>
          <w:noProof/>
          <w:lang w:val="en-US"/>
        </w:rPr>
        <w:t>14</w:t>
      </w:r>
      <w:r w:rsidRPr="002B4FD9">
        <w:rPr>
          <w:rFonts w:ascii="Cambria" w:hAnsi="Cambria"/>
          <w:noProof/>
          <w:lang w:val="en-US"/>
        </w:rPr>
        <w:t>, 869–875.</w:t>
      </w:r>
    </w:p>
    <w:p w14:paraId="5D0C607E"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Atkinson RRL, Burrell MM, Osborne CP, Rose KE, Rees M</w:t>
      </w:r>
      <w:r w:rsidRPr="002B4FD9">
        <w:rPr>
          <w:rFonts w:ascii="Cambria" w:hAnsi="Cambria"/>
          <w:noProof/>
          <w:lang w:val="en-US"/>
        </w:rPr>
        <w:t xml:space="preserve">. 2012. A non-targeted metabolomics approach to quantifying differences in root storage between fast- and slow-growing plants. New Phytologist </w:t>
      </w:r>
      <w:r w:rsidRPr="002B4FD9">
        <w:rPr>
          <w:rFonts w:ascii="Cambria" w:hAnsi="Cambria"/>
          <w:b/>
          <w:bCs/>
          <w:noProof/>
          <w:lang w:val="en-US"/>
        </w:rPr>
        <w:t>196</w:t>
      </w:r>
      <w:r w:rsidRPr="002B4FD9">
        <w:rPr>
          <w:rFonts w:ascii="Cambria" w:hAnsi="Cambria"/>
          <w:noProof/>
          <w:lang w:val="en-US"/>
        </w:rPr>
        <w:t>, 200–11.</w:t>
      </w:r>
    </w:p>
    <w:p w14:paraId="3EDE9F0F"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Atkinson RRL, Burrell MM, Rose KE, Osborne CP, Rees M</w:t>
      </w:r>
      <w:r w:rsidRPr="002B4FD9">
        <w:rPr>
          <w:rFonts w:ascii="Cambria" w:hAnsi="Cambria"/>
          <w:noProof/>
          <w:lang w:val="en-US"/>
        </w:rPr>
        <w:t xml:space="preserve">. 2014. The dynamics of recovery and growth: how defoliation affects stored resources. Proceedings of the Royal Society B </w:t>
      </w:r>
      <w:r w:rsidRPr="002B4FD9">
        <w:rPr>
          <w:rFonts w:ascii="Cambria" w:hAnsi="Cambria"/>
          <w:b/>
          <w:bCs/>
          <w:noProof/>
          <w:lang w:val="en-US"/>
        </w:rPr>
        <w:t>281</w:t>
      </w:r>
      <w:r w:rsidRPr="002B4FD9">
        <w:rPr>
          <w:rFonts w:ascii="Cambria" w:hAnsi="Cambria"/>
          <w:noProof/>
          <w:lang w:val="en-US"/>
        </w:rPr>
        <w:t>, 20133355.</w:t>
      </w:r>
    </w:p>
    <w:p w14:paraId="7D88E1C1"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Badri D V., Vivanco JM</w:t>
      </w:r>
      <w:r w:rsidRPr="002B4FD9">
        <w:rPr>
          <w:rFonts w:ascii="Cambria" w:hAnsi="Cambria"/>
          <w:noProof/>
          <w:lang w:val="en-US"/>
        </w:rPr>
        <w:t xml:space="preserve">. 2009. Regulation and function of root exudates. Plant, Cell &amp; Environment </w:t>
      </w:r>
      <w:r w:rsidRPr="002B4FD9">
        <w:rPr>
          <w:rFonts w:ascii="Cambria" w:hAnsi="Cambria"/>
          <w:b/>
          <w:bCs/>
          <w:noProof/>
          <w:lang w:val="en-US"/>
        </w:rPr>
        <w:t>32</w:t>
      </w:r>
      <w:r w:rsidRPr="002B4FD9">
        <w:rPr>
          <w:rFonts w:ascii="Cambria" w:hAnsi="Cambria"/>
          <w:noProof/>
          <w:lang w:val="en-US"/>
        </w:rPr>
        <w:t>, 666–681.</w:t>
      </w:r>
    </w:p>
    <w:p w14:paraId="0749AB1E"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Baraloto C, Timothy Paine CE, Poorter L, Beauchene J, Bonal D, Domenach A-M, Hérault B, Patiño S, Roggy J-C, Chave J</w:t>
      </w:r>
      <w:r w:rsidRPr="002B4FD9">
        <w:rPr>
          <w:rFonts w:ascii="Cambria" w:hAnsi="Cambria"/>
          <w:noProof/>
          <w:lang w:val="en-US"/>
        </w:rPr>
        <w:t xml:space="preserve">. 2010. Decoupled leaf and stem economics in rain forest trees. Ecology Letters </w:t>
      </w:r>
      <w:r w:rsidRPr="002B4FD9">
        <w:rPr>
          <w:rFonts w:ascii="Cambria" w:hAnsi="Cambria"/>
          <w:b/>
          <w:bCs/>
          <w:noProof/>
          <w:lang w:val="en-US"/>
        </w:rPr>
        <w:t>13</w:t>
      </w:r>
      <w:r w:rsidRPr="002B4FD9">
        <w:rPr>
          <w:rFonts w:ascii="Cambria" w:hAnsi="Cambria"/>
          <w:noProof/>
          <w:lang w:val="en-US"/>
        </w:rPr>
        <w:t>, 1338–47.</w:t>
      </w:r>
    </w:p>
    <w:p w14:paraId="30365712"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Bazzaz FA, Chiariello NR, Coley PD, Pitelka LF</w:t>
      </w:r>
      <w:r w:rsidRPr="002B4FD9">
        <w:rPr>
          <w:rFonts w:ascii="Cambria" w:hAnsi="Cambria"/>
          <w:noProof/>
          <w:lang w:val="en-US"/>
        </w:rPr>
        <w:t xml:space="preserve">. 1987. Allocating Resources to Reproduction and Defense. BioScience </w:t>
      </w:r>
      <w:r w:rsidRPr="002B4FD9">
        <w:rPr>
          <w:rFonts w:ascii="Cambria" w:hAnsi="Cambria"/>
          <w:b/>
          <w:bCs/>
          <w:noProof/>
          <w:lang w:val="en-US"/>
        </w:rPr>
        <w:t>37</w:t>
      </w:r>
      <w:r w:rsidRPr="002B4FD9">
        <w:rPr>
          <w:rFonts w:ascii="Cambria" w:hAnsi="Cambria"/>
          <w:noProof/>
          <w:lang w:val="en-US"/>
        </w:rPr>
        <w:t>, 58–67.</w:t>
      </w:r>
    </w:p>
    <w:p w14:paraId="2FB717B8"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Bennett E, Roberts JA, Wagstaff C</w:t>
      </w:r>
      <w:r w:rsidRPr="002B4FD9">
        <w:rPr>
          <w:rFonts w:ascii="Cambria" w:hAnsi="Cambria"/>
          <w:noProof/>
          <w:lang w:val="en-US"/>
        </w:rPr>
        <w:t xml:space="preserve">. 2012. Manipulating resource allocation in plants. Journal of Experimental Botany </w:t>
      </w:r>
      <w:r w:rsidRPr="002B4FD9">
        <w:rPr>
          <w:rFonts w:ascii="Cambria" w:hAnsi="Cambria"/>
          <w:b/>
          <w:bCs/>
          <w:noProof/>
          <w:lang w:val="en-US"/>
        </w:rPr>
        <w:t>63</w:t>
      </w:r>
      <w:r w:rsidRPr="002B4FD9">
        <w:rPr>
          <w:rFonts w:ascii="Cambria" w:hAnsi="Cambria"/>
          <w:noProof/>
          <w:lang w:val="en-US"/>
        </w:rPr>
        <w:t>, 3391–400.</w:t>
      </w:r>
    </w:p>
    <w:p w14:paraId="1E15C0F1"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Bingham IJ, Blake J, Foulkes MJ, Spink J</w:t>
      </w:r>
      <w:r w:rsidRPr="002B4FD9">
        <w:rPr>
          <w:rFonts w:ascii="Cambria" w:hAnsi="Cambria"/>
          <w:noProof/>
          <w:lang w:val="en-US"/>
        </w:rPr>
        <w:t xml:space="preserve">. 2007. Is barley yield in the UK sink limited? Field Crops Research </w:t>
      </w:r>
      <w:r w:rsidRPr="002B4FD9">
        <w:rPr>
          <w:rFonts w:ascii="Cambria" w:hAnsi="Cambria"/>
          <w:b/>
          <w:bCs/>
          <w:noProof/>
          <w:lang w:val="en-US"/>
        </w:rPr>
        <w:t>101</w:t>
      </w:r>
      <w:r w:rsidRPr="002B4FD9">
        <w:rPr>
          <w:rFonts w:ascii="Cambria" w:hAnsi="Cambria"/>
          <w:noProof/>
          <w:lang w:val="en-US"/>
        </w:rPr>
        <w:t>, 198–211.</w:t>
      </w:r>
    </w:p>
    <w:p w14:paraId="4397A1E3" w14:textId="40520548"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Bloom AJ, Chapin FS, Mooney HA</w:t>
      </w:r>
      <w:r w:rsidR="004037BF">
        <w:rPr>
          <w:rFonts w:ascii="Cambria" w:hAnsi="Cambria"/>
          <w:noProof/>
          <w:lang w:val="en-US"/>
        </w:rPr>
        <w:t>. 1985. Resource l</w:t>
      </w:r>
      <w:r w:rsidRPr="002B4FD9">
        <w:rPr>
          <w:rFonts w:ascii="Cambria" w:hAnsi="Cambria"/>
          <w:noProof/>
          <w:lang w:val="en-US"/>
        </w:rPr>
        <w:t xml:space="preserve">imitation in </w:t>
      </w:r>
      <w:r w:rsidR="004037BF">
        <w:rPr>
          <w:rFonts w:ascii="Cambria" w:hAnsi="Cambria"/>
          <w:noProof/>
          <w:lang w:val="en-US"/>
        </w:rPr>
        <w:t>plants - an E</w:t>
      </w:r>
      <w:r w:rsidRPr="002B4FD9">
        <w:rPr>
          <w:rFonts w:ascii="Cambria" w:hAnsi="Cambria"/>
          <w:noProof/>
          <w:lang w:val="en-US"/>
        </w:rPr>
        <w:t xml:space="preserve">conomic </w:t>
      </w:r>
      <w:r w:rsidR="004037BF">
        <w:rPr>
          <w:rFonts w:ascii="Cambria" w:hAnsi="Cambria"/>
          <w:noProof/>
          <w:lang w:val="en-US"/>
        </w:rPr>
        <w:t>a</w:t>
      </w:r>
      <w:r w:rsidRPr="002B4FD9">
        <w:rPr>
          <w:rFonts w:ascii="Cambria" w:hAnsi="Cambria"/>
          <w:noProof/>
          <w:lang w:val="en-US"/>
        </w:rPr>
        <w:t xml:space="preserve">nalogy. Annual Review of Ecology and Systematics </w:t>
      </w:r>
      <w:r w:rsidRPr="002B4FD9">
        <w:rPr>
          <w:rFonts w:ascii="Cambria" w:hAnsi="Cambria"/>
          <w:b/>
          <w:bCs/>
          <w:noProof/>
          <w:lang w:val="en-US"/>
        </w:rPr>
        <w:t>16</w:t>
      </w:r>
      <w:r w:rsidRPr="002B4FD9">
        <w:rPr>
          <w:rFonts w:ascii="Cambria" w:hAnsi="Cambria"/>
          <w:noProof/>
          <w:lang w:val="en-US"/>
        </w:rPr>
        <w:t>, 363–392.</w:t>
      </w:r>
    </w:p>
    <w:p w14:paraId="2B2A4E1E"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von Bothmer R</w:t>
      </w:r>
      <w:r w:rsidRPr="002B4FD9">
        <w:rPr>
          <w:rFonts w:ascii="Cambria" w:hAnsi="Cambria"/>
          <w:noProof/>
          <w:lang w:val="en-US"/>
        </w:rPr>
        <w:t xml:space="preserve">. 1996. Distribution and habitat preferences in the genus Hordeum in Iran and Turkey. Annalen des Naturhistorischen Museums in Wien, Serie B </w:t>
      </w:r>
      <w:r w:rsidRPr="002B4FD9">
        <w:rPr>
          <w:rFonts w:ascii="Cambria" w:hAnsi="Cambria"/>
          <w:b/>
          <w:bCs/>
          <w:noProof/>
          <w:lang w:val="en-US"/>
        </w:rPr>
        <w:t>98-Suppl.</w:t>
      </w:r>
      <w:r w:rsidRPr="002B4FD9">
        <w:rPr>
          <w:rFonts w:ascii="Cambria" w:hAnsi="Cambria"/>
          <w:noProof/>
          <w:lang w:val="en-US"/>
        </w:rPr>
        <w:t>, 107–116.</w:t>
      </w:r>
    </w:p>
    <w:p w14:paraId="1103A7C6"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 xml:space="preserve">Brisson N, Mary B, Ripoche D, </w:t>
      </w:r>
      <w:r w:rsidRPr="002B4FD9">
        <w:rPr>
          <w:rFonts w:ascii="Cambria" w:hAnsi="Cambria"/>
          <w:b/>
          <w:bCs/>
          <w:i/>
          <w:iCs/>
          <w:noProof/>
          <w:lang w:val="en-US"/>
        </w:rPr>
        <w:t>et al.</w:t>
      </w:r>
      <w:r w:rsidRPr="002B4FD9">
        <w:rPr>
          <w:rFonts w:ascii="Cambria" w:hAnsi="Cambria"/>
          <w:noProof/>
          <w:lang w:val="en-US"/>
        </w:rPr>
        <w:t xml:space="preserve"> 1998. STICS : a generic model for the simulation of crops and their water and nitrogen balances. 1. Theory and parameterization applied to wheat and corn. Agronomie </w:t>
      </w:r>
      <w:r w:rsidRPr="002B4FD9">
        <w:rPr>
          <w:rFonts w:ascii="Cambria" w:hAnsi="Cambria"/>
          <w:b/>
          <w:bCs/>
          <w:noProof/>
          <w:lang w:val="en-US"/>
        </w:rPr>
        <w:t>18</w:t>
      </w:r>
      <w:r w:rsidRPr="002B4FD9">
        <w:rPr>
          <w:rFonts w:ascii="Cambria" w:hAnsi="Cambria"/>
          <w:noProof/>
          <w:lang w:val="en-US"/>
        </w:rPr>
        <w:t>, 311–346.</w:t>
      </w:r>
    </w:p>
    <w:p w14:paraId="5448065C"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Bryant J, Taylor G, Frehner M</w:t>
      </w:r>
      <w:r w:rsidRPr="002B4FD9">
        <w:rPr>
          <w:rFonts w:ascii="Cambria" w:hAnsi="Cambria"/>
          <w:noProof/>
          <w:lang w:val="en-US"/>
        </w:rPr>
        <w:t>. 1998. Photosynthetic acclimation to elevated CO</w:t>
      </w:r>
      <w:r w:rsidRPr="00F34461">
        <w:rPr>
          <w:rFonts w:ascii="Cambria" w:hAnsi="Cambria"/>
          <w:noProof/>
          <w:vertAlign w:val="subscript"/>
          <w:lang w:val="en-US"/>
        </w:rPr>
        <w:t>2</w:t>
      </w:r>
      <w:r w:rsidRPr="002B4FD9">
        <w:rPr>
          <w:rFonts w:ascii="Cambria" w:hAnsi="Cambria"/>
          <w:noProof/>
          <w:lang w:val="en-US"/>
        </w:rPr>
        <w:t xml:space="preserve"> is modified by source:sink balance in three component species of chalk grassland swards grown in a free air carbon dioxide enrichment (FACE) experiment. Plant, Cell &amp; Environment </w:t>
      </w:r>
      <w:r w:rsidRPr="002B4FD9">
        <w:rPr>
          <w:rFonts w:ascii="Cambria" w:hAnsi="Cambria"/>
          <w:b/>
          <w:bCs/>
          <w:noProof/>
          <w:lang w:val="en-US"/>
        </w:rPr>
        <w:t>21</w:t>
      </w:r>
      <w:r w:rsidRPr="002B4FD9">
        <w:rPr>
          <w:rFonts w:ascii="Cambria" w:hAnsi="Cambria"/>
          <w:noProof/>
          <w:lang w:val="en-US"/>
        </w:rPr>
        <w:t>, 159–168.</w:t>
      </w:r>
    </w:p>
    <w:p w14:paraId="6A28D06F"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Burnett AC, Rogers A, Rees M, Osborne CP</w:t>
      </w:r>
      <w:r w:rsidRPr="002B4FD9">
        <w:rPr>
          <w:rFonts w:ascii="Cambria" w:hAnsi="Cambria"/>
          <w:noProof/>
          <w:lang w:val="en-US"/>
        </w:rPr>
        <w:t>. 2016. Source-sink limitations differ between two species with contrasting growth strategies. In press. Plant Cell and Environment.</w:t>
      </w:r>
    </w:p>
    <w:p w14:paraId="3AD12A6F"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von Caemmerer S, Farquhar GD</w:t>
      </w:r>
      <w:r w:rsidRPr="002B4FD9">
        <w:rPr>
          <w:rFonts w:ascii="Cambria" w:hAnsi="Cambria"/>
          <w:noProof/>
          <w:lang w:val="en-US"/>
        </w:rPr>
        <w:t>. 1984. Effects of partial defoliation, changes of irradiance during growth, short-term water stress and growth at enhanced p(CO</w:t>
      </w:r>
      <w:r w:rsidRPr="00F34461">
        <w:rPr>
          <w:rFonts w:ascii="Cambria" w:hAnsi="Cambria"/>
          <w:noProof/>
          <w:vertAlign w:val="subscript"/>
          <w:lang w:val="en-US"/>
        </w:rPr>
        <w:t>2</w:t>
      </w:r>
      <w:r w:rsidRPr="002B4FD9">
        <w:rPr>
          <w:rFonts w:ascii="Cambria" w:hAnsi="Cambria"/>
          <w:noProof/>
          <w:lang w:val="en-US"/>
        </w:rPr>
        <w:t xml:space="preserve">) on the photosynthetic capacity of leaves of </w:t>
      </w:r>
      <w:r w:rsidRPr="00F34461">
        <w:rPr>
          <w:rFonts w:ascii="Cambria" w:hAnsi="Cambria"/>
          <w:i/>
          <w:noProof/>
          <w:lang w:val="en-US"/>
        </w:rPr>
        <w:t>Phaseolus vulgaris</w:t>
      </w:r>
      <w:r w:rsidRPr="002B4FD9">
        <w:rPr>
          <w:rFonts w:ascii="Cambria" w:hAnsi="Cambria"/>
          <w:noProof/>
          <w:lang w:val="en-US"/>
        </w:rPr>
        <w:t xml:space="preserve"> L. Planta </w:t>
      </w:r>
      <w:r w:rsidRPr="002B4FD9">
        <w:rPr>
          <w:rFonts w:ascii="Cambria" w:hAnsi="Cambria"/>
          <w:b/>
          <w:bCs/>
          <w:noProof/>
          <w:lang w:val="en-US"/>
        </w:rPr>
        <w:t>160</w:t>
      </w:r>
      <w:r w:rsidRPr="002B4FD9">
        <w:rPr>
          <w:rFonts w:ascii="Cambria" w:hAnsi="Cambria"/>
          <w:noProof/>
          <w:lang w:val="en-US"/>
        </w:rPr>
        <w:t>, 320–329.</w:t>
      </w:r>
    </w:p>
    <w:p w14:paraId="0555C4B0"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von Caemmerer S, Quick WP, Furbank RT</w:t>
      </w:r>
      <w:r w:rsidRPr="002B4FD9">
        <w:rPr>
          <w:rFonts w:ascii="Cambria" w:hAnsi="Cambria"/>
          <w:noProof/>
          <w:lang w:val="en-US"/>
        </w:rPr>
        <w:t>. 2012. The development of C</w:t>
      </w:r>
      <w:r w:rsidRPr="00F34461">
        <w:rPr>
          <w:rFonts w:ascii="Cambria" w:hAnsi="Cambria"/>
          <w:noProof/>
          <w:vertAlign w:val="subscript"/>
          <w:lang w:val="en-US"/>
        </w:rPr>
        <w:t>4</w:t>
      </w:r>
      <w:r w:rsidRPr="002B4FD9">
        <w:rPr>
          <w:rFonts w:ascii="Cambria" w:hAnsi="Cambria"/>
          <w:noProof/>
          <w:lang w:val="en-US"/>
        </w:rPr>
        <w:t xml:space="preserve"> rice: current progress and future challenges. Science </w:t>
      </w:r>
      <w:r w:rsidRPr="002B4FD9">
        <w:rPr>
          <w:rFonts w:ascii="Cambria" w:hAnsi="Cambria"/>
          <w:b/>
          <w:bCs/>
          <w:noProof/>
          <w:lang w:val="en-US"/>
        </w:rPr>
        <w:t>336</w:t>
      </w:r>
      <w:r w:rsidRPr="002B4FD9">
        <w:rPr>
          <w:rFonts w:ascii="Cambria" w:hAnsi="Cambria"/>
          <w:noProof/>
          <w:lang w:val="en-US"/>
        </w:rPr>
        <w:t>, 1671–2.</w:t>
      </w:r>
    </w:p>
    <w:p w14:paraId="466737AE"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Cameron DD, Neal AL, van Wees SCM, Ton J</w:t>
      </w:r>
      <w:r w:rsidRPr="002B4FD9">
        <w:rPr>
          <w:rFonts w:ascii="Cambria" w:hAnsi="Cambria"/>
          <w:noProof/>
          <w:lang w:val="en-US"/>
        </w:rPr>
        <w:t xml:space="preserve">. 2013. Mycorrhiza-induced resistance: more than the sum of its parts? Trends in Plant Science </w:t>
      </w:r>
      <w:r w:rsidRPr="002B4FD9">
        <w:rPr>
          <w:rFonts w:ascii="Cambria" w:hAnsi="Cambria"/>
          <w:b/>
          <w:bCs/>
          <w:noProof/>
          <w:lang w:val="en-US"/>
        </w:rPr>
        <w:t>18</w:t>
      </w:r>
      <w:r w:rsidRPr="002B4FD9">
        <w:rPr>
          <w:rFonts w:ascii="Cambria" w:hAnsi="Cambria"/>
          <w:noProof/>
          <w:lang w:val="en-US"/>
        </w:rPr>
        <w:t>, 539–545.</w:t>
      </w:r>
    </w:p>
    <w:p w14:paraId="00CFDA58"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Campbell BD, Grime JP</w:t>
      </w:r>
      <w:r w:rsidRPr="002B4FD9">
        <w:rPr>
          <w:rFonts w:ascii="Cambria" w:hAnsi="Cambria"/>
          <w:noProof/>
          <w:lang w:val="en-US"/>
        </w:rPr>
        <w:t xml:space="preserve">. 1992. An Experimental Test of Plant Strategy Theory. Ecology </w:t>
      </w:r>
      <w:r w:rsidRPr="002B4FD9">
        <w:rPr>
          <w:rFonts w:ascii="Cambria" w:hAnsi="Cambria"/>
          <w:b/>
          <w:bCs/>
          <w:noProof/>
          <w:lang w:val="en-US"/>
        </w:rPr>
        <w:t>73</w:t>
      </w:r>
      <w:r w:rsidRPr="002B4FD9">
        <w:rPr>
          <w:rFonts w:ascii="Cambria" w:hAnsi="Cambria"/>
          <w:noProof/>
          <w:lang w:val="en-US"/>
        </w:rPr>
        <w:t>, 15–29.</w:t>
      </w:r>
    </w:p>
    <w:p w14:paraId="40F80410"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Cheng SH, Moore B, Seemann JR</w:t>
      </w:r>
      <w:r w:rsidRPr="002B4FD9">
        <w:rPr>
          <w:rFonts w:ascii="Cambria" w:hAnsi="Cambria"/>
          <w:noProof/>
          <w:lang w:val="en-US"/>
        </w:rPr>
        <w:t>. 1998. Effects of short- and long-term elevated CO</w:t>
      </w:r>
      <w:r w:rsidRPr="00F34461">
        <w:rPr>
          <w:rFonts w:ascii="Cambria" w:hAnsi="Cambria"/>
          <w:noProof/>
          <w:vertAlign w:val="subscript"/>
          <w:lang w:val="en-US"/>
        </w:rPr>
        <w:t>2</w:t>
      </w:r>
      <w:r w:rsidRPr="002B4FD9">
        <w:rPr>
          <w:rFonts w:ascii="Cambria" w:hAnsi="Cambria"/>
          <w:noProof/>
          <w:lang w:val="en-US"/>
        </w:rPr>
        <w:t xml:space="preserve"> on the expression of ribulose-1,5-bisphosphate carboxylase/oxygenase genes and carbohydrate accumulation in leaves of </w:t>
      </w:r>
      <w:r w:rsidRPr="00F34461">
        <w:rPr>
          <w:rFonts w:ascii="Cambria" w:hAnsi="Cambria"/>
          <w:i/>
          <w:noProof/>
          <w:lang w:val="en-US"/>
        </w:rPr>
        <w:t xml:space="preserve">Arabidopsis thaliana </w:t>
      </w:r>
      <w:r w:rsidRPr="002B4FD9">
        <w:rPr>
          <w:rFonts w:ascii="Cambria" w:hAnsi="Cambria"/>
          <w:noProof/>
          <w:lang w:val="en-US"/>
        </w:rPr>
        <w:t xml:space="preserve">(L.) Heynh. Plant physiology </w:t>
      </w:r>
      <w:r w:rsidRPr="002B4FD9">
        <w:rPr>
          <w:rFonts w:ascii="Cambria" w:hAnsi="Cambria"/>
          <w:b/>
          <w:bCs/>
          <w:noProof/>
          <w:lang w:val="en-US"/>
        </w:rPr>
        <w:t>116</w:t>
      </w:r>
      <w:r w:rsidRPr="002B4FD9">
        <w:rPr>
          <w:rFonts w:ascii="Cambria" w:hAnsi="Cambria"/>
          <w:noProof/>
          <w:lang w:val="en-US"/>
        </w:rPr>
        <w:t>, 715–723.</w:t>
      </w:r>
    </w:p>
    <w:p w14:paraId="05C0A618"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 xml:space="preserve">Chew YH, Wenden B, Flis A, </w:t>
      </w:r>
      <w:r w:rsidRPr="002B4FD9">
        <w:rPr>
          <w:rFonts w:ascii="Cambria" w:hAnsi="Cambria"/>
          <w:b/>
          <w:bCs/>
          <w:i/>
          <w:iCs/>
          <w:noProof/>
          <w:lang w:val="en-US"/>
        </w:rPr>
        <w:t>et al.</w:t>
      </w:r>
      <w:r w:rsidRPr="002B4FD9">
        <w:rPr>
          <w:rFonts w:ascii="Cambria" w:hAnsi="Cambria"/>
          <w:noProof/>
          <w:lang w:val="en-US"/>
        </w:rPr>
        <w:t xml:space="preserve"> 2014. Multiscale digital </w:t>
      </w:r>
      <w:r w:rsidRPr="00F34461">
        <w:rPr>
          <w:rFonts w:ascii="Cambria" w:hAnsi="Cambria"/>
          <w:i/>
          <w:noProof/>
          <w:lang w:val="en-US"/>
        </w:rPr>
        <w:t>Arabidopsis</w:t>
      </w:r>
      <w:r w:rsidRPr="002B4FD9">
        <w:rPr>
          <w:rFonts w:ascii="Cambria" w:hAnsi="Cambria"/>
          <w:noProof/>
          <w:lang w:val="en-US"/>
        </w:rPr>
        <w:t xml:space="preserve"> predicts individual organ and whole-organism growth. PNAS </w:t>
      </w:r>
      <w:r w:rsidRPr="002B4FD9">
        <w:rPr>
          <w:rFonts w:ascii="Cambria" w:hAnsi="Cambria"/>
          <w:b/>
          <w:bCs/>
          <w:noProof/>
          <w:lang w:val="en-US"/>
        </w:rPr>
        <w:t>111</w:t>
      </w:r>
      <w:r w:rsidRPr="002B4FD9">
        <w:rPr>
          <w:rFonts w:ascii="Cambria" w:hAnsi="Cambria"/>
          <w:noProof/>
          <w:lang w:val="en-US"/>
        </w:rPr>
        <w:t>, E4127–E4136.</w:t>
      </w:r>
    </w:p>
    <w:p w14:paraId="4AB0A236"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Christ RA, Körner C</w:t>
      </w:r>
      <w:r w:rsidRPr="002B4FD9">
        <w:rPr>
          <w:rFonts w:ascii="Cambria" w:hAnsi="Cambria"/>
          <w:noProof/>
          <w:lang w:val="en-US"/>
        </w:rPr>
        <w:t>. 1995. Responses of shoot and root gas exchange, leaf blade expansion and biomass production to pulses of elevated CO</w:t>
      </w:r>
      <w:r w:rsidRPr="00F34461">
        <w:rPr>
          <w:rFonts w:ascii="Cambria" w:hAnsi="Cambria"/>
          <w:noProof/>
          <w:vertAlign w:val="subscript"/>
          <w:lang w:val="en-US"/>
        </w:rPr>
        <w:t>2</w:t>
      </w:r>
      <w:r w:rsidRPr="002B4FD9">
        <w:rPr>
          <w:rFonts w:ascii="Cambria" w:hAnsi="Cambria"/>
          <w:noProof/>
          <w:lang w:val="en-US"/>
        </w:rPr>
        <w:t xml:space="preserve"> in hydroponic wheat. Journal of Experimental Botany </w:t>
      </w:r>
      <w:r w:rsidRPr="002B4FD9">
        <w:rPr>
          <w:rFonts w:ascii="Cambria" w:hAnsi="Cambria"/>
          <w:b/>
          <w:bCs/>
          <w:noProof/>
          <w:lang w:val="en-US"/>
        </w:rPr>
        <w:t>46</w:t>
      </w:r>
      <w:r w:rsidRPr="002B4FD9">
        <w:rPr>
          <w:rFonts w:ascii="Cambria" w:hAnsi="Cambria"/>
          <w:noProof/>
          <w:lang w:val="en-US"/>
        </w:rPr>
        <w:t>, 1661–1667.</w:t>
      </w:r>
    </w:p>
    <w:p w14:paraId="754BD3FF"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Coley PD, Bryant JP, Chapin FS</w:t>
      </w:r>
      <w:r w:rsidRPr="002B4FD9">
        <w:rPr>
          <w:rFonts w:ascii="Cambria" w:hAnsi="Cambria"/>
          <w:noProof/>
          <w:lang w:val="en-US"/>
        </w:rPr>
        <w:t xml:space="preserve">. 1985. Resource availability and plant antiherbivore defence. Science </w:t>
      </w:r>
      <w:r w:rsidRPr="002B4FD9">
        <w:rPr>
          <w:rFonts w:ascii="Cambria" w:hAnsi="Cambria"/>
          <w:b/>
          <w:bCs/>
          <w:noProof/>
          <w:lang w:val="en-US"/>
        </w:rPr>
        <w:t>230</w:t>
      </w:r>
      <w:r w:rsidRPr="002B4FD9">
        <w:rPr>
          <w:rFonts w:ascii="Cambria" w:hAnsi="Cambria"/>
          <w:noProof/>
          <w:lang w:val="en-US"/>
        </w:rPr>
        <w:t>, 895–899.</w:t>
      </w:r>
    </w:p>
    <w:p w14:paraId="7910CA6E"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Craine JM, Lee WG, Bond WJ, Williams RJ, Johnson LC</w:t>
      </w:r>
      <w:r w:rsidRPr="002B4FD9">
        <w:rPr>
          <w:rFonts w:ascii="Cambria" w:hAnsi="Cambria"/>
          <w:noProof/>
          <w:lang w:val="en-US"/>
        </w:rPr>
        <w:t xml:space="preserve">. 2005. Environmental constraints on a global relationship among leaf and root traits of grasses. Ecology </w:t>
      </w:r>
      <w:r w:rsidRPr="002B4FD9">
        <w:rPr>
          <w:rFonts w:ascii="Cambria" w:hAnsi="Cambria"/>
          <w:b/>
          <w:bCs/>
          <w:noProof/>
          <w:lang w:val="en-US"/>
        </w:rPr>
        <w:t>86</w:t>
      </w:r>
      <w:r w:rsidRPr="002B4FD9">
        <w:rPr>
          <w:rFonts w:ascii="Cambria" w:hAnsi="Cambria"/>
          <w:noProof/>
          <w:lang w:val="en-US"/>
        </w:rPr>
        <w:t>, 12–19.</w:t>
      </w:r>
    </w:p>
    <w:p w14:paraId="1432D447"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Denison RF</w:t>
      </w:r>
      <w:r w:rsidRPr="002B4FD9">
        <w:rPr>
          <w:rFonts w:ascii="Cambria" w:hAnsi="Cambria"/>
          <w:noProof/>
          <w:lang w:val="en-US"/>
        </w:rPr>
        <w:t xml:space="preserve">. 2012. </w:t>
      </w:r>
      <w:r w:rsidRPr="002B4FD9">
        <w:rPr>
          <w:rFonts w:ascii="Cambria" w:hAnsi="Cambria"/>
          <w:i/>
          <w:iCs/>
          <w:noProof/>
          <w:lang w:val="en-US"/>
        </w:rPr>
        <w:t>Darwinian Agriculture: How Understanding Evolution Can Improve Agriculture</w:t>
      </w:r>
      <w:r w:rsidRPr="002B4FD9">
        <w:rPr>
          <w:rFonts w:ascii="Cambria" w:hAnsi="Cambria"/>
          <w:noProof/>
          <w:lang w:val="en-US"/>
        </w:rPr>
        <w:t>. Princeton, New Jersey: Princeton University Press.</w:t>
      </w:r>
    </w:p>
    <w:p w14:paraId="7D065412"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Devienne F, Mary B, Lamaze T</w:t>
      </w:r>
      <w:r w:rsidRPr="002B4FD9">
        <w:rPr>
          <w:rFonts w:ascii="Cambria" w:hAnsi="Cambria"/>
          <w:noProof/>
          <w:lang w:val="en-US"/>
        </w:rPr>
        <w:t>. 1994</w:t>
      </w:r>
      <w:r w:rsidRPr="002B4FD9">
        <w:rPr>
          <w:rFonts w:ascii="Cambria" w:hAnsi="Cambria"/>
          <w:i/>
          <w:iCs/>
          <w:noProof/>
          <w:lang w:val="en-US"/>
        </w:rPr>
        <w:t>a</w:t>
      </w:r>
      <w:r w:rsidRPr="002B4FD9">
        <w:rPr>
          <w:rFonts w:ascii="Cambria" w:hAnsi="Cambria"/>
          <w:noProof/>
          <w:lang w:val="en-US"/>
        </w:rPr>
        <w:t>. Nitrate Transport in Intact Wheat Roots: I. Estimation of Cellular Fluxes and NO</w:t>
      </w:r>
      <w:r w:rsidRPr="00F34461">
        <w:rPr>
          <w:rFonts w:ascii="Cambria" w:hAnsi="Cambria"/>
          <w:noProof/>
          <w:vertAlign w:val="subscript"/>
          <w:lang w:val="en-US"/>
        </w:rPr>
        <w:t>3</w:t>
      </w:r>
      <w:r w:rsidRPr="00F34461">
        <w:rPr>
          <w:rFonts w:ascii="Cambria" w:hAnsi="Cambria"/>
          <w:noProof/>
          <w:vertAlign w:val="superscript"/>
          <w:lang w:val="en-US"/>
        </w:rPr>
        <w:t>-</w:t>
      </w:r>
      <w:r w:rsidRPr="002B4FD9">
        <w:rPr>
          <w:rFonts w:ascii="Cambria" w:hAnsi="Cambria"/>
          <w:noProof/>
          <w:lang w:val="en-US"/>
        </w:rPr>
        <w:t xml:space="preserve"> Distribution Using Compartmental Analysis from Data of (</w:t>
      </w:r>
      <w:r w:rsidRPr="00F34461">
        <w:rPr>
          <w:rFonts w:ascii="Cambria" w:hAnsi="Cambria"/>
          <w:noProof/>
          <w:vertAlign w:val="superscript"/>
          <w:lang w:val="en-US"/>
        </w:rPr>
        <w:t>15</w:t>
      </w:r>
      <w:r w:rsidRPr="002B4FD9">
        <w:rPr>
          <w:rFonts w:ascii="Cambria" w:hAnsi="Cambria"/>
          <w:noProof/>
          <w:lang w:val="en-US"/>
        </w:rPr>
        <w:t>)NO</w:t>
      </w:r>
      <w:r w:rsidRPr="00F34461">
        <w:rPr>
          <w:rFonts w:ascii="Cambria" w:hAnsi="Cambria"/>
          <w:noProof/>
          <w:vertAlign w:val="subscript"/>
          <w:lang w:val="en-US"/>
        </w:rPr>
        <w:t>3</w:t>
      </w:r>
      <w:r w:rsidRPr="00F34461">
        <w:rPr>
          <w:rFonts w:ascii="Cambria" w:hAnsi="Cambria"/>
          <w:noProof/>
          <w:vertAlign w:val="superscript"/>
          <w:lang w:val="en-US"/>
        </w:rPr>
        <w:t>-</w:t>
      </w:r>
      <w:r w:rsidRPr="002B4FD9">
        <w:rPr>
          <w:rFonts w:ascii="Cambria" w:hAnsi="Cambria"/>
          <w:noProof/>
          <w:lang w:val="en-US"/>
        </w:rPr>
        <w:t xml:space="preserve"> Efflux. Journal of Experimental Botany </w:t>
      </w:r>
      <w:r w:rsidRPr="002B4FD9">
        <w:rPr>
          <w:rFonts w:ascii="Cambria" w:hAnsi="Cambria"/>
          <w:b/>
          <w:bCs/>
          <w:noProof/>
          <w:lang w:val="en-US"/>
        </w:rPr>
        <w:t>45</w:t>
      </w:r>
      <w:r w:rsidRPr="002B4FD9">
        <w:rPr>
          <w:rFonts w:ascii="Cambria" w:hAnsi="Cambria"/>
          <w:noProof/>
          <w:lang w:val="en-US"/>
        </w:rPr>
        <w:t>, 667–676.</w:t>
      </w:r>
    </w:p>
    <w:p w14:paraId="76D44427"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Devienne F, Mary B, Lamaze T</w:t>
      </w:r>
      <w:r w:rsidRPr="002B4FD9">
        <w:rPr>
          <w:rFonts w:ascii="Cambria" w:hAnsi="Cambria"/>
          <w:noProof/>
          <w:lang w:val="en-US"/>
        </w:rPr>
        <w:t>. 1994</w:t>
      </w:r>
      <w:r w:rsidRPr="002B4FD9">
        <w:rPr>
          <w:rFonts w:ascii="Cambria" w:hAnsi="Cambria"/>
          <w:i/>
          <w:iCs/>
          <w:noProof/>
          <w:lang w:val="en-US"/>
        </w:rPr>
        <w:t>b</w:t>
      </w:r>
      <w:r w:rsidRPr="002B4FD9">
        <w:rPr>
          <w:rFonts w:ascii="Cambria" w:hAnsi="Cambria"/>
          <w:noProof/>
          <w:lang w:val="en-US"/>
        </w:rPr>
        <w:t>. Nitrate Transport in Intact Wheat Roots: II. Long-term Effects of NO</w:t>
      </w:r>
      <w:r w:rsidRPr="00F34461">
        <w:rPr>
          <w:rFonts w:ascii="Cambria" w:hAnsi="Cambria"/>
          <w:noProof/>
          <w:vertAlign w:val="subscript"/>
          <w:lang w:val="en-US"/>
        </w:rPr>
        <w:t>3</w:t>
      </w:r>
      <w:r w:rsidRPr="00F34461">
        <w:rPr>
          <w:rFonts w:ascii="Cambria" w:hAnsi="Cambria"/>
          <w:noProof/>
          <w:vertAlign w:val="superscript"/>
          <w:lang w:val="en-US"/>
        </w:rPr>
        <w:t>-</w:t>
      </w:r>
      <w:r w:rsidRPr="002B4FD9">
        <w:rPr>
          <w:rFonts w:ascii="Cambria" w:hAnsi="Cambria"/>
          <w:noProof/>
          <w:lang w:val="en-US"/>
        </w:rPr>
        <w:t xml:space="preserve"> Concentration in the Nutrient Solution on NO</w:t>
      </w:r>
      <w:r w:rsidRPr="00F34461">
        <w:rPr>
          <w:rFonts w:ascii="Cambria" w:hAnsi="Cambria"/>
          <w:noProof/>
          <w:vertAlign w:val="subscript"/>
          <w:lang w:val="en-US"/>
        </w:rPr>
        <w:t>3</w:t>
      </w:r>
      <w:r w:rsidRPr="00F34461">
        <w:rPr>
          <w:rFonts w:ascii="Cambria" w:hAnsi="Cambria"/>
          <w:noProof/>
          <w:vertAlign w:val="superscript"/>
          <w:lang w:val="en-US"/>
        </w:rPr>
        <w:t>-</w:t>
      </w:r>
      <w:r w:rsidRPr="002B4FD9">
        <w:rPr>
          <w:rFonts w:ascii="Cambria" w:hAnsi="Cambria"/>
          <w:noProof/>
          <w:lang w:val="en-US"/>
        </w:rPr>
        <w:t xml:space="preserve"> Unidirectional Fluxes and Distribution Within the Tissues. Journal of Experimental Botany </w:t>
      </w:r>
      <w:r w:rsidRPr="002B4FD9">
        <w:rPr>
          <w:rFonts w:ascii="Cambria" w:hAnsi="Cambria"/>
          <w:b/>
          <w:bCs/>
          <w:noProof/>
          <w:lang w:val="en-US"/>
        </w:rPr>
        <w:t>45</w:t>
      </w:r>
      <w:r w:rsidRPr="002B4FD9">
        <w:rPr>
          <w:rFonts w:ascii="Cambria" w:hAnsi="Cambria"/>
          <w:noProof/>
          <w:lang w:val="en-US"/>
        </w:rPr>
        <w:t>, 677–684.</w:t>
      </w:r>
    </w:p>
    <w:p w14:paraId="484771B2"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 xml:space="preserve">Díaz S, Hodgson J., Thompson K, </w:t>
      </w:r>
      <w:r w:rsidRPr="002B4FD9">
        <w:rPr>
          <w:rFonts w:ascii="Cambria" w:hAnsi="Cambria"/>
          <w:b/>
          <w:bCs/>
          <w:i/>
          <w:iCs/>
          <w:noProof/>
          <w:lang w:val="en-US"/>
        </w:rPr>
        <w:t>et al.</w:t>
      </w:r>
      <w:r w:rsidRPr="002B4FD9">
        <w:rPr>
          <w:rFonts w:ascii="Cambria" w:hAnsi="Cambria"/>
          <w:noProof/>
          <w:lang w:val="en-US"/>
        </w:rPr>
        <w:t xml:space="preserve"> 2004. The plant traits that drive ecosystems : Evidence from three continents. Journal of Vegetation Science </w:t>
      </w:r>
      <w:r w:rsidRPr="002B4FD9">
        <w:rPr>
          <w:rFonts w:ascii="Cambria" w:hAnsi="Cambria"/>
          <w:b/>
          <w:bCs/>
          <w:noProof/>
          <w:lang w:val="en-US"/>
        </w:rPr>
        <w:t>15</w:t>
      </w:r>
      <w:r w:rsidRPr="002B4FD9">
        <w:rPr>
          <w:rFonts w:ascii="Cambria" w:hAnsi="Cambria"/>
          <w:noProof/>
          <w:lang w:val="en-US"/>
        </w:rPr>
        <w:t>, 295–304.</w:t>
      </w:r>
    </w:p>
    <w:p w14:paraId="77E1984C"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 xml:space="preserve">Díaz S, Kattge J, Cornelissen JHC, </w:t>
      </w:r>
      <w:r w:rsidRPr="002B4FD9">
        <w:rPr>
          <w:rFonts w:ascii="Cambria" w:hAnsi="Cambria"/>
          <w:b/>
          <w:bCs/>
          <w:i/>
          <w:iCs/>
          <w:noProof/>
          <w:lang w:val="en-US"/>
        </w:rPr>
        <w:t>et al.</w:t>
      </w:r>
      <w:r w:rsidRPr="002B4FD9">
        <w:rPr>
          <w:rFonts w:ascii="Cambria" w:hAnsi="Cambria"/>
          <w:noProof/>
          <w:lang w:val="en-US"/>
        </w:rPr>
        <w:t xml:space="preserve"> 2016. The global spectrum of plant form and function. Nature </w:t>
      </w:r>
      <w:r w:rsidRPr="002B4FD9">
        <w:rPr>
          <w:rFonts w:ascii="Cambria" w:hAnsi="Cambria"/>
          <w:b/>
          <w:bCs/>
          <w:noProof/>
          <w:lang w:val="en-US"/>
        </w:rPr>
        <w:t>529</w:t>
      </w:r>
      <w:r w:rsidRPr="002B4FD9">
        <w:rPr>
          <w:rFonts w:ascii="Cambria" w:hAnsi="Cambria"/>
          <w:noProof/>
          <w:lang w:val="en-US"/>
        </w:rPr>
        <w:t>, 167–183.</w:t>
      </w:r>
    </w:p>
    <w:p w14:paraId="249C8543"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Dodd ME, Silvertown J, Chase MW</w:t>
      </w:r>
      <w:r w:rsidRPr="002B4FD9">
        <w:rPr>
          <w:rFonts w:ascii="Cambria" w:hAnsi="Cambria"/>
          <w:noProof/>
          <w:lang w:val="en-US"/>
        </w:rPr>
        <w:t xml:space="preserve">. 1999. Phylogenetic analysis of trait evolution and species diversity variation among angiosperm families. Evolution </w:t>
      </w:r>
      <w:r w:rsidRPr="002B4FD9">
        <w:rPr>
          <w:rFonts w:ascii="Cambria" w:hAnsi="Cambria"/>
          <w:b/>
          <w:bCs/>
          <w:noProof/>
          <w:lang w:val="en-US"/>
        </w:rPr>
        <w:t>53</w:t>
      </w:r>
      <w:r w:rsidRPr="002B4FD9">
        <w:rPr>
          <w:rFonts w:ascii="Cambria" w:hAnsi="Cambria"/>
          <w:noProof/>
          <w:lang w:val="en-US"/>
        </w:rPr>
        <w:t>, 732–744.</w:t>
      </w:r>
    </w:p>
    <w:p w14:paraId="23B11350"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Doehlert DC</w:t>
      </w:r>
      <w:r w:rsidRPr="002B4FD9">
        <w:rPr>
          <w:rFonts w:ascii="Cambria" w:hAnsi="Cambria"/>
          <w:noProof/>
          <w:lang w:val="en-US"/>
        </w:rPr>
        <w:t xml:space="preserve">. 1993. Sink strength: dynamic with source strength. Plant, Cell &amp; Environment </w:t>
      </w:r>
      <w:r w:rsidRPr="002B4FD9">
        <w:rPr>
          <w:rFonts w:ascii="Cambria" w:hAnsi="Cambria"/>
          <w:b/>
          <w:bCs/>
          <w:noProof/>
          <w:lang w:val="en-US"/>
        </w:rPr>
        <w:t>16</w:t>
      </w:r>
      <w:r w:rsidRPr="002B4FD9">
        <w:rPr>
          <w:rFonts w:ascii="Cambria" w:hAnsi="Cambria"/>
          <w:noProof/>
          <w:lang w:val="en-US"/>
        </w:rPr>
        <w:t>, 1027–1028.</w:t>
      </w:r>
    </w:p>
    <w:p w14:paraId="5B3EB1D6"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Doust A</w:t>
      </w:r>
      <w:r w:rsidRPr="002B4FD9">
        <w:rPr>
          <w:rFonts w:ascii="Cambria" w:hAnsi="Cambria"/>
          <w:noProof/>
          <w:lang w:val="en-US"/>
        </w:rPr>
        <w:t xml:space="preserve">. 2007. Architectural evolution and its implications for domestication in grasses. Annals of Botany </w:t>
      </w:r>
      <w:r w:rsidRPr="002B4FD9">
        <w:rPr>
          <w:rFonts w:ascii="Cambria" w:hAnsi="Cambria"/>
          <w:b/>
          <w:bCs/>
          <w:noProof/>
          <w:lang w:val="en-US"/>
        </w:rPr>
        <w:t>100</w:t>
      </w:r>
      <w:r w:rsidRPr="002B4FD9">
        <w:rPr>
          <w:rFonts w:ascii="Cambria" w:hAnsi="Cambria"/>
          <w:noProof/>
          <w:lang w:val="en-US"/>
        </w:rPr>
        <w:t>, 941–950.</w:t>
      </w:r>
    </w:p>
    <w:p w14:paraId="0F394D6A"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Ellis RJ</w:t>
      </w:r>
      <w:r w:rsidRPr="002B4FD9">
        <w:rPr>
          <w:rFonts w:ascii="Cambria" w:hAnsi="Cambria"/>
          <w:noProof/>
          <w:lang w:val="en-US"/>
        </w:rPr>
        <w:t xml:space="preserve">. 1979. The most abundant protein in the world. Trends in Biochemical Science </w:t>
      </w:r>
      <w:r w:rsidRPr="002B4FD9">
        <w:rPr>
          <w:rFonts w:ascii="Cambria" w:hAnsi="Cambria"/>
          <w:b/>
          <w:bCs/>
          <w:noProof/>
          <w:lang w:val="en-US"/>
        </w:rPr>
        <w:t>4</w:t>
      </w:r>
      <w:r w:rsidRPr="002B4FD9">
        <w:rPr>
          <w:rFonts w:ascii="Cambria" w:hAnsi="Cambria"/>
          <w:noProof/>
          <w:lang w:val="en-US"/>
        </w:rPr>
        <w:t>, 241–244.</w:t>
      </w:r>
    </w:p>
    <w:p w14:paraId="245B99DA"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Erisman JW, Sutton MA, Galloway J, Klimont Z, Winiwarter W</w:t>
      </w:r>
      <w:r w:rsidRPr="002B4FD9">
        <w:rPr>
          <w:rFonts w:ascii="Cambria" w:hAnsi="Cambria"/>
          <w:noProof/>
          <w:lang w:val="en-US"/>
        </w:rPr>
        <w:t xml:space="preserve">. 2008. How a century of ammonia synthesis changed the world. Nature Geoscience </w:t>
      </w:r>
      <w:r w:rsidRPr="002B4FD9">
        <w:rPr>
          <w:rFonts w:ascii="Cambria" w:hAnsi="Cambria"/>
          <w:b/>
          <w:bCs/>
          <w:noProof/>
          <w:lang w:val="en-US"/>
        </w:rPr>
        <w:t>1</w:t>
      </w:r>
      <w:r w:rsidRPr="002B4FD9">
        <w:rPr>
          <w:rFonts w:ascii="Cambria" w:hAnsi="Cambria"/>
          <w:noProof/>
          <w:lang w:val="en-US"/>
        </w:rPr>
        <w:t>, 636–639.</w:t>
      </w:r>
    </w:p>
    <w:p w14:paraId="6929F877"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Eurostat</w:t>
      </w:r>
      <w:r w:rsidRPr="002B4FD9">
        <w:rPr>
          <w:rFonts w:ascii="Cambria" w:hAnsi="Cambria"/>
          <w:noProof/>
          <w:lang w:val="en-US"/>
        </w:rPr>
        <w:t>. 2015. Agricultural production - crops.</w:t>
      </w:r>
    </w:p>
    <w:p w14:paraId="0A2DD6E2"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Evans JR</w:t>
      </w:r>
      <w:r w:rsidRPr="002B4FD9">
        <w:rPr>
          <w:rFonts w:ascii="Cambria" w:hAnsi="Cambria"/>
          <w:noProof/>
          <w:lang w:val="en-US"/>
        </w:rPr>
        <w:t>. 1989. Photosynthesis and nitrogen relationships in leaves of C</w:t>
      </w:r>
      <w:r w:rsidRPr="00547041">
        <w:rPr>
          <w:rFonts w:ascii="Cambria" w:hAnsi="Cambria"/>
          <w:noProof/>
          <w:vertAlign w:val="subscript"/>
          <w:lang w:val="en-US"/>
        </w:rPr>
        <w:t>3</w:t>
      </w:r>
      <w:r w:rsidRPr="002B4FD9">
        <w:rPr>
          <w:rFonts w:ascii="Cambria" w:hAnsi="Cambria"/>
          <w:noProof/>
          <w:lang w:val="en-US"/>
        </w:rPr>
        <w:t xml:space="preserve"> plants. Oecologia </w:t>
      </w:r>
      <w:r w:rsidRPr="002B4FD9">
        <w:rPr>
          <w:rFonts w:ascii="Cambria" w:hAnsi="Cambria"/>
          <w:b/>
          <w:bCs/>
          <w:noProof/>
          <w:lang w:val="en-US"/>
        </w:rPr>
        <w:t>78</w:t>
      </w:r>
      <w:r w:rsidRPr="002B4FD9">
        <w:rPr>
          <w:rFonts w:ascii="Cambria" w:hAnsi="Cambria"/>
          <w:noProof/>
          <w:lang w:val="en-US"/>
        </w:rPr>
        <w:t>, 9–19.</w:t>
      </w:r>
    </w:p>
    <w:p w14:paraId="1B9953ED"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Eveland AL, Jackson DP</w:t>
      </w:r>
      <w:r w:rsidRPr="002B4FD9">
        <w:rPr>
          <w:rFonts w:ascii="Cambria" w:hAnsi="Cambria"/>
          <w:noProof/>
          <w:lang w:val="en-US"/>
        </w:rPr>
        <w:t xml:space="preserve">. 2012. Sugars, signalling, and plant development. Journal of Experimental Botany </w:t>
      </w:r>
      <w:r w:rsidRPr="002B4FD9">
        <w:rPr>
          <w:rFonts w:ascii="Cambria" w:hAnsi="Cambria"/>
          <w:b/>
          <w:bCs/>
          <w:noProof/>
          <w:lang w:val="en-US"/>
        </w:rPr>
        <w:t>63</w:t>
      </w:r>
      <w:r w:rsidRPr="002B4FD9">
        <w:rPr>
          <w:rFonts w:ascii="Cambria" w:hAnsi="Cambria"/>
          <w:noProof/>
          <w:lang w:val="en-US"/>
        </w:rPr>
        <w:t>, 3367–77.</w:t>
      </w:r>
    </w:p>
    <w:p w14:paraId="64356AEF"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Evers JB, Vos J, Yin X, Romero P, Van Der Putten PEL, Struik PC</w:t>
      </w:r>
      <w:r w:rsidRPr="002B4FD9">
        <w:rPr>
          <w:rFonts w:ascii="Cambria" w:hAnsi="Cambria"/>
          <w:noProof/>
          <w:lang w:val="en-US"/>
        </w:rPr>
        <w:t xml:space="preserve">. 2010. Simulation of wheat growth and development based on organ-level photosynthesis and assimilate allocation. Journal of Experimental Botany </w:t>
      </w:r>
      <w:r w:rsidRPr="002B4FD9">
        <w:rPr>
          <w:rFonts w:ascii="Cambria" w:hAnsi="Cambria"/>
          <w:b/>
          <w:bCs/>
          <w:noProof/>
          <w:lang w:val="en-US"/>
        </w:rPr>
        <w:t>61</w:t>
      </w:r>
      <w:r w:rsidRPr="002B4FD9">
        <w:rPr>
          <w:rFonts w:ascii="Cambria" w:hAnsi="Cambria"/>
          <w:noProof/>
          <w:lang w:val="en-US"/>
        </w:rPr>
        <w:t>, 2203–2216.</w:t>
      </w:r>
    </w:p>
    <w:p w14:paraId="705449BC" w14:textId="17FE3EC5"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Eyles A, Pinkard EA, Davies NW, Corkrey R, Churchill K, O’Grady AP, Sands P, Mohammed C</w:t>
      </w:r>
      <w:r w:rsidRPr="002B4FD9">
        <w:rPr>
          <w:rFonts w:ascii="Cambria" w:hAnsi="Cambria"/>
          <w:noProof/>
          <w:lang w:val="en-US"/>
        </w:rPr>
        <w:t>. 2013. Whole-plant- versus leaf-level regulation of photosynthetic responses after partial defoliation in</w:t>
      </w:r>
      <w:r w:rsidRPr="00547041">
        <w:rPr>
          <w:rFonts w:ascii="Cambria" w:hAnsi="Cambria"/>
          <w:i/>
          <w:noProof/>
          <w:lang w:val="en-US"/>
        </w:rPr>
        <w:t xml:space="preserve"> Eucalyptus globulus</w:t>
      </w:r>
      <w:r w:rsidRPr="002B4FD9">
        <w:rPr>
          <w:rFonts w:ascii="Cambria" w:hAnsi="Cambria"/>
          <w:noProof/>
          <w:lang w:val="en-US"/>
        </w:rPr>
        <w:t xml:space="preserve"> saplings. Journal of Experimental Botany </w:t>
      </w:r>
      <w:r w:rsidRPr="002B4FD9">
        <w:rPr>
          <w:rFonts w:ascii="Cambria" w:hAnsi="Cambria"/>
          <w:b/>
          <w:bCs/>
          <w:noProof/>
          <w:lang w:val="en-US"/>
        </w:rPr>
        <w:t>64</w:t>
      </w:r>
      <w:r w:rsidRPr="002B4FD9">
        <w:rPr>
          <w:rFonts w:ascii="Cambria" w:hAnsi="Cambria"/>
          <w:noProof/>
          <w:lang w:val="en-US"/>
        </w:rPr>
        <w:t>, 1625–1636.</w:t>
      </w:r>
    </w:p>
    <w:p w14:paraId="74739E13" w14:textId="0D8A14C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FAO</w:t>
      </w:r>
      <w:r w:rsidRPr="002B4FD9">
        <w:rPr>
          <w:rFonts w:ascii="Cambria" w:hAnsi="Cambria"/>
          <w:noProof/>
          <w:lang w:val="en-US"/>
        </w:rPr>
        <w:t>. 2014. FAOSTAT.</w:t>
      </w:r>
    </w:p>
    <w:p w14:paraId="1284396A"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FAO, IFAD, WFP.</w:t>
      </w:r>
      <w:r w:rsidRPr="002B4FD9">
        <w:rPr>
          <w:rFonts w:ascii="Cambria" w:hAnsi="Cambria"/>
          <w:noProof/>
          <w:lang w:val="en-US"/>
        </w:rPr>
        <w:t xml:space="preserve"> 2014. </w:t>
      </w:r>
      <w:r w:rsidRPr="002B4FD9">
        <w:rPr>
          <w:rFonts w:ascii="Cambria" w:hAnsi="Cambria"/>
          <w:i/>
          <w:iCs/>
          <w:noProof/>
          <w:lang w:val="en-US"/>
        </w:rPr>
        <w:t>The State of Food Insecurity in the World. Strengthening the enabling environment for food security and nutrition.</w:t>
      </w:r>
      <w:r w:rsidRPr="002B4FD9">
        <w:rPr>
          <w:rFonts w:ascii="Cambria" w:hAnsi="Cambria"/>
          <w:noProof/>
          <w:lang w:val="en-US"/>
        </w:rPr>
        <w:t xml:space="preserve"> Rome, FAO.</w:t>
      </w:r>
    </w:p>
    <w:p w14:paraId="759B4A62"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Farage P, McKee I, Long S</w:t>
      </w:r>
      <w:r w:rsidRPr="002B4FD9">
        <w:rPr>
          <w:rFonts w:ascii="Cambria" w:hAnsi="Cambria"/>
          <w:noProof/>
          <w:lang w:val="en-US"/>
        </w:rPr>
        <w:t>. 1998. Does a low nitrogen supply necessarily lead to acclimation of photosynthesis to elevated CO</w:t>
      </w:r>
      <w:r w:rsidRPr="00547041">
        <w:rPr>
          <w:rFonts w:ascii="Cambria" w:hAnsi="Cambria"/>
          <w:noProof/>
          <w:vertAlign w:val="subscript"/>
          <w:lang w:val="en-US"/>
        </w:rPr>
        <w:t>2</w:t>
      </w:r>
      <w:r w:rsidRPr="002B4FD9">
        <w:rPr>
          <w:rFonts w:ascii="Cambria" w:hAnsi="Cambria"/>
          <w:noProof/>
          <w:lang w:val="en-US"/>
        </w:rPr>
        <w:t xml:space="preserve">? Plant Physiology </w:t>
      </w:r>
      <w:r w:rsidRPr="002B4FD9">
        <w:rPr>
          <w:rFonts w:ascii="Cambria" w:hAnsi="Cambria"/>
          <w:b/>
          <w:bCs/>
          <w:noProof/>
          <w:lang w:val="en-US"/>
        </w:rPr>
        <w:t>118</w:t>
      </w:r>
      <w:r w:rsidRPr="002B4FD9">
        <w:rPr>
          <w:rFonts w:ascii="Cambria" w:hAnsi="Cambria"/>
          <w:noProof/>
          <w:lang w:val="en-US"/>
        </w:rPr>
        <w:t>, 573–80.</w:t>
      </w:r>
    </w:p>
    <w:p w14:paraId="61817840"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Farquhar GD, Caemmerer S, Berry JA</w:t>
      </w:r>
      <w:r w:rsidRPr="002B4FD9">
        <w:rPr>
          <w:rFonts w:ascii="Cambria" w:hAnsi="Cambria"/>
          <w:noProof/>
          <w:lang w:val="en-US"/>
        </w:rPr>
        <w:t>. 1980. A biochemical model of photosynthetic CO</w:t>
      </w:r>
      <w:r w:rsidRPr="002D6D6A">
        <w:rPr>
          <w:rFonts w:ascii="Cambria" w:hAnsi="Cambria"/>
          <w:noProof/>
          <w:vertAlign w:val="subscript"/>
          <w:lang w:val="en-US"/>
        </w:rPr>
        <w:t>2</w:t>
      </w:r>
      <w:r w:rsidRPr="002B4FD9">
        <w:rPr>
          <w:rFonts w:ascii="Cambria" w:hAnsi="Cambria"/>
          <w:noProof/>
          <w:lang w:val="en-US"/>
        </w:rPr>
        <w:t xml:space="preserve"> assimilation in leaves of C</w:t>
      </w:r>
      <w:r w:rsidRPr="00547041">
        <w:rPr>
          <w:rFonts w:ascii="Cambria" w:hAnsi="Cambria"/>
          <w:noProof/>
          <w:vertAlign w:val="subscript"/>
          <w:lang w:val="en-US"/>
        </w:rPr>
        <w:t>3</w:t>
      </w:r>
      <w:r w:rsidRPr="002B4FD9">
        <w:rPr>
          <w:rFonts w:ascii="Cambria" w:hAnsi="Cambria"/>
          <w:noProof/>
          <w:lang w:val="en-US"/>
        </w:rPr>
        <w:t xml:space="preserve"> species. Planta </w:t>
      </w:r>
      <w:r w:rsidRPr="002B4FD9">
        <w:rPr>
          <w:rFonts w:ascii="Cambria" w:hAnsi="Cambria"/>
          <w:b/>
          <w:bCs/>
          <w:noProof/>
          <w:lang w:val="en-US"/>
        </w:rPr>
        <w:t>149</w:t>
      </w:r>
      <w:r w:rsidRPr="002B4FD9">
        <w:rPr>
          <w:rFonts w:ascii="Cambria" w:hAnsi="Cambria"/>
          <w:noProof/>
          <w:lang w:val="en-US"/>
        </w:rPr>
        <w:t>, 78–90.</w:t>
      </w:r>
    </w:p>
    <w:p w14:paraId="3EEF29C2"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Fatichi S, Leuzinger S, Korner C</w:t>
      </w:r>
      <w:r w:rsidRPr="002B4FD9">
        <w:rPr>
          <w:rFonts w:ascii="Cambria" w:hAnsi="Cambria"/>
          <w:noProof/>
          <w:lang w:val="en-US"/>
        </w:rPr>
        <w:t xml:space="preserve">. 2013. Moving beyond photosynthesis: from carbon source to sink-driven vegetation modeling. New Phytologist </w:t>
      </w:r>
      <w:r w:rsidRPr="002B4FD9">
        <w:rPr>
          <w:rFonts w:ascii="Cambria" w:hAnsi="Cambria"/>
          <w:b/>
          <w:bCs/>
          <w:noProof/>
          <w:lang w:val="en-US"/>
        </w:rPr>
        <w:t>201</w:t>
      </w:r>
      <w:r w:rsidRPr="002B4FD9">
        <w:rPr>
          <w:rFonts w:ascii="Cambria" w:hAnsi="Cambria"/>
          <w:noProof/>
          <w:lang w:val="en-US"/>
        </w:rPr>
        <w:t>, 1068–95.</w:t>
      </w:r>
    </w:p>
    <w:p w14:paraId="7821D0A3"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Fell DA, Thomas S</w:t>
      </w:r>
      <w:r w:rsidRPr="002B4FD9">
        <w:rPr>
          <w:rFonts w:ascii="Cambria" w:hAnsi="Cambria"/>
          <w:noProof/>
          <w:lang w:val="en-US"/>
        </w:rPr>
        <w:t xml:space="preserve">. 1995. Physiological control of metabolic flux: the requirement for multisite modulation. The Biochemical Journal </w:t>
      </w:r>
      <w:r w:rsidRPr="002B4FD9">
        <w:rPr>
          <w:rFonts w:ascii="Cambria" w:hAnsi="Cambria"/>
          <w:b/>
          <w:bCs/>
          <w:noProof/>
          <w:lang w:val="en-US"/>
        </w:rPr>
        <w:t>311</w:t>
      </w:r>
      <w:r w:rsidRPr="002B4FD9">
        <w:rPr>
          <w:rFonts w:ascii="Cambria" w:hAnsi="Cambria"/>
          <w:noProof/>
          <w:lang w:val="en-US"/>
        </w:rPr>
        <w:t>, 35–39.</w:t>
      </w:r>
    </w:p>
    <w:p w14:paraId="444E0343"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Fernie AR, Aharoni A, Willmitzer L, Stitt M, Tohge T, Kopka J, Carroll AJ, Saito K, Fraser PD, DeLuca V</w:t>
      </w:r>
      <w:r w:rsidRPr="002B4FD9">
        <w:rPr>
          <w:rFonts w:ascii="Cambria" w:hAnsi="Cambria"/>
          <w:noProof/>
          <w:lang w:val="en-US"/>
        </w:rPr>
        <w:t xml:space="preserve">. 2011. Recommendations for reporting metabolite data. The Plant Cell </w:t>
      </w:r>
      <w:r w:rsidRPr="002B4FD9">
        <w:rPr>
          <w:rFonts w:ascii="Cambria" w:hAnsi="Cambria"/>
          <w:b/>
          <w:bCs/>
          <w:noProof/>
          <w:lang w:val="en-US"/>
        </w:rPr>
        <w:t>23</w:t>
      </w:r>
      <w:r w:rsidRPr="002B4FD9">
        <w:rPr>
          <w:rFonts w:ascii="Cambria" w:hAnsi="Cambria"/>
          <w:noProof/>
          <w:lang w:val="en-US"/>
        </w:rPr>
        <w:t>, 2477–82.</w:t>
      </w:r>
    </w:p>
    <w:p w14:paraId="7FDFF987"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 xml:space="preserve">Foley JA, Ramankutty N, Brauman KA, </w:t>
      </w:r>
      <w:r w:rsidRPr="002B4FD9">
        <w:rPr>
          <w:rFonts w:ascii="Cambria" w:hAnsi="Cambria"/>
          <w:b/>
          <w:bCs/>
          <w:i/>
          <w:iCs/>
          <w:noProof/>
          <w:lang w:val="en-US"/>
        </w:rPr>
        <w:t>et al.</w:t>
      </w:r>
      <w:r w:rsidRPr="002B4FD9">
        <w:rPr>
          <w:rFonts w:ascii="Cambria" w:hAnsi="Cambria"/>
          <w:noProof/>
          <w:lang w:val="en-US"/>
        </w:rPr>
        <w:t xml:space="preserve"> 2011. Solutions for a cultivated planet. Nature </w:t>
      </w:r>
      <w:r w:rsidRPr="002B4FD9">
        <w:rPr>
          <w:rFonts w:ascii="Cambria" w:hAnsi="Cambria"/>
          <w:b/>
          <w:bCs/>
          <w:noProof/>
          <w:lang w:val="en-US"/>
        </w:rPr>
        <w:t>478</w:t>
      </w:r>
      <w:r w:rsidRPr="002B4FD9">
        <w:rPr>
          <w:rFonts w:ascii="Cambria" w:hAnsi="Cambria"/>
          <w:noProof/>
          <w:lang w:val="en-US"/>
        </w:rPr>
        <w:t>, 337–342.</w:t>
      </w:r>
    </w:p>
    <w:p w14:paraId="4E74A83A"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Foulkes MJ, Slafer GA, Davies WJ, Berry PM, Sylvester-Bradley R, Martre P, Calderini DF, Griffiths S, Reynolds MP</w:t>
      </w:r>
      <w:r w:rsidRPr="002B4FD9">
        <w:rPr>
          <w:rFonts w:ascii="Cambria" w:hAnsi="Cambria"/>
          <w:noProof/>
          <w:lang w:val="en-US"/>
        </w:rPr>
        <w:t xml:space="preserve">. 2011. Raising yield potential of wheat. III. Optimizing partitioning to grain while maintaining lodging resistance. Journal of Experimental Botany </w:t>
      </w:r>
      <w:r w:rsidRPr="002B4FD9">
        <w:rPr>
          <w:rFonts w:ascii="Cambria" w:hAnsi="Cambria"/>
          <w:b/>
          <w:bCs/>
          <w:noProof/>
          <w:lang w:val="en-US"/>
        </w:rPr>
        <w:t>62</w:t>
      </w:r>
      <w:r w:rsidRPr="002B4FD9">
        <w:rPr>
          <w:rFonts w:ascii="Cambria" w:hAnsi="Cambria"/>
          <w:noProof/>
          <w:lang w:val="en-US"/>
        </w:rPr>
        <w:t>, 469–86.</w:t>
      </w:r>
    </w:p>
    <w:p w14:paraId="6C66A065"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Francis D, Davies MS, Barlow PW</w:t>
      </w:r>
      <w:r w:rsidRPr="002B4FD9">
        <w:rPr>
          <w:rFonts w:ascii="Cambria" w:hAnsi="Cambria"/>
          <w:noProof/>
          <w:lang w:val="en-US"/>
        </w:rPr>
        <w:t xml:space="preserve">. 2008. A strong nucleotypic effect on the cell cycle regardless of ploidy level. Annals of Botany </w:t>
      </w:r>
      <w:r w:rsidRPr="002B4FD9">
        <w:rPr>
          <w:rFonts w:ascii="Cambria" w:hAnsi="Cambria"/>
          <w:b/>
          <w:bCs/>
          <w:noProof/>
          <w:lang w:val="en-US"/>
        </w:rPr>
        <w:t>101</w:t>
      </w:r>
      <w:r w:rsidRPr="002B4FD9">
        <w:rPr>
          <w:rFonts w:ascii="Cambria" w:hAnsi="Cambria"/>
          <w:noProof/>
          <w:lang w:val="en-US"/>
        </w:rPr>
        <w:t>, 747–57.</w:t>
      </w:r>
    </w:p>
    <w:p w14:paraId="38242F0A"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Freschet GT, Sward EM, Cornelissen JHC</w:t>
      </w:r>
      <w:r w:rsidRPr="002B4FD9">
        <w:rPr>
          <w:rFonts w:ascii="Cambria" w:hAnsi="Cambria"/>
          <w:noProof/>
          <w:lang w:val="en-US"/>
        </w:rPr>
        <w:t xml:space="preserve">. 2015. Integrated plant phenotypic responses to contrasting above- and below-ground resources: key roles of specific leaf area and root mass fraction. New Phytologist </w:t>
      </w:r>
      <w:r w:rsidRPr="002B4FD9">
        <w:rPr>
          <w:rFonts w:ascii="Cambria" w:hAnsi="Cambria"/>
          <w:b/>
          <w:bCs/>
          <w:noProof/>
          <w:lang w:val="en-US"/>
        </w:rPr>
        <w:t>206</w:t>
      </w:r>
      <w:r w:rsidRPr="002B4FD9">
        <w:rPr>
          <w:rFonts w:ascii="Cambria" w:hAnsi="Cambria"/>
          <w:noProof/>
          <w:lang w:val="en-US"/>
        </w:rPr>
        <w:t>, 1247–1260.</w:t>
      </w:r>
    </w:p>
    <w:p w14:paraId="5F2D5F48"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Friedlingstein P, Meinshausen M, Arora V, Jones C, Anav A, Liddicoat S, Knutti R</w:t>
      </w:r>
      <w:r w:rsidRPr="002B4FD9">
        <w:rPr>
          <w:rFonts w:ascii="Cambria" w:hAnsi="Cambria"/>
          <w:noProof/>
          <w:lang w:val="en-US"/>
        </w:rPr>
        <w:t xml:space="preserve">. 2014. Uncertainties in CMIP5 climate projections due to carbon cycle feedbacks. Journal of Climate </w:t>
      </w:r>
      <w:r w:rsidRPr="002B4FD9">
        <w:rPr>
          <w:rFonts w:ascii="Cambria" w:hAnsi="Cambria"/>
          <w:b/>
          <w:bCs/>
          <w:noProof/>
          <w:lang w:val="en-US"/>
        </w:rPr>
        <w:t>27</w:t>
      </w:r>
      <w:r w:rsidRPr="002B4FD9">
        <w:rPr>
          <w:rFonts w:ascii="Cambria" w:hAnsi="Cambria"/>
          <w:noProof/>
          <w:lang w:val="en-US"/>
        </w:rPr>
        <w:t>, 511–526.</w:t>
      </w:r>
    </w:p>
    <w:p w14:paraId="6AAD4663"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Garnier E</w:t>
      </w:r>
      <w:r w:rsidRPr="002B4FD9">
        <w:rPr>
          <w:rFonts w:ascii="Cambria" w:hAnsi="Cambria"/>
          <w:noProof/>
          <w:lang w:val="en-US"/>
        </w:rPr>
        <w:t xml:space="preserve">. 1992. Growth analysis of congeneric annual and perennial grass species. Journal of Ecology </w:t>
      </w:r>
      <w:r w:rsidRPr="002B4FD9">
        <w:rPr>
          <w:rFonts w:ascii="Cambria" w:hAnsi="Cambria"/>
          <w:b/>
          <w:bCs/>
          <w:noProof/>
          <w:lang w:val="en-US"/>
        </w:rPr>
        <w:t>80</w:t>
      </w:r>
      <w:r w:rsidRPr="002B4FD9">
        <w:rPr>
          <w:rFonts w:ascii="Cambria" w:hAnsi="Cambria"/>
          <w:noProof/>
          <w:lang w:val="en-US"/>
        </w:rPr>
        <w:t>, 665–675.</w:t>
      </w:r>
    </w:p>
    <w:p w14:paraId="14724020"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Garnier E, Koch GW, Roy J, Mooney HA</w:t>
      </w:r>
      <w:r w:rsidRPr="002B4FD9">
        <w:rPr>
          <w:rFonts w:ascii="Cambria" w:hAnsi="Cambria"/>
          <w:noProof/>
          <w:lang w:val="en-US"/>
        </w:rPr>
        <w:t xml:space="preserve">. 1989. Responses of wild plants to nitrate availability. Oecologia </w:t>
      </w:r>
      <w:r w:rsidRPr="002B4FD9">
        <w:rPr>
          <w:rFonts w:ascii="Cambria" w:hAnsi="Cambria"/>
          <w:b/>
          <w:bCs/>
          <w:noProof/>
          <w:lang w:val="en-US"/>
        </w:rPr>
        <w:t>79</w:t>
      </w:r>
      <w:r w:rsidRPr="002B4FD9">
        <w:rPr>
          <w:rFonts w:ascii="Cambria" w:hAnsi="Cambria"/>
          <w:noProof/>
          <w:lang w:val="en-US"/>
        </w:rPr>
        <w:t>, 542–550.</w:t>
      </w:r>
    </w:p>
    <w:p w14:paraId="7E12BE46"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Garnier E, Laurent G</w:t>
      </w:r>
      <w:r w:rsidRPr="002B4FD9">
        <w:rPr>
          <w:rFonts w:ascii="Cambria" w:hAnsi="Cambria"/>
          <w:noProof/>
          <w:lang w:val="en-US"/>
        </w:rPr>
        <w:t xml:space="preserve">. 1994. Leaf Anatomy, Specific Mass and Water-Content in Congeneric Annual and Perennial Grass Species. New Phytologist </w:t>
      </w:r>
      <w:r w:rsidRPr="002B4FD9">
        <w:rPr>
          <w:rFonts w:ascii="Cambria" w:hAnsi="Cambria"/>
          <w:b/>
          <w:bCs/>
          <w:noProof/>
          <w:lang w:val="en-US"/>
        </w:rPr>
        <w:t>128</w:t>
      </w:r>
      <w:r w:rsidRPr="002B4FD9">
        <w:rPr>
          <w:rFonts w:ascii="Cambria" w:hAnsi="Cambria"/>
          <w:noProof/>
          <w:lang w:val="en-US"/>
        </w:rPr>
        <w:t>, 725–736.</w:t>
      </w:r>
    </w:p>
    <w:p w14:paraId="563D3E93" w14:textId="1B98F386" w:rsidR="00212DAC" w:rsidRDefault="002B4FD9" w:rsidP="002D6D6A">
      <w:pPr>
        <w:widowControl w:val="0"/>
        <w:autoSpaceDE w:val="0"/>
        <w:autoSpaceDN w:val="0"/>
        <w:adjustRightInd w:val="0"/>
        <w:spacing w:after="140" w:line="276" w:lineRule="auto"/>
        <w:jc w:val="both"/>
        <w:rPr>
          <w:rFonts w:ascii="Cambria" w:hAnsi="Cambria"/>
          <w:noProof/>
          <w:lang w:val="en-US"/>
        </w:rPr>
      </w:pPr>
      <w:r w:rsidRPr="002B4FD9">
        <w:rPr>
          <w:rFonts w:ascii="Cambria" w:hAnsi="Cambria"/>
          <w:b/>
          <w:bCs/>
          <w:noProof/>
          <w:lang w:val="en-US"/>
        </w:rPr>
        <w:t>Geiger DR, Shieh W</w:t>
      </w:r>
      <w:r w:rsidRPr="002B4FD9">
        <w:rPr>
          <w:rFonts w:ascii="Cambria" w:hAnsi="Cambria"/>
          <w:noProof/>
          <w:lang w:val="en-US"/>
        </w:rPr>
        <w:t xml:space="preserve">. 1993. Sink strength: learning to measure, measuring to learn. Plant, Cell &amp; Environment </w:t>
      </w:r>
      <w:r w:rsidRPr="002B4FD9">
        <w:rPr>
          <w:rFonts w:ascii="Cambria" w:hAnsi="Cambria"/>
          <w:b/>
          <w:bCs/>
          <w:noProof/>
          <w:lang w:val="en-US"/>
        </w:rPr>
        <w:t>16</w:t>
      </w:r>
      <w:r w:rsidRPr="002B4FD9">
        <w:rPr>
          <w:rFonts w:ascii="Cambria" w:hAnsi="Cambria"/>
          <w:noProof/>
          <w:lang w:val="en-US"/>
        </w:rPr>
        <w:t>, 1017–1018.</w:t>
      </w:r>
    </w:p>
    <w:p w14:paraId="12A33E47" w14:textId="0E723D3B" w:rsidR="00212DAC" w:rsidRDefault="00212DAC" w:rsidP="002D6D6A">
      <w:pPr>
        <w:widowControl w:val="0"/>
        <w:autoSpaceDE w:val="0"/>
        <w:autoSpaceDN w:val="0"/>
        <w:adjustRightInd w:val="0"/>
        <w:spacing w:line="276" w:lineRule="auto"/>
        <w:jc w:val="both"/>
        <w:rPr>
          <w:rFonts w:ascii="Cambria" w:hAnsi="Cambria"/>
          <w:noProof/>
          <w:lang w:val="en-US"/>
        </w:rPr>
      </w:pPr>
      <w:r w:rsidRPr="001D1494">
        <w:rPr>
          <w:rFonts w:ascii="Cambria" w:hAnsi="Cambria"/>
          <w:b/>
          <w:bCs/>
          <w:noProof/>
          <w:lang w:val="en-US"/>
        </w:rPr>
        <w:t xml:space="preserve">Ghanem ME, Albacete A, Smigocki AC, </w:t>
      </w:r>
      <w:r w:rsidRPr="001D1494">
        <w:rPr>
          <w:rFonts w:ascii="Cambria" w:hAnsi="Cambria"/>
          <w:b/>
          <w:bCs/>
          <w:i/>
          <w:iCs/>
          <w:noProof/>
          <w:lang w:val="en-US"/>
        </w:rPr>
        <w:t>et al.</w:t>
      </w:r>
      <w:r w:rsidRPr="001D1494">
        <w:rPr>
          <w:rFonts w:ascii="Cambria" w:hAnsi="Cambria"/>
          <w:noProof/>
          <w:lang w:val="en-US"/>
        </w:rPr>
        <w:t xml:space="preserve"> 2011. Root-synthesized cytokinins improve shoot growth and fruit yield in salinized tomato (</w:t>
      </w:r>
      <w:r w:rsidRPr="00547041">
        <w:rPr>
          <w:rFonts w:ascii="Cambria" w:hAnsi="Cambria"/>
          <w:i/>
          <w:noProof/>
          <w:lang w:val="en-US"/>
        </w:rPr>
        <w:t>Solanum lycopersicum</w:t>
      </w:r>
      <w:r w:rsidRPr="001D1494">
        <w:rPr>
          <w:rFonts w:ascii="Cambria" w:hAnsi="Cambria"/>
          <w:noProof/>
          <w:lang w:val="en-US"/>
        </w:rPr>
        <w:t xml:space="preserve"> L.) plants. Journal of Experimental Botany </w:t>
      </w:r>
      <w:r w:rsidRPr="001D1494">
        <w:rPr>
          <w:rFonts w:ascii="Cambria" w:hAnsi="Cambria"/>
          <w:b/>
          <w:bCs/>
          <w:noProof/>
          <w:lang w:val="en-US"/>
        </w:rPr>
        <w:t>62</w:t>
      </w:r>
      <w:r>
        <w:rPr>
          <w:rFonts w:ascii="Cambria" w:hAnsi="Cambria"/>
          <w:noProof/>
          <w:lang w:val="en-US"/>
        </w:rPr>
        <w:t>, 125–40.</w:t>
      </w:r>
    </w:p>
    <w:p w14:paraId="4FA3BEC6" w14:textId="77777777" w:rsidR="00212DAC" w:rsidRPr="00212DAC" w:rsidRDefault="00212DAC" w:rsidP="002D6D6A">
      <w:pPr>
        <w:widowControl w:val="0"/>
        <w:autoSpaceDE w:val="0"/>
        <w:autoSpaceDN w:val="0"/>
        <w:adjustRightInd w:val="0"/>
        <w:jc w:val="both"/>
        <w:rPr>
          <w:rFonts w:ascii="Cambria" w:hAnsi="Cambria"/>
          <w:noProof/>
          <w:sz w:val="16"/>
          <w:szCs w:val="16"/>
          <w:lang w:val="en-US"/>
        </w:rPr>
      </w:pPr>
    </w:p>
    <w:p w14:paraId="03023D92"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Godfray H, Beddington J, Crute I, Haddad L, Lawrence D, Muir J, Pretty J, Robinson S, Thomas S, Toulmin C</w:t>
      </w:r>
      <w:r w:rsidRPr="002B4FD9">
        <w:rPr>
          <w:rFonts w:ascii="Cambria" w:hAnsi="Cambria"/>
          <w:noProof/>
          <w:lang w:val="en-US"/>
        </w:rPr>
        <w:t xml:space="preserve">. 2010. The Challenge of Food Security. Science </w:t>
      </w:r>
      <w:r w:rsidRPr="002B4FD9">
        <w:rPr>
          <w:rFonts w:ascii="Cambria" w:hAnsi="Cambria"/>
          <w:b/>
          <w:bCs/>
          <w:noProof/>
          <w:lang w:val="en-US"/>
        </w:rPr>
        <w:t>327</w:t>
      </w:r>
      <w:r w:rsidRPr="002B4FD9">
        <w:rPr>
          <w:rFonts w:ascii="Cambria" w:hAnsi="Cambria"/>
          <w:noProof/>
          <w:lang w:val="en-US"/>
        </w:rPr>
        <w:t>, 812–818.</w:t>
      </w:r>
    </w:p>
    <w:p w14:paraId="0800B4C0"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Goldschmidt E, Huber S</w:t>
      </w:r>
      <w:r w:rsidRPr="002B4FD9">
        <w:rPr>
          <w:rFonts w:ascii="Cambria" w:hAnsi="Cambria"/>
          <w:noProof/>
          <w:lang w:val="en-US"/>
        </w:rPr>
        <w:t xml:space="preserve">. 1992. Regulation of photosynthesis by end-product accumulation in leaves of plants storing starch, sucrose, and hexose sugars. Plant Physiology </w:t>
      </w:r>
      <w:r w:rsidRPr="002B4FD9">
        <w:rPr>
          <w:rFonts w:ascii="Cambria" w:hAnsi="Cambria"/>
          <w:b/>
          <w:bCs/>
          <w:noProof/>
          <w:lang w:val="en-US"/>
        </w:rPr>
        <w:t>99</w:t>
      </w:r>
      <w:r w:rsidRPr="002B4FD9">
        <w:rPr>
          <w:rFonts w:ascii="Cambria" w:hAnsi="Cambria"/>
          <w:noProof/>
          <w:lang w:val="en-US"/>
        </w:rPr>
        <w:t>.</w:t>
      </w:r>
    </w:p>
    <w:p w14:paraId="1E22F1C3"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Granier C, Cookson SJ, Tardieu F, Muller B</w:t>
      </w:r>
      <w:r w:rsidRPr="002B4FD9">
        <w:rPr>
          <w:rFonts w:ascii="Cambria" w:hAnsi="Cambria"/>
          <w:noProof/>
          <w:lang w:val="en-US"/>
        </w:rPr>
        <w:t>. 2007. Cell cycle and environmental stresses. In: Inze D, ed. Annual Plant Reviews Volume 32: Cell Cycle Control and Plant Development. Blackwell, 335–355.</w:t>
      </w:r>
    </w:p>
    <w:p w14:paraId="3DA17F4D"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Granot D, David-Schwartz R, Kelly G</w:t>
      </w:r>
      <w:r w:rsidRPr="002B4FD9">
        <w:rPr>
          <w:rFonts w:ascii="Cambria" w:hAnsi="Cambria"/>
          <w:noProof/>
          <w:lang w:val="en-US"/>
        </w:rPr>
        <w:t xml:space="preserve">. 2013. Hexose kinases and their role in sugar-sensing and plant development. Frontiers in Plant Science </w:t>
      </w:r>
      <w:r w:rsidRPr="002B4FD9">
        <w:rPr>
          <w:rFonts w:ascii="Cambria" w:hAnsi="Cambria"/>
          <w:b/>
          <w:bCs/>
          <w:noProof/>
          <w:lang w:val="en-US"/>
        </w:rPr>
        <w:t>4</w:t>
      </w:r>
      <w:r w:rsidRPr="002B4FD9">
        <w:rPr>
          <w:rFonts w:ascii="Cambria" w:hAnsi="Cambria"/>
          <w:noProof/>
          <w:lang w:val="en-US"/>
        </w:rPr>
        <w:t>, 44.</w:t>
      </w:r>
    </w:p>
    <w:p w14:paraId="779D83C6"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Grime J</w:t>
      </w:r>
      <w:r w:rsidRPr="002B4FD9">
        <w:rPr>
          <w:rFonts w:ascii="Cambria" w:hAnsi="Cambria"/>
          <w:noProof/>
          <w:lang w:val="en-US"/>
        </w:rPr>
        <w:t xml:space="preserve">. 1977. Evidence for the existence of three primary strategies in plants and its relevance to ecological and evolutionary theory. American Naturalist </w:t>
      </w:r>
      <w:r w:rsidRPr="002B4FD9">
        <w:rPr>
          <w:rFonts w:ascii="Cambria" w:hAnsi="Cambria"/>
          <w:b/>
          <w:bCs/>
          <w:noProof/>
          <w:lang w:val="en-US"/>
        </w:rPr>
        <w:t>111</w:t>
      </w:r>
      <w:r w:rsidRPr="002B4FD9">
        <w:rPr>
          <w:rFonts w:ascii="Cambria" w:hAnsi="Cambria"/>
          <w:noProof/>
          <w:lang w:val="en-US"/>
        </w:rPr>
        <w:t>, 1169–1194.</w:t>
      </w:r>
    </w:p>
    <w:p w14:paraId="70D54082"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Grime JP, Hunt R</w:t>
      </w:r>
      <w:r w:rsidRPr="002B4FD9">
        <w:rPr>
          <w:rFonts w:ascii="Cambria" w:hAnsi="Cambria"/>
          <w:noProof/>
          <w:lang w:val="en-US"/>
        </w:rPr>
        <w:t xml:space="preserve">. 1975. Relative Growth-Rate: Its range and adaptive significance in a local flora. Journal of Ecology </w:t>
      </w:r>
      <w:r w:rsidRPr="002B4FD9">
        <w:rPr>
          <w:rFonts w:ascii="Cambria" w:hAnsi="Cambria"/>
          <w:b/>
          <w:bCs/>
          <w:noProof/>
          <w:lang w:val="en-US"/>
        </w:rPr>
        <w:t>63</w:t>
      </w:r>
      <w:r w:rsidRPr="002B4FD9">
        <w:rPr>
          <w:rFonts w:ascii="Cambria" w:hAnsi="Cambria"/>
          <w:noProof/>
          <w:lang w:val="en-US"/>
        </w:rPr>
        <w:t>, 393–422.</w:t>
      </w:r>
    </w:p>
    <w:p w14:paraId="4018A58D"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 xml:space="preserve">Grime JP, Thompson K, Hunt R, </w:t>
      </w:r>
      <w:r w:rsidRPr="002B4FD9">
        <w:rPr>
          <w:rFonts w:ascii="Cambria" w:hAnsi="Cambria"/>
          <w:b/>
          <w:bCs/>
          <w:i/>
          <w:iCs/>
          <w:noProof/>
          <w:lang w:val="en-US"/>
        </w:rPr>
        <w:t>et al.</w:t>
      </w:r>
      <w:r w:rsidRPr="002B4FD9">
        <w:rPr>
          <w:rFonts w:ascii="Cambria" w:hAnsi="Cambria"/>
          <w:noProof/>
          <w:lang w:val="en-US"/>
        </w:rPr>
        <w:t xml:space="preserve"> 1997. Integrated screening validates primary axes of specialisation in plants. Oikos </w:t>
      </w:r>
      <w:r w:rsidRPr="002B4FD9">
        <w:rPr>
          <w:rFonts w:ascii="Cambria" w:hAnsi="Cambria"/>
          <w:b/>
          <w:bCs/>
          <w:noProof/>
          <w:lang w:val="en-US"/>
        </w:rPr>
        <w:t>79</w:t>
      </w:r>
      <w:r w:rsidRPr="002B4FD9">
        <w:rPr>
          <w:rFonts w:ascii="Cambria" w:hAnsi="Cambria"/>
          <w:noProof/>
          <w:lang w:val="en-US"/>
        </w:rPr>
        <w:t>, 259–281.</w:t>
      </w:r>
    </w:p>
    <w:p w14:paraId="0C93E279"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Gruner A, Hoverter N, Smith T, Knight C a.</w:t>
      </w:r>
      <w:r w:rsidRPr="002B4FD9">
        <w:rPr>
          <w:rFonts w:ascii="Cambria" w:hAnsi="Cambria"/>
          <w:noProof/>
          <w:lang w:val="en-US"/>
        </w:rPr>
        <w:t xml:space="preserve"> 2010. Genome size is a strong predictor of root meristem growth rate. Journal of Botany, Article ID 390414.</w:t>
      </w:r>
    </w:p>
    <w:p w14:paraId="2064040A"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Guilbaud CSE, Dalchau N, Purves DW, Turnbull LA</w:t>
      </w:r>
      <w:r w:rsidRPr="002B4FD9">
        <w:rPr>
          <w:rFonts w:ascii="Cambria" w:hAnsi="Cambria"/>
          <w:noProof/>
          <w:lang w:val="en-US"/>
        </w:rPr>
        <w:t xml:space="preserve">. 2015. Is ‘peak N’ key to understanding the timing of flowering in annual plants ? New Phytologist </w:t>
      </w:r>
      <w:r w:rsidRPr="002B4FD9">
        <w:rPr>
          <w:rFonts w:ascii="Cambria" w:hAnsi="Cambria"/>
          <w:b/>
          <w:bCs/>
          <w:noProof/>
          <w:lang w:val="en-US"/>
        </w:rPr>
        <w:t>205</w:t>
      </w:r>
      <w:r w:rsidRPr="002B4FD9">
        <w:rPr>
          <w:rFonts w:ascii="Cambria" w:hAnsi="Cambria"/>
          <w:noProof/>
          <w:lang w:val="en-US"/>
        </w:rPr>
        <w:t>, 918–927.</w:t>
      </w:r>
    </w:p>
    <w:p w14:paraId="37FBC36F"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Harrison J, Gallagher JA, Pollock CJ</w:t>
      </w:r>
      <w:r w:rsidRPr="002B4FD9">
        <w:rPr>
          <w:rFonts w:ascii="Cambria" w:hAnsi="Cambria"/>
          <w:noProof/>
          <w:lang w:val="en-US"/>
        </w:rPr>
        <w:t xml:space="preserve">. 1997. A simple and rapid method for the analysis of water-soluble carbohydrates from small segments of cereal leaf tissue. Journal of Plant Physiology </w:t>
      </w:r>
      <w:r w:rsidRPr="002B4FD9">
        <w:rPr>
          <w:rFonts w:ascii="Cambria" w:hAnsi="Cambria"/>
          <w:b/>
          <w:bCs/>
          <w:noProof/>
          <w:lang w:val="en-US"/>
        </w:rPr>
        <w:t>151</w:t>
      </w:r>
      <w:r w:rsidRPr="002B4FD9">
        <w:rPr>
          <w:rFonts w:ascii="Cambria" w:hAnsi="Cambria"/>
          <w:noProof/>
          <w:lang w:val="en-US"/>
        </w:rPr>
        <w:t>, 654–659.</w:t>
      </w:r>
    </w:p>
    <w:p w14:paraId="50853DF5"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Herms D, Mattson W</w:t>
      </w:r>
      <w:r w:rsidRPr="002B4FD9">
        <w:rPr>
          <w:rFonts w:ascii="Cambria" w:hAnsi="Cambria"/>
          <w:noProof/>
          <w:lang w:val="en-US"/>
        </w:rPr>
        <w:t xml:space="preserve">. 1992. The dilemma of plants: to grow or defend. Quarterly Review of Biology </w:t>
      </w:r>
      <w:r w:rsidRPr="002B4FD9">
        <w:rPr>
          <w:rFonts w:ascii="Cambria" w:hAnsi="Cambria"/>
          <w:b/>
          <w:bCs/>
          <w:noProof/>
          <w:lang w:val="en-US"/>
        </w:rPr>
        <w:t>67</w:t>
      </w:r>
      <w:r w:rsidRPr="002B4FD9">
        <w:rPr>
          <w:rFonts w:ascii="Cambria" w:hAnsi="Cambria"/>
          <w:noProof/>
          <w:lang w:val="en-US"/>
        </w:rPr>
        <w:t>, 283–335.</w:t>
      </w:r>
    </w:p>
    <w:p w14:paraId="22A6C888"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HGCA</w:t>
      </w:r>
      <w:r w:rsidRPr="002B4FD9">
        <w:rPr>
          <w:rFonts w:ascii="Cambria" w:hAnsi="Cambria"/>
          <w:noProof/>
          <w:lang w:val="en-US"/>
        </w:rPr>
        <w:t xml:space="preserve">. 2013. </w:t>
      </w:r>
      <w:r w:rsidRPr="002B4FD9">
        <w:rPr>
          <w:rFonts w:ascii="Cambria" w:hAnsi="Cambria"/>
          <w:i/>
          <w:iCs/>
          <w:noProof/>
          <w:lang w:val="en-US"/>
        </w:rPr>
        <w:t>HGCA Recommended List Spring barley 2013</w:t>
      </w:r>
      <w:r w:rsidRPr="002B4FD9">
        <w:rPr>
          <w:rFonts w:ascii="Cambria" w:hAnsi="Cambria"/>
          <w:noProof/>
          <w:lang w:val="en-US"/>
        </w:rPr>
        <w:t>.</w:t>
      </w:r>
    </w:p>
    <w:p w14:paraId="7367CBCA"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HGCA</w:t>
      </w:r>
      <w:r w:rsidRPr="002B4FD9">
        <w:rPr>
          <w:rFonts w:ascii="Cambria" w:hAnsi="Cambria"/>
          <w:noProof/>
          <w:lang w:val="en-US"/>
        </w:rPr>
        <w:t xml:space="preserve">. 2014. </w:t>
      </w:r>
      <w:r w:rsidRPr="002B4FD9">
        <w:rPr>
          <w:rFonts w:ascii="Cambria" w:hAnsi="Cambria"/>
          <w:i/>
          <w:iCs/>
          <w:noProof/>
          <w:lang w:val="en-US"/>
        </w:rPr>
        <w:t>HGCA Recommended List Spring barley 2014</w:t>
      </w:r>
      <w:r w:rsidRPr="002B4FD9">
        <w:rPr>
          <w:rFonts w:ascii="Cambria" w:hAnsi="Cambria"/>
          <w:noProof/>
          <w:lang w:val="en-US"/>
        </w:rPr>
        <w:t>.</w:t>
      </w:r>
    </w:p>
    <w:p w14:paraId="70020209"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Higgins SI, Scheiter S</w:t>
      </w:r>
      <w:r w:rsidRPr="002B4FD9">
        <w:rPr>
          <w:rFonts w:ascii="Cambria" w:hAnsi="Cambria"/>
          <w:noProof/>
          <w:lang w:val="en-US"/>
        </w:rPr>
        <w:t>. 2012. Atmospheric CO</w:t>
      </w:r>
      <w:r w:rsidRPr="00547041">
        <w:rPr>
          <w:rFonts w:ascii="Cambria" w:hAnsi="Cambria"/>
          <w:noProof/>
          <w:vertAlign w:val="subscript"/>
          <w:lang w:val="en-US"/>
        </w:rPr>
        <w:t>2</w:t>
      </w:r>
      <w:r w:rsidRPr="002B4FD9">
        <w:rPr>
          <w:rFonts w:ascii="Cambria" w:hAnsi="Cambria"/>
          <w:noProof/>
          <w:lang w:val="en-US"/>
        </w:rPr>
        <w:t xml:space="preserve"> forces abrupt vegetation shifts locally, but not globally. Nature </w:t>
      </w:r>
      <w:r w:rsidRPr="002B4FD9">
        <w:rPr>
          <w:rFonts w:ascii="Cambria" w:hAnsi="Cambria"/>
          <w:b/>
          <w:bCs/>
          <w:noProof/>
          <w:lang w:val="en-US"/>
        </w:rPr>
        <w:t>488</w:t>
      </w:r>
      <w:r w:rsidRPr="002B4FD9">
        <w:rPr>
          <w:rFonts w:ascii="Cambria" w:hAnsi="Cambria"/>
          <w:noProof/>
          <w:lang w:val="en-US"/>
        </w:rPr>
        <w:t>, 209–12.</w:t>
      </w:r>
    </w:p>
    <w:p w14:paraId="181504A4"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Hikosaka K, Hanba YT, Hirose T, Terashima I</w:t>
      </w:r>
      <w:r w:rsidRPr="002B4FD9">
        <w:rPr>
          <w:rFonts w:ascii="Cambria" w:hAnsi="Cambria"/>
          <w:noProof/>
          <w:lang w:val="en-US"/>
        </w:rPr>
        <w:t xml:space="preserve">. 1998. Photosynthetic nitrogen-use efficiency in leaves of woody and herbaceous species. Functional Ecology </w:t>
      </w:r>
      <w:r w:rsidRPr="002B4FD9">
        <w:rPr>
          <w:rFonts w:ascii="Cambria" w:hAnsi="Cambria"/>
          <w:b/>
          <w:bCs/>
          <w:noProof/>
          <w:lang w:val="en-US"/>
        </w:rPr>
        <w:t>12</w:t>
      </w:r>
      <w:r w:rsidRPr="002B4FD9">
        <w:rPr>
          <w:rFonts w:ascii="Cambria" w:hAnsi="Cambria"/>
          <w:noProof/>
          <w:lang w:val="en-US"/>
        </w:rPr>
        <w:t>, 896–905.</w:t>
      </w:r>
    </w:p>
    <w:p w14:paraId="795FB44F"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Houghton J, Thompson K, Rees M</w:t>
      </w:r>
      <w:r w:rsidRPr="002B4FD9">
        <w:rPr>
          <w:rFonts w:ascii="Cambria" w:hAnsi="Cambria"/>
          <w:noProof/>
          <w:lang w:val="en-US"/>
        </w:rPr>
        <w:t>. 2013. Does seed mass drive the differences in relative growth rate between growth forms? Proceedings of the Royal Society B.</w:t>
      </w:r>
    </w:p>
    <w:p w14:paraId="67952565"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Hubbell SP, Foster RB</w:t>
      </w:r>
      <w:r w:rsidRPr="002B4FD9">
        <w:rPr>
          <w:rFonts w:ascii="Cambria" w:hAnsi="Cambria"/>
          <w:noProof/>
          <w:lang w:val="en-US"/>
        </w:rPr>
        <w:t xml:space="preserve">. 1992. Short-term dynamics of a neotropical forest: why ecological research matters to tropical conservation and management. Oikos </w:t>
      </w:r>
      <w:r w:rsidRPr="002B4FD9">
        <w:rPr>
          <w:rFonts w:ascii="Cambria" w:hAnsi="Cambria"/>
          <w:b/>
          <w:bCs/>
          <w:noProof/>
          <w:lang w:val="en-US"/>
        </w:rPr>
        <w:t>63</w:t>
      </w:r>
      <w:r w:rsidRPr="002B4FD9">
        <w:rPr>
          <w:rFonts w:ascii="Cambria" w:hAnsi="Cambria"/>
          <w:noProof/>
          <w:lang w:val="en-US"/>
        </w:rPr>
        <w:t>, 48–61.</w:t>
      </w:r>
    </w:p>
    <w:p w14:paraId="5FC886B4"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IPCC</w:t>
      </w:r>
      <w:r w:rsidRPr="002B4FD9">
        <w:rPr>
          <w:rFonts w:ascii="Cambria" w:hAnsi="Cambria"/>
          <w:noProof/>
          <w:lang w:val="en-US"/>
        </w:rPr>
        <w:t xml:space="preserve">. 2014. </w:t>
      </w:r>
      <w:r w:rsidRPr="002B4FD9">
        <w:rPr>
          <w:rFonts w:ascii="Cambria" w:hAnsi="Cambria"/>
          <w:i/>
          <w:iCs/>
          <w:noProof/>
          <w:lang w:val="en-US"/>
        </w:rPr>
        <w:t>Climate Change 2014: Synthesis Report. Contribution of Working Groups I, II and III to the Fifth Assessment Report of the Intergovernmental Panel on Climate Change [Core Writing Team, R.K. Pachauri and L.A. Meyer (eds.)]. IPCC, Geneva, Switzerland, 151 pp</w:t>
      </w:r>
      <w:r w:rsidRPr="002B4FD9">
        <w:rPr>
          <w:rFonts w:ascii="Cambria" w:hAnsi="Cambria"/>
          <w:noProof/>
          <w:lang w:val="en-US"/>
        </w:rPr>
        <w:t>.</w:t>
      </w:r>
    </w:p>
    <w:p w14:paraId="2AE4A0A0"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Isopp H, Frehner M, Long SP, Nösberger J</w:t>
      </w:r>
      <w:r w:rsidRPr="002B4FD9">
        <w:rPr>
          <w:rFonts w:ascii="Cambria" w:hAnsi="Cambria"/>
          <w:noProof/>
          <w:lang w:val="en-US"/>
        </w:rPr>
        <w:t xml:space="preserve">. 2000. Sucrose-phosphate synthase responds differently to source-sink relations and to photosynthetic rates: </w:t>
      </w:r>
      <w:r w:rsidRPr="00547041">
        <w:rPr>
          <w:rFonts w:ascii="Cambria" w:hAnsi="Cambria"/>
          <w:i/>
          <w:noProof/>
          <w:lang w:val="en-US"/>
        </w:rPr>
        <w:t>Lolium perenne</w:t>
      </w:r>
      <w:r w:rsidRPr="002B4FD9">
        <w:rPr>
          <w:rFonts w:ascii="Cambria" w:hAnsi="Cambria"/>
          <w:noProof/>
          <w:lang w:val="en-US"/>
        </w:rPr>
        <w:t xml:space="preserve"> L. growing at elevated p(CO</w:t>
      </w:r>
      <w:r w:rsidRPr="00547041">
        <w:rPr>
          <w:rFonts w:ascii="Cambria" w:hAnsi="Cambria"/>
          <w:noProof/>
          <w:vertAlign w:val="subscript"/>
          <w:lang w:val="en-US"/>
        </w:rPr>
        <w:t>2</w:t>
      </w:r>
      <w:r w:rsidRPr="002B4FD9">
        <w:rPr>
          <w:rFonts w:ascii="Cambria" w:hAnsi="Cambria"/>
          <w:noProof/>
          <w:lang w:val="en-US"/>
        </w:rPr>
        <w:t xml:space="preserve">) in the field. Plant, Cell and Environment </w:t>
      </w:r>
      <w:r w:rsidRPr="002B4FD9">
        <w:rPr>
          <w:rFonts w:ascii="Cambria" w:hAnsi="Cambria"/>
          <w:b/>
          <w:bCs/>
          <w:noProof/>
          <w:lang w:val="en-US"/>
        </w:rPr>
        <w:t>23</w:t>
      </w:r>
      <w:r w:rsidRPr="002B4FD9">
        <w:rPr>
          <w:rFonts w:ascii="Cambria" w:hAnsi="Cambria"/>
          <w:noProof/>
          <w:lang w:val="en-US"/>
        </w:rPr>
        <w:t>, 597–607.</w:t>
      </w:r>
    </w:p>
    <w:p w14:paraId="1FF2EFEC"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Iwasa Y</w:t>
      </w:r>
      <w:r w:rsidRPr="002B4FD9">
        <w:rPr>
          <w:rFonts w:ascii="Cambria" w:hAnsi="Cambria"/>
          <w:noProof/>
          <w:lang w:val="en-US"/>
        </w:rPr>
        <w:t xml:space="preserve">. 2000. Dynamic optimization of plant growth. Evolutionary Ecology Research </w:t>
      </w:r>
      <w:r w:rsidRPr="002B4FD9">
        <w:rPr>
          <w:rFonts w:ascii="Cambria" w:hAnsi="Cambria"/>
          <w:b/>
          <w:bCs/>
          <w:noProof/>
          <w:lang w:val="en-US"/>
        </w:rPr>
        <w:t>2</w:t>
      </w:r>
      <w:r w:rsidRPr="002B4FD9">
        <w:rPr>
          <w:rFonts w:ascii="Cambria" w:hAnsi="Cambria"/>
          <w:noProof/>
          <w:lang w:val="en-US"/>
        </w:rPr>
        <w:t>, 437–455.</w:t>
      </w:r>
    </w:p>
    <w:p w14:paraId="45EAE363"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Jaikumar NS, Snapp SS, Flore JA, Loescher W</w:t>
      </w:r>
      <w:r w:rsidRPr="002B4FD9">
        <w:rPr>
          <w:rFonts w:ascii="Cambria" w:hAnsi="Cambria"/>
          <w:noProof/>
          <w:lang w:val="en-US"/>
        </w:rPr>
        <w:t xml:space="preserve">. 2014. Photosynthetic Responses in Annual Rye, Perennial Wheat, and Perennial Rye Subjected to Modest Source: Sink Ratio Changes. Crop Science </w:t>
      </w:r>
      <w:r w:rsidRPr="002B4FD9">
        <w:rPr>
          <w:rFonts w:ascii="Cambria" w:hAnsi="Cambria"/>
          <w:b/>
          <w:bCs/>
          <w:noProof/>
          <w:lang w:val="en-US"/>
        </w:rPr>
        <w:t>54</w:t>
      </w:r>
      <w:r w:rsidRPr="002B4FD9">
        <w:rPr>
          <w:rFonts w:ascii="Cambria" w:hAnsi="Cambria"/>
          <w:noProof/>
          <w:lang w:val="en-US"/>
        </w:rPr>
        <w:t>, 274–283.</w:t>
      </w:r>
    </w:p>
    <w:p w14:paraId="5F221EB6"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Jamieson P, Semenov M, Brooking I, Francis G</w:t>
      </w:r>
      <w:r w:rsidRPr="002B4FD9">
        <w:rPr>
          <w:rFonts w:ascii="Cambria" w:hAnsi="Cambria"/>
          <w:noProof/>
          <w:lang w:val="en-US"/>
        </w:rPr>
        <w:t xml:space="preserve">. 1998. Sirius: a mechanistic model of wheat response to environmental variation. European Journal of Agronomy </w:t>
      </w:r>
      <w:r w:rsidRPr="002B4FD9">
        <w:rPr>
          <w:rFonts w:ascii="Cambria" w:hAnsi="Cambria"/>
          <w:b/>
          <w:bCs/>
          <w:noProof/>
          <w:lang w:val="en-US"/>
        </w:rPr>
        <w:t>8</w:t>
      </w:r>
      <w:r w:rsidRPr="002B4FD9">
        <w:rPr>
          <w:rFonts w:ascii="Cambria" w:hAnsi="Cambria"/>
          <w:noProof/>
          <w:lang w:val="en-US"/>
        </w:rPr>
        <w:t>, 161–179.</w:t>
      </w:r>
    </w:p>
    <w:p w14:paraId="3B010C7A"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Jang J-C, Sheen J</w:t>
      </w:r>
      <w:r w:rsidRPr="002B4FD9">
        <w:rPr>
          <w:rFonts w:ascii="Cambria" w:hAnsi="Cambria"/>
          <w:noProof/>
          <w:lang w:val="en-US"/>
        </w:rPr>
        <w:t xml:space="preserve">. 1994. Sugar sensing in higher plants. The Plant Cell </w:t>
      </w:r>
      <w:r w:rsidRPr="002B4FD9">
        <w:rPr>
          <w:rFonts w:ascii="Cambria" w:hAnsi="Cambria"/>
          <w:b/>
          <w:bCs/>
          <w:noProof/>
          <w:lang w:val="en-US"/>
        </w:rPr>
        <w:t>6</w:t>
      </w:r>
      <w:r w:rsidRPr="002B4FD9">
        <w:rPr>
          <w:rFonts w:ascii="Cambria" w:hAnsi="Cambria"/>
          <w:noProof/>
          <w:lang w:val="en-US"/>
        </w:rPr>
        <w:t>, 1665–1679.</w:t>
      </w:r>
    </w:p>
    <w:p w14:paraId="32486E6D"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Kaiser WM, Weiner H, Kandlbinder A, Tsai C-B, Rockel P, Sonoda M, Planchet E</w:t>
      </w:r>
      <w:r w:rsidRPr="002B4FD9">
        <w:rPr>
          <w:rFonts w:ascii="Cambria" w:hAnsi="Cambria"/>
          <w:noProof/>
          <w:lang w:val="en-US"/>
        </w:rPr>
        <w:t xml:space="preserve">. 2002. Modulation of nitrate reductase: some new insights, an unusual case and a potentially important side reaction. Journal of Experimental Botany </w:t>
      </w:r>
      <w:r w:rsidRPr="002B4FD9">
        <w:rPr>
          <w:rFonts w:ascii="Cambria" w:hAnsi="Cambria"/>
          <w:b/>
          <w:bCs/>
          <w:noProof/>
          <w:lang w:val="en-US"/>
        </w:rPr>
        <w:t>53</w:t>
      </w:r>
      <w:r w:rsidRPr="002B4FD9">
        <w:rPr>
          <w:rFonts w:ascii="Cambria" w:hAnsi="Cambria"/>
          <w:noProof/>
          <w:lang w:val="en-US"/>
        </w:rPr>
        <w:t>, 875–882.</w:t>
      </w:r>
    </w:p>
    <w:p w14:paraId="1FC117BA"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Kawakami A, Sato Y, Yoshida M</w:t>
      </w:r>
      <w:r w:rsidRPr="002B4FD9">
        <w:rPr>
          <w:rFonts w:ascii="Cambria" w:hAnsi="Cambria"/>
          <w:noProof/>
          <w:lang w:val="en-US"/>
        </w:rPr>
        <w:t xml:space="preserve">. 2008. Genetic engineering of rice capable of synthesizing fructans and enhancing chilling tolerance. Journal of Experimental Botany </w:t>
      </w:r>
      <w:r w:rsidRPr="002B4FD9">
        <w:rPr>
          <w:rFonts w:ascii="Cambria" w:hAnsi="Cambria"/>
          <w:b/>
          <w:bCs/>
          <w:noProof/>
          <w:lang w:val="en-US"/>
        </w:rPr>
        <w:t>59</w:t>
      </w:r>
      <w:r w:rsidRPr="002B4FD9">
        <w:rPr>
          <w:rFonts w:ascii="Cambria" w:hAnsi="Cambria"/>
          <w:noProof/>
          <w:lang w:val="en-US"/>
        </w:rPr>
        <w:t>, 793–802.</w:t>
      </w:r>
    </w:p>
    <w:p w14:paraId="4DB80307"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Kelly G, Moshelion M, David-Schwartz R, Halperin O, Wallach R, Attia Z, Belausov E, Granot D</w:t>
      </w:r>
      <w:r w:rsidRPr="002B4FD9">
        <w:rPr>
          <w:rFonts w:ascii="Cambria" w:hAnsi="Cambria"/>
          <w:noProof/>
          <w:lang w:val="en-US"/>
        </w:rPr>
        <w:t xml:space="preserve">. 2013. Hexokinase mediates stomatal closure. The Plant Journal </w:t>
      </w:r>
      <w:r w:rsidRPr="002B4FD9">
        <w:rPr>
          <w:rFonts w:ascii="Cambria" w:hAnsi="Cambria"/>
          <w:b/>
          <w:bCs/>
          <w:noProof/>
          <w:lang w:val="en-US"/>
        </w:rPr>
        <w:t>75</w:t>
      </w:r>
      <w:r w:rsidRPr="002B4FD9">
        <w:rPr>
          <w:rFonts w:ascii="Cambria" w:hAnsi="Cambria"/>
          <w:noProof/>
          <w:lang w:val="en-US"/>
        </w:rPr>
        <w:t>, 977–88.</w:t>
      </w:r>
    </w:p>
    <w:p w14:paraId="2758EFD2"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Kiba T, Kudo T, Kojima M, Sakakibara H</w:t>
      </w:r>
      <w:r w:rsidRPr="002B4FD9">
        <w:rPr>
          <w:rFonts w:ascii="Cambria" w:hAnsi="Cambria"/>
          <w:noProof/>
          <w:lang w:val="en-US"/>
        </w:rPr>
        <w:t xml:space="preserve">. 2011. Hormonal control of nitrogen acquisition: Roles of auxin, abscisic acid, and cytokinin. Journal of Experimental Botany </w:t>
      </w:r>
      <w:r w:rsidRPr="002B4FD9">
        <w:rPr>
          <w:rFonts w:ascii="Cambria" w:hAnsi="Cambria"/>
          <w:b/>
          <w:bCs/>
          <w:noProof/>
          <w:lang w:val="en-US"/>
        </w:rPr>
        <w:t>62</w:t>
      </w:r>
      <w:r w:rsidRPr="002B4FD9">
        <w:rPr>
          <w:rFonts w:ascii="Cambria" w:hAnsi="Cambria"/>
          <w:noProof/>
          <w:lang w:val="en-US"/>
        </w:rPr>
        <w:t>, 1399–1409.</w:t>
      </w:r>
    </w:p>
    <w:p w14:paraId="19F521AF"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Kinsman EA, Lewis C, Davies MS, Young JE, Francis D, Vilhar B, Ougham HJ</w:t>
      </w:r>
      <w:r w:rsidRPr="002B4FD9">
        <w:rPr>
          <w:rFonts w:ascii="Cambria" w:hAnsi="Cambria"/>
          <w:noProof/>
          <w:lang w:val="en-US"/>
        </w:rPr>
        <w:t>. 1997. Elevated CO</w:t>
      </w:r>
      <w:r w:rsidRPr="00547041">
        <w:rPr>
          <w:rFonts w:ascii="Cambria" w:hAnsi="Cambria"/>
          <w:noProof/>
          <w:vertAlign w:val="subscript"/>
          <w:lang w:val="en-US"/>
        </w:rPr>
        <w:t>2</w:t>
      </w:r>
      <w:r w:rsidRPr="002B4FD9">
        <w:rPr>
          <w:rFonts w:ascii="Cambria" w:hAnsi="Cambria"/>
          <w:noProof/>
          <w:lang w:val="en-US"/>
        </w:rPr>
        <w:t xml:space="preserve"> stimulates cells to divide in grass meristems: a differential effect in two natural populations of </w:t>
      </w:r>
      <w:r w:rsidRPr="00123A4F">
        <w:rPr>
          <w:rFonts w:ascii="Cambria" w:hAnsi="Cambria"/>
          <w:i/>
          <w:noProof/>
          <w:lang w:val="en-US"/>
        </w:rPr>
        <w:t>Dactylis glomerata</w:t>
      </w:r>
      <w:r w:rsidRPr="002B4FD9">
        <w:rPr>
          <w:rFonts w:ascii="Cambria" w:hAnsi="Cambria"/>
          <w:noProof/>
          <w:lang w:val="en-US"/>
        </w:rPr>
        <w:t xml:space="preserve">. Plant, Cell &amp; Environment </w:t>
      </w:r>
      <w:r w:rsidRPr="002B4FD9">
        <w:rPr>
          <w:rFonts w:ascii="Cambria" w:hAnsi="Cambria"/>
          <w:b/>
          <w:bCs/>
          <w:noProof/>
          <w:lang w:val="en-US"/>
        </w:rPr>
        <w:t>20</w:t>
      </w:r>
      <w:r w:rsidRPr="002B4FD9">
        <w:rPr>
          <w:rFonts w:ascii="Cambria" w:hAnsi="Cambria"/>
          <w:noProof/>
          <w:lang w:val="en-US"/>
        </w:rPr>
        <w:t>, 1309–1316.</w:t>
      </w:r>
    </w:p>
    <w:p w14:paraId="6C19FA9B"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Klein T, Hoch G</w:t>
      </w:r>
      <w:r w:rsidRPr="002B4FD9">
        <w:rPr>
          <w:rFonts w:ascii="Cambria" w:hAnsi="Cambria"/>
          <w:noProof/>
          <w:lang w:val="en-US"/>
        </w:rPr>
        <w:t xml:space="preserve">. 2015. Tree carbon allocation dynamics determined using a carbon mass balance approach. The New Phytologist </w:t>
      </w:r>
      <w:r w:rsidRPr="002B4FD9">
        <w:rPr>
          <w:rFonts w:ascii="Cambria" w:hAnsi="Cambria"/>
          <w:b/>
          <w:bCs/>
          <w:noProof/>
          <w:lang w:val="en-US"/>
        </w:rPr>
        <w:t>205</w:t>
      </w:r>
      <w:r w:rsidRPr="002B4FD9">
        <w:rPr>
          <w:rFonts w:ascii="Cambria" w:hAnsi="Cambria"/>
          <w:noProof/>
          <w:lang w:val="en-US"/>
        </w:rPr>
        <w:t>, 147–59.</w:t>
      </w:r>
    </w:p>
    <w:p w14:paraId="3BB009D0"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Klein D, Morcuende R, Stitt M, Krapp A</w:t>
      </w:r>
      <w:r w:rsidRPr="002B4FD9">
        <w:rPr>
          <w:rFonts w:ascii="Cambria" w:hAnsi="Cambria"/>
          <w:noProof/>
          <w:lang w:val="en-US"/>
        </w:rPr>
        <w:t xml:space="preserve">. 2000. Regulation of nitrate reductase expression in leaves by nitrate and nitrogen metabolism is completely overridden when sugars fall below a critical level. Plant, Cell &amp; Environment </w:t>
      </w:r>
      <w:r w:rsidRPr="002B4FD9">
        <w:rPr>
          <w:rFonts w:ascii="Cambria" w:hAnsi="Cambria"/>
          <w:b/>
          <w:bCs/>
          <w:noProof/>
          <w:lang w:val="en-US"/>
        </w:rPr>
        <w:t>23</w:t>
      </w:r>
      <w:r w:rsidRPr="002B4FD9">
        <w:rPr>
          <w:rFonts w:ascii="Cambria" w:hAnsi="Cambria"/>
          <w:noProof/>
          <w:lang w:val="en-US"/>
        </w:rPr>
        <w:t>, 863–871.</w:t>
      </w:r>
    </w:p>
    <w:p w14:paraId="6B7553FD"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Knorr W</w:t>
      </w:r>
      <w:r w:rsidRPr="002B4FD9">
        <w:rPr>
          <w:rFonts w:ascii="Cambria" w:hAnsi="Cambria"/>
          <w:noProof/>
          <w:lang w:val="en-US"/>
        </w:rPr>
        <w:t>. 2000. Annual and interannual CO</w:t>
      </w:r>
      <w:r w:rsidRPr="00547041">
        <w:rPr>
          <w:rFonts w:ascii="Cambria" w:hAnsi="Cambria"/>
          <w:noProof/>
          <w:vertAlign w:val="subscript"/>
          <w:lang w:val="en-US"/>
        </w:rPr>
        <w:t>2</w:t>
      </w:r>
      <w:r w:rsidRPr="002B4FD9">
        <w:rPr>
          <w:rFonts w:ascii="Cambria" w:hAnsi="Cambria"/>
          <w:noProof/>
          <w:lang w:val="en-US"/>
        </w:rPr>
        <w:t xml:space="preserve"> exchanges of the terrestrial biosphere: process-based simulations and uncertainties. Global Ecology and Biogeography </w:t>
      </w:r>
      <w:r w:rsidRPr="002B4FD9">
        <w:rPr>
          <w:rFonts w:ascii="Cambria" w:hAnsi="Cambria"/>
          <w:b/>
          <w:bCs/>
          <w:noProof/>
          <w:lang w:val="en-US"/>
        </w:rPr>
        <w:t>9</w:t>
      </w:r>
      <w:r w:rsidRPr="002B4FD9">
        <w:rPr>
          <w:rFonts w:ascii="Cambria" w:hAnsi="Cambria"/>
          <w:noProof/>
          <w:lang w:val="en-US"/>
        </w:rPr>
        <w:t>, 225–252.</w:t>
      </w:r>
    </w:p>
    <w:p w14:paraId="0F24128A"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Körner C</w:t>
      </w:r>
      <w:r w:rsidRPr="002B4FD9">
        <w:rPr>
          <w:rFonts w:ascii="Cambria" w:hAnsi="Cambria"/>
          <w:noProof/>
          <w:lang w:val="en-US"/>
        </w:rPr>
        <w:t xml:space="preserve">. 1991. Some often overlooked plant characteristics as determinants of plant growth : a reconsideration. Functional Ecology </w:t>
      </w:r>
      <w:r w:rsidRPr="002B4FD9">
        <w:rPr>
          <w:rFonts w:ascii="Cambria" w:hAnsi="Cambria"/>
          <w:b/>
          <w:bCs/>
          <w:noProof/>
          <w:lang w:val="en-US"/>
        </w:rPr>
        <w:t>5</w:t>
      </w:r>
      <w:r w:rsidRPr="002B4FD9">
        <w:rPr>
          <w:rFonts w:ascii="Cambria" w:hAnsi="Cambria"/>
          <w:noProof/>
          <w:lang w:val="en-US"/>
        </w:rPr>
        <w:t>, 162–173.</w:t>
      </w:r>
    </w:p>
    <w:p w14:paraId="75E7F4E6"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Körner C</w:t>
      </w:r>
      <w:r w:rsidRPr="002B4FD9">
        <w:rPr>
          <w:rFonts w:ascii="Cambria" w:hAnsi="Cambria"/>
          <w:noProof/>
          <w:lang w:val="en-US"/>
        </w:rPr>
        <w:t>. 2012. When growth controls photosynthesis. Paper presented to IEEE 4th International Symposium on Plant Growth Modeling, Simulation, Visualization and Applications.</w:t>
      </w:r>
    </w:p>
    <w:p w14:paraId="5EAB014E"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Körner C</w:t>
      </w:r>
      <w:r w:rsidRPr="002B4FD9">
        <w:rPr>
          <w:rFonts w:ascii="Cambria" w:hAnsi="Cambria"/>
          <w:noProof/>
          <w:lang w:val="en-US"/>
        </w:rPr>
        <w:t xml:space="preserve">. 2013. Growth Controls Photosynthesis – Mostly. Nova Acta Leopoldina </w:t>
      </w:r>
      <w:r w:rsidRPr="002B4FD9">
        <w:rPr>
          <w:rFonts w:ascii="Cambria" w:hAnsi="Cambria"/>
          <w:b/>
          <w:bCs/>
          <w:noProof/>
          <w:lang w:val="en-US"/>
        </w:rPr>
        <w:t>391</w:t>
      </w:r>
      <w:r w:rsidRPr="002B4FD9">
        <w:rPr>
          <w:rFonts w:ascii="Cambria" w:hAnsi="Cambria"/>
          <w:noProof/>
          <w:lang w:val="en-US"/>
        </w:rPr>
        <w:t>, 273–283.</w:t>
      </w:r>
    </w:p>
    <w:p w14:paraId="615E00F3"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Körner C, Pelaez-Riedl S, van Bel AJE</w:t>
      </w:r>
      <w:r w:rsidRPr="002B4FD9">
        <w:rPr>
          <w:rFonts w:ascii="Cambria" w:hAnsi="Cambria"/>
          <w:noProof/>
          <w:lang w:val="en-US"/>
        </w:rPr>
        <w:t>. 1995. CO</w:t>
      </w:r>
      <w:r w:rsidRPr="00547041">
        <w:rPr>
          <w:rFonts w:ascii="Cambria" w:hAnsi="Cambria"/>
          <w:noProof/>
          <w:vertAlign w:val="subscript"/>
          <w:lang w:val="en-US"/>
        </w:rPr>
        <w:t>2</w:t>
      </w:r>
      <w:r w:rsidRPr="002B4FD9">
        <w:rPr>
          <w:rFonts w:ascii="Cambria" w:hAnsi="Cambria"/>
          <w:noProof/>
          <w:lang w:val="en-US"/>
        </w:rPr>
        <w:t xml:space="preserve"> responsiveness of plants: a possible link to phloem loading. Plant, Cell &amp; Environment </w:t>
      </w:r>
      <w:r w:rsidRPr="002B4FD9">
        <w:rPr>
          <w:rFonts w:ascii="Cambria" w:hAnsi="Cambria"/>
          <w:b/>
          <w:bCs/>
          <w:noProof/>
          <w:lang w:val="en-US"/>
        </w:rPr>
        <w:t>18</w:t>
      </w:r>
      <w:r w:rsidRPr="002B4FD9">
        <w:rPr>
          <w:rFonts w:ascii="Cambria" w:hAnsi="Cambria"/>
          <w:noProof/>
          <w:lang w:val="en-US"/>
        </w:rPr>
        <w:t>, 595–600.</w:t>
      </w:r>
    </w:p>
    <w:p w14:paraId="6E574E87"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Krapp A, Stitt M</w:t>
      </w:r>
      <w:r w:rsidRPr="002B4FD9">
        <w:rPr>
          <w:rFonts w:ascii="Cambria" w:hAnsi="Cambria"/>
          <w:noProof/>
          <w:lang w:val="en-US"/>
        </w:rPr>
        <w:t xml:space="preserve">. 1995. An evaluation of direct and indirect mechanisms for the ‘sink-regulation’ of photosynthesis in spinach: Changes in gas exchange, carbohydrates, metabolites, enzyme activities and steady-state transcript levels after cold-girdling source leaves. Planta </w:t>
      </w:r>
      <w:r w:rsidRPr="002B4FD9">
        <w:rPr>
          <w:rFonts w:ascii="Cambria" w:hAnsi="Cambria"/>
          <w:b/>
          <w:bCs/>
          <w:noProof/>
          <w:lang w:val="en-US"/>
        </w:rPr>
        <w:t>195</w:t>
      </w:r>
      <w:r w:rsidRPr="002B4FD9">
        <w:rPr>
          <w:rFonts w:ascii="Cambria" w:hAnsi="Cambria"/>
          <w:noProof/>
          <w:lang w:val="en-US"/>
        </w:rPr>
        <w:t>, 313–323.</w:t>
      </w:r>
    </w:p>
    <w:p w14:paraId="266C9299" w14:textId="2BC2908A" w:rsid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Kromdijk J, Long SP</w:t>
      </w:r>
      <w:r w:rsidRPr="002B4FD9">
        <w:rPr>
          <w:rFonts w:ascii="Cambria" w:hAnsi="Cambria"/>
          <w:noProof/>
          <w:lang w:val="en-US"/>
        </w:rPr>
        <w:t>. 2016. One crop breeding cycle from starvation? How engineering crop photosynthesis for rising CO</w:t>
      </w:r>
      <w:r w:rsidRPr="00547041">
        <w:rPr>
          <w:rFonts w:ascii="Cambria" w:hAnsi="Cambria"/>
          <w:noProof/>
          <w:vertAlign w:val="subscript"/>
          <w:lang w:val="en-US"/>
        </w:rPr>
        <w:t>2</w:t>
      </w:r>
      <w:r w:rsidRPr="002B4FD9">
        <w:rPr>
          <w:rFonts w:ascii="Cambria" w:hAnsi="Cambria"/>
          <w:noProof/>
          <w:lang w:val="en-US"/>
        </w:rPr>
        <w:t xml:space="preserve"> and temperature could be one important route to alleviation. Proceedings</w:t>
      </w:r>
      <w:r w:rsidR="00123A4F">
        <w:rPr>
          <w:rFonts w:ascii="Cambria" w:hAnsi="Cambria"/>
          <w:noProof/>
          <w:lang w:val="en-US"/>
        </w:rPr>
        <w:t xml:space="preserve"> of</w:t>
      </w:r>
      <w:r w:rsidRPr="002B4FD9">
        <w:rPr>
          <w:rFonts w:ascii="Cambria" w:hAnsi="Cambria"/>
          <w:noProof/>
          <w:lang w:val="en-US"/>
        </w:rPr>
        <w:t xml:space="preserve"> The Royal Society</w:t>
      </w:r>
      <w:r w:rsidR="00123A4F">
        <w:rPr>
          <w:rFonts w:ascii="Cambria" w:hAnsi="Cambria"/>
          <w:noProof/>
          <w:lang w:val="en-US"/>
        </w:rPr>
        <w:t xml:space="preserve"> B</w:t>
      </w:r>
      <w:r w:rsidRPr="002B4FD9">
        <w:rPr>
          <w:rFonts w:ascii="Cambria" w:hAnsi="Cambria"/>
          <w:noProof/>
          <w:lang w:val="en-US"/>
        </w:rPr>
        <w:t xml:space="preserve"> </w:t>
      </w:r>
      <w:r w:rsidRPr="002B4FD9">
        <w:rPr>
          <w:rFonts w:ascii="Cambria" w:hAnsi="Cambria"/>
          <w:b/>
          <w:bCs/>
          <w:noProof/>
          <w:lang w:val="en-US"/>
        </w:rPr>
        <w:t>283</w:t>
      </w:r>
      <w:r w:rsidRPr="002B4FD9">
        <w:rPr>
          <w:rFonts w:ascii="Cambria" w:hAnsi="Cambria"/>
          <w:noProof/>
          <w:lang w:val="en-US"/>
        </w:rPr>
        <w:t>, 20152578–.</w:t>
      </w:r>
    </w:p>
    <w:p w14:paraId="3E6F9014" w14:textId="77777777" w:rsidR="00212DAC" w:rsidRDefault="00212DAC" w:rsidP="002D6D6A">
      <w:pPr>
        <w:widowControl w:val="0"/>
        <w:autoSpaceDE w:val="0"/>
        <w:autoSpaceDN w:val="0"/>
        <w:adjustRightInd w:val="0"/>
        <w:spacing w:line="276" w:lineRule="auto"/>
        <w:jc w:val="both"/>
        <w:rPr>
          <w:rFonts w:ascii="Cambria" w:hAnsi="Cambria"/>
          <w:noProof/>
          <w:lang w:val="en-US"/>
        </w:rPr>
      </w:pPr>
      <w:r w:rsidRPr="001D1494">
        <w:rPr>
          <w:rFonts w:ascii="Cambria" w:hAnsi="Cambria"/>
          <w:b/>
          <w:bCs/>
          <w:noProof/>
          <w:lang w:val="en-US"/>
        </w:rPr>
        <w:t>Kuiper D</w:t>
      </w:r>
      <w:r w:rsidRPr="001D1494">
        <w:rPr>
          <w:rFonts w:ascii="Cambria" w:hAnsi="Cambria"/>
          <w:noProof/>
          <w:lang w:val="en-US"/>
        </w:rPr>
        <w:t xml:space="preserve">. 1993. Sink strength: Established and regulated by plant growth regulators. Plant, Cell &amp; Environment </w:t>
      </w:r>
      <w:r w:rsidRPr="001D1494">
        <w:rPr>
          <w:rFonts w:ascii="Cambria" w:hAnsi="Cambria"/>
          <w:b/>
          <w:bCs/>
          <w:noProof/>
          <w:lang w:val="en-US"/>
        </w:rPr>
        <w:t>16</w:t>
      </w:r>
      <w:r w:rsidRPr="001D1494">
        <w:rPr>
          <w:rFonts w:ascii="Cambria" w:hAnsi="Cambria"/>
          <w:noProof/>
          <w:lang w:val="en-US"/>
        </w:rPr>
        <w:t>, 1025–1026.</w:t>
      </w:r>
    </w:p>
    <w:p w14:paraId="58F71626" w14:textId="77777777" w:rsidR="00212DAC" w:rsidRPr="00212DAC" w:rsidRDefault="00212DAC" w:rsidP="002D6D6A">
      <w:pPr>
        <w:widowControl w:val="0"/>
        <w:autoSpaceDE w:val="0"/>
        <w:autoSpaceDN w:val="0"/>
        <w:adjustRightInd w:val="0"/>
        <w:spacing w:line="276" w:lineRule="auto"/>
        <w:jc w:val="both"/>
        <w:rPr>
          <w:rFonts w:ascii="Cambria" w:hAnsi="Cambria"/>
          <w:noProof/>
          <w:sz w:val="16"/>
          <w:szCs w:val="16"/>
          <w:lang w:val="en-US"/>
        </w:rPr>
      </w:pPr>
    </w:p>
    <w:p w14:paraId="2E40AD4F" w14:textId="4C0A2AF3"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Lambers H, Freijsen N, Poorter H, Hirose T, Van der Werf A</w:t>
      </w:r>
      <w:r w:rsidRPr="002B4FD9">
        <w:rPr>
          <w:rFonts w:ascii="Cambria" w:hAnsi="Cambria"/>
          <w:noProof/>
          <w:lang w:val="en-US"/>
        </w:rPr>
        <w:t xml:space="preserve">. 1989. Analyses of growth based on net assimilation rate and nitrogen productivity. Their physiological </w:t>
      </w:r>
      <w:r w:rsidR="00A6754F">
        <w:rPr>
          <w:rFonts w:ascii="Cambria" w:hAnsi="Cambria"/>
          <w:noProof/>
          <w:lang w:val="en-US"/>
        </w:rPr>
        <w:t>background. In: Lambers H, Cambridge M, Konings H,</w:t>
      </w:r>
      <w:r w:rsidRPr="002B4FD9">
        <w:rPr>
          <w:rFonts w:ascii="Cambria" w:hAnsi="Cambria"/>
          <w:noProof/>
          <w:lang w:val="en-US"/>
        </w:rPr>
        <w:t xml:space="preserve"> Pons T, eds. Causes and Consequences of Variation in Growth Rate and Productivity of Higher Plants. The</w:t>
      </w:r>
      <w:r w:rsidR="00A6754F">
        <w:rPr>
          <w:rFonts w:ascii="Cambria" w:hAnsi="Cambria"/>
          <w:noProof/>
          <w:lang w:val="en-US"/>
        </w:rPr>
        <w:t xml:space="preserve"> Hague: SPB Academic Publishing</w:t>
      </w:r>
      <w:r w:rsidRPr="002B4FD9">
        <w:rPr>
          <w:rFonts w:ascii="Cambria" w:hAnsi="Cambria"/>
          <w:noProof/>
          <w:lang w:val="en-US"/>
        </w:rPr>
        <w:t>.</w:t>
      </w:r>
    </w:p>
    <w:p w14:paraId="02456C3F"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Lastdrager J, Hanson J, Smeekens S</w:t>
      </w:r>
      <w:r w:rsidRPr="002B4FD9">
        <w:rPr>
          <w:rFonts w:ascii="Cambria" w:hAnsi="Cambria"/>
          <w:noProof/>
          <w:lang w:val="en-US"/>
        </w:rPr>
        <w:t xml:space="preserve">. 2014. Sugar signals and the control of plant growth and development. Journal of Experimental Botany </w:t>
      </w:r>
      <w:r w:rsidRPr="002B4FD9">
        <w:rPr>
          <w:rFonts w:ascii="Cambria" w:hAnsi="Cambria"/>
          <w:b/>
          <w:bCs/>
          <w:noProof/>
          <w:lang w:val="en-US"/>
        </w:rPr>
        <w:t>65</w:t>
      </w:r>
      <w:r w:rsidRPr="002B4FD9">
        <w:rPr>
          <w:rFonts w:ascii="Cambria" w:hAnsi="Cambria"/>
          <w:noProof/>
          <w:lang w:val="en-US"/>
        </w:rPr>
        <w:t>, 799–807.</w:t>
      </w:r>
    </w:p>
    <w:p w14:paraId="3C56575F"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Lawlor DW, Paul MJ</w:t>
      </w:r>
      <w:r w:rsidRPr="002B4FD9">
        <w:rPr>
          <w:rFonts w:ascii="Cambria" w:hAnsi="Cambria"/>
          <w:noProof/>
          <w:lang w:val="en-US"/>
        </w:rPr>
        <w:t xml:space="preserve">. 2014. Source/sink interactions underpin crop yield: the case for trehalose 6-phosphate/SnRK1 in improvement of wheat. Frontiers in Plant Science </w:t>
      </w:r>
      <w:r w:rsidRPr="002B4FD9">
        <w:rPr>
          <w:rFonts w:ascii="Cambria" w:hAnsi="Cambria"/>
          <w:b/>
          <w:bCs/>
          <w:noProof/>
          <w:lang w:val="en-US"/>
        </w:rPr>
        <w:t>5</w:t>
      </w:r>
      <w:r w:rsidRPr="002B4FD9">
        <w:rPr>
          <w:rFonts w:ascii="Cambria" w:hAnsi="Cambria"/>
          <w:noProof/>
          <w:lang w:val="en-US"/>
        </w:rPr>
        <w:t>, 418.</w:t>
      </w:r>
    </w:p>
    <w:p w14:paraId="5762B0FA"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Leakey ADB, Ainsworth EA, Bernacchi CJ, Rogers A, Long SP, Ort DR</w:t>
      </w:r>
      <w:r w:rsidRPr="002B4FD9">
        <w:rPr>
          <w:rFonts w:ascii="Cambria" w:hAnsi="Cambria"/>
          <w:noProof/>
          <w:lang w:val="en-US"/>
        </w:rPr>
        <w:t>. 2009. Elevated CO</w:t>
      </w:r>
      <w:r w:rsidRPr="00547041">
        <w:rPr>
          <w:rFonts w:ascii="Cambria" w:hAnsi="Cambria"/>
          <w:noProof/>
          <w:vertAlign w:val="subscript"/>
          <w:lang w:val="en-US"/>
        </w:rPr>
        <w:t>2</w:t>
      </w:r>
      <w:r w:rsidRPr="002B4FD9">
        <w:rPr>
          <w:rFonts w:ascii="Cambria" w:hAnsi="Cambria"/>
          <w:noProof/>
          <w:lang w:val="en-US"/>
        </w:rPr>
        <w:t xml:space="preserve"> effects on plant carbon, nitrogen, and water relations: six important lessons from FACE. Journal of Experimental Botany </w:t>
      </w:r>
      <w:r w:rsidRPr="002B4FD9">
        <w:rPr>
          <w:rFonts w:ascii="Cambria" w:hAnsi="Cambria"/>
          <w:b/>
          <w:bCs/>
          <w:noProof/>
          <w:lang w:val="en-US"/>
        </w:rPr>
        <w:t>60</w:t>
      </w:r>
      <w:r w:rsidRPr="002B4FD9">
        <w:rPr>
          <w:rFonts w:ascii="Cambria" w:hAnsi="Cambria"/>
          <w:noProof/>
          <w:lang w:val="en-US"/>
        </w:rPr>
        <w:t>, 2859–76.</w:t>
      </w:r>
    </w:p>
    <w:p w14:paraId="002C5305"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Lekshmy S, Jain V, Khetarpal S, Pandey R, Singh R</w:t>
      </w:r>
      <w:r w:rsidRPr="002B4FD9">
        <w:rPr>
          <w:rFonts w:ascii="Cambria" w:hAnsi="Cambria"/>
          <w:noProof/>
          <w:lang w:val="en-US"/>
        </w:rPr>
        <w:t xml:space="preserve">. 2009. Effect of elevated carbon dioxide on kinetics of nitrate uptake in wheat roots. Indian Journal of Plant Physiology </w:t>
      </w:r>
      <w:r w:rsidRPr="002B4FD9">
        <w:rPr>
          <w:rFonts w:ascii="Cambria" w:hAnsi="Cambria"/>
          <w:b/>
          <w:bCs/>
          <w:noProof/>
          <w:lang w:val="en-US"/>
        </w:rPr>
        <w:t>14</w:t>
      </w:r>
      <w:r w:rsidRPr="002B4FD9">
        <w:rPr>
          <w:rFonts w:ascii="Cambria" w:hAnsi="Cambria"/>
          <w:noProof/>
          <w:lang w:val="en-US"/>
        </w:rPr>
        <w:t>, 16–22.</w:t>
      </w:r>
    </w:p>
    <w:p w14:paraId="3F79A562"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Lillo C</w:t>
      </w:r>
      <w:r w:rsidRPr="002B4FD9">
        <w:rPr>
          <w:rFonts w:ascii="Cambria" w:hAnsi="Cambria"/>
          <w:noProof/>
          <w:lang w:val="en-US"/>
        </w:rPr>
        <w:t xml:space="preserve">. 2008. Signalling cascades integrating light-enhanced nitrate metabolism. The Biochemical journal </w:t>
      </w:r>
      <w:r w:rsidRPr="002B4FD9">
        <w:rPr>
          <w:rFonts w:ascii="Cambria" w:hAnsi="Cambria"/>
          <w:b/>
          <w:bCs/>
          <w:noProof/>
          <w:lang w:val="en-US"/>
        </w:rPr>
        <w:t>415</w:t>
      </w:r>
      <w:r w:rsidRPr="002B4FD9">
        <w:rPr>
          <w:rFonts w:ascii="Cambria" w:hAnsi="Cambria"/>
          <w:noProof/>
          <w:lang w:val="en-US"/>
        </w:rPr>
        <w:t>, 11–9.</w:t>
      </w:r>
    </w:p>
    <w:p w14:paraId="38CA6DC8"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Liu Y, Ahn J-E, Datta S, Salzman RA, Moon J, Huyghues-Despointes B, Pittendrigh B, Murdock LL, Koiwa H, Zhu-Salzman K</w:t>
      </w:r>
      <w:r w:rsidRPr="002B4FD9">
        <w:rPr>
          <w:rFonts w:ascii="Cambria" w:hAnsi="Cambria"/>
          <w:noProof/>
          <w:lang w:val="en-US"/>
        </w:rPr>
        <w:t xml:space="preserve">. 2005. </w:t>
      </w:r>
      <w:r w:rsidRPr="00547041">
        <w:rPr>
          <w:rFonts w:ascii="Cambria" w:hAnsi="Cambria"/>
          <w:i/>
          <w:noProof/>
          <w:lang w:val="en-US"/>
        </w:rPr>
        <w:t xml:space="preserve">Arabidopsis </w:t>
      </w:r>
      <w:r w:rsidRPr="002B4FD9">
        <w:rPr>
          <w:rFonts w:ascii="Cambria" w:hAnsi="Cambria"/>
          <w:noProof/>
          <w:lang w:val="en-US"/>
        </w:rPr>
        <w:t xml:space="preserve">vegetative storage protein is an anti-insect acid phosphatase. Plant Physiology </w:t>
      </w:r>
      <w:r w:rsidRPr="002B4FD9">
        <w:rPr>
          <w:rFonts w:ascii="Cambria" w:hAnsi="Cambria"/>
          <w:b/>
          <w:bCs/>
          <w:noProof/>
          <w:lang w:val="en-US"/>
        </w:rPr>
        <w:t>139</w:t>
      </w:r>
      <w:r w:rsidRPr="002B4FD9">
        <w:rPr>
          <w:rFonts w:ascii="Cambria" w:hAnsi="Cambria"/>
          <w:noProof/>
          <w:lang w:val="en-US"/>
        </w:rPr>
        <w:t>, 1545–1556.</w:t>
      </w:r>
    </w:p>
    <w:p w14:paraId="48E256F7"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Long SP, Ainsworth EA, Leakey ADB, Nösberger J, Ort DR</w:t>
      </w:r>
      <w:r w:rsidRPr="002B4FD9">
        <w:rPr>
          <w:rFonts w:ascii="Cambria" w:hAnsi="Cambria"/>
          <w:noProof/>
          <w:lang w:val="en-US"/>
        </w:rPr>
        <w:t>. 2006</w:t>
      </w:r>
      <w:r w:rsidRPr="002B4FD9">
        <w:rPr>
          <w:rFonts w:ascii="Cambria" w:hAnsi="Cambria"/>
          <w:i/>
          <w:iCs/>
          <w:noProof/>
          <w:lang w:val="en-US"/>
        </w:rPr>
        <w:t>a</w:t>
      </w:r>
      <w:r w:rsidRPr="002B4FD9">
        <w:rPr>
          <w:rFonts w:ascii="Cambria" w:hAnsi="Cambria"/>
          <w:noProof/>
          <w:lang w:val="en-US"/>
        </w:rPr>
        <w:t>. Food for thought: lower-than-expected crop yield stimulation with rising CO</w:t>
      </w:r>
      <w:r w:rsidRPr="00547041">
        <w:rPr>
          <w:rFonts w:ascii="Cambria" w:hAnsi="Cambria"/>
          <w:noProof/>
          <w:vertAlign w:val="subscript"/>
          <w:lang w:val="en-US"/>
        </w:rPr>
        <w:t>2</w:t>
      </w:r>
      <w:r w:rsidRPr="002B4FD9">
        <w:rPr>
          <w:rFonts w:ascii="Cambria" w:hAnsi="Cambria"/>
          <w:noProof/>
          <w:lang w:val="en-US"/>
        </w:rPr>
        <w:t xml:space="preserve"> concentrations. Science </w:t>
      </w:r>
      <w:r w:rsidRPr="002B4FD9">
        <w:rPr>
          <w:rFonts w:ascii="Cambria" w:hAnsi="Cambria"/>
          <w:b/>
          <w:bCs/>
          <w:noProof/>
          <w:lang w:val="en-US"/>
        </w:rPr>
        <w:t>312</w:t>
      </w:r>
      <w:r w:rsidRPr="002B4FD9">
        <w:rPr>
          <w:rFonts w:ascii="Cambria" w:hAnsi="Cambria"/>
          <w:noProof/>
          <w:lang w:val="en-US"/>
        </w:rPr>
        <w:t>, 1918–21.</w:t>
      </w:r>
    </w:p>
    <w:p w14:paraId="2E2F1C3F"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Long SP, Ainsworth EA, Rogers A, Ort DR</w:t>
      </w:r>
      <w:r w:rsidRPr="002B4FD9">
        <w:rPr>
          <w:rFonts w:ascii="Cambria" w:hAnsi="Cambria"/>
          <w:noProof/>
          <w:lang w:val="en-US"/>
        </w:rPr>
        <w:t xml:space="preserve">. 2004. Rising atmospheric carbon dioxide: plants FACE the future. Annual Review of Plant Biology </w:t>
      </w:r>
      <w:r w:rsidRPr="002B4FD9">
        <w:rPr>
          <w:rFonts w:ascii="Cambria" w:hAnsi="Cambria"/>
          <w:b/>
          <w:bCs/>
          <w:noProof/>
          <w:lang w:val="en-US"/>
        </w:rPr>
        <w:t>55</w:t>
      </w:r>
      <w:r w:rsidRPr="002B4FD9">
        <w:rPr>
          <w:rFonts w:ascii="Cambria" w:hAnsi="Cambria"/>
          <w:noProof/>
          <w:lang w:val="en-US"/>
        </w:rPr>
        <w:t>, 591–628.</w:t>
      </w:r>
    </w:p>
    <w:p w14:paraId="605B608C"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Long SP, Zhu X-G, Naidu SL, Ort DR</w:t>
      </w:r>
      <w:r w:rsidRPr="002B4FD9">
        <w:rPr>
          <w:rFonts w:ascii="Cambria" w:hAnsi="Cambria"/>
          <w:noProof/>
          <w:lang w:val="en-US"/>
        </w:rPr>
        <w:t>. 2006</w:t>
      </w:r>
      <w:r w:rsidRPr="002B4FD9">
        <w:rPr>
          <w:rFonts w:ascii="Cambria" w:hAnsi="Cambria"/>
          <w:i/>
          <w:iCs/>
          <w:noProof/>
          <w:lang w:val="en-US"/>
        </w:rPr>
        <w:t>b</w:t>
      </w:r>
      <w:r w:rsidRPr="002B4FD9">
        <w:rPr>
          <w:rFonts w:ascii="Cambria" w:hAnsi="Cambria"/>
          <w:noProof/>
          <w:lang w:val="en-US"/>
        </w:rPr>
        <w:t xml:space="preserve">. Can improvement in photosynthesis increase crop yields? Plant, Cell &amp; Environment </w:t>
      </w:r>
      <w:r w:rsidRPr="002B4FD9">
        <w:rPr>
          <w:rFonts w:ascii="Cambria" w:hAnsi="Cambria"/>
          <w:b/>
          <w:bCs/>
          <w:noProof/>
          <w:lang w:val="en-US"/>
        </w:rPr>
        <w:t>29</w:t>
      </w:r>
      <w:r w:rsidRPr="002B4FD9">
        <w:rPr>
          <w:rFonts w:ascii="Cambria" w:hAnsi="Cambria"/>
          <w:noProof/>
          <w:lang w:val="en-US"/>
        </w:rPr>
        <w:t>, 315–330.</w:t>
      </w:r>
    </w:p>
    <w:p w14:paraId="2C93B586"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Lowry O, Rosebrough N, Farr A, Randall R</w:t>
      </w:r>
      <w:r w:rsidRPr="002B4FD9">
        <w:rPr>
          <w:rFonts w:ascii="Cambria" w:hAnsi="Cambria"/>
          <w:noProof/>
          <w:lang w:val="en-US"/>
        </w:rPr>
        <w:t xml:space="preserve">. 1951. Protein measurement with the folin phenol reagent. The Journal of Biological Chemistry </w:t>
      </w:r>
      <w:r w:rsidRPr="002B4FD9">
        <w:rPr>
          <w:rFonts w:ascii="Cambria" w:hAnsi="Cambria"/>
          <w:b/>
          <w:bCs/>
          <w:noProof/>
          <w:lang w:val="en-US"/>
        </w:rPr>
        <w:t>193</w:t>
      </w:r>
      <w:r w:rsidRPr="002B4FD9">
        <w:rPr>
          <w:rFonts w:ascii="Cambria" w:hAnsi="Cambria"/>
          <w:noProof/>
          <w:lang w:val="en-US"/>
        </w:rPr>
        <w:t>, 265–275.</w:t>
      </w:r>
    </w:p>
    <w:p w14:paraId="39A7A747" w14:textId="77777777" w:rsid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Lu J, Ji J</w:t>
      </w:r>
      <w:r w:rsidRPr="002B4FD9">
        <w:rPr>
          <w:rFonts w:ascii="Cambria" w:hAnsi="Cambria"/>
          <w:noProof/>
          <w:lang w:val="en-US"/>
        </w:rPr>
        <w:t xml:space="preserve">. 2006. A simulation and mechanism analysis of long-term variations at land surface over arid/semi-arid area in north China. Journal of Geophysical Research </w:t>
      </w:r>
      <w:r w:rsidRPr="002B4FD9">
        <w:rPr>
          <w:rFonts w:ascii="Cambria" w:hAnsi="Cambria"/>
          <w:b/>
          <w:bCs/>
          <w:noProof/>
          <w:lang w:val="en-US"/>
        </w:rPr>
        <w:t>111</w:t>
      </w:r>
      <w:r w:rsidRPr="002B4FD9">
        <w:rPr>
          <w:rFonts w:ascii="Cambria" w:hAnsi="Cambria"/>
          <w:noProof/>
          <w:lang w:val="en-US"/>
        </w:rPr>
        <w:t>.</w:t>
      </w:r>
    </w:p>
    <w:p w14:paraId="0DF3DDD5" w14:textId="7AA6B7AB" w:rsidR="00212DAC" w:rsidRDefault="00212DAC" w:rsidP="002D6D6A">
      <w:pPr>
        <w:widowControl w:val="0"/>
        <w:autoSpaceDE w:val="0"/>
        <w:autoSpaceDN w:val="0"/>
        <w:adjustRightInd w:val="0"/>
        <w:spacing w:line="276" w:lineRule="auto"/>
        <w:jc w:val="both"/>
        <w:rPr>
          <w:rFonts w:ascii="Cambria" w:hAnsi="Cambria"/>
          <w:noProof/>
          <w:lang w:val="en-US"/>
        </w:rPr>
      </w:pPr>
      <w:r w:rsidRPr="001D1494">
        <w:rPr>
          <w:rFonts w:ascii="Cambria" w:hAnsi="Cambria"/>
          <w:b/>
          <w:bCs/>
          <w:noProof/>
          <w:lang w:val="en-US"/>
        </w:rPr>
        <w:t>Lunn JE, Delorge I, Figueroa CM, Van Dijck P, Stitt M</w:t>
      </w:r>
      <w:r w:rsidRPr="001D1494">
        <w:rPr>
          <w:rFonts w:ascii="Cambria" w:hAnsi="Cambria"/>
          <w:noProof/>
          <w:lang w:val="en-US"/>
        </w:rPr>
        <w:t>. 2014. Trehalose metabolism in plants. The Plant Journal, 544–567.</w:t>
      </w:r>
    </w:p>
    <w:p w14:paraId="68E114CD" w14:textId="77777777" w:rsidR="00212DAC" w:rsidRPr="00212DAC" w:rsidRDefault="00212DAC" w:rsidP="002D6D6A">
      <w:pPr>
        <w:widowControl w:val="0"/>
        <w:autoSpaceDE w:val="0"/>
        <w:autoSpaceDN w:val="0"/>
        <w:adjustRightInd w:val="0"/>
        <w:spacing w:line="276" w:lineRule="auto"/>
        <w:jc w:val="both"/>
        <w:rPr>
          <w:rFonts w:ascii="Cambria" w:hAnsi="Cambria"/>
          <w:noProof/>
          <w:sz w:val="16"/>
          <w:szCs w:val="16"/>
          <w:lang w:val="en-US"/>
        </w:rPr>
      </w:pPr>
    </w:p>
    <w:p w14:paraId="6FC92136"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Lynch JM, Whipps JM</w:t>
      </w:r>
      <w:r w:rsidRPr="002B4FD9">
        <w:rPr>
          <w:rFonts w:ascii="Cambria" w:hAnsi="Cambria"/>
          <w:noProof/>
          <w:lang w:val="en-US"/>
        </w:rPr>
        <w:t xml:space="preserve">. 1990. Substrate flow in the rhizosphere. Plant and Soil </w:t>
      </w:r>
      <w:r w:rsidRPr="002B4FD9">
        <w:rPr>
          <w:rFonts w:ascii="Cambria" w:hAnsi="Cambria"/>
          <w:b/>
          <w:bCs/>
          <w:noProof/>
          <w:lang w:val="en-US"/>
        </w:rPr>
        <w:t>129</w:t>
      </w:r>
      <w:r w:rsidRPr="002B4FD9">
        <w:rPr>
          <w:rFonts w:ascii="Cambria" w:hAnsi="Cambria"/>
          <w:noProof/>
          <w:lang w:val="en-US"/>
        </w:rPr>
        <w:t>, 1–10.</w:t>
      </w:r>
    </w:p>
    <w:p w14:paraId="73681AF7" w14:textId="30F9D290"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Makino A, Mae T</w:t>
      </w:r>
      <w:r w:rsidRPr="002B4FD9">
        <w:rPr>
          <w:rFonts w:ascii="Cambria" w:hAnsi="Cambria"/>
          <w:noProof/>
          <w:lang w:val="en-US"/>
        </w:rPr>
        <w:t>. 1999. Photosynthesis and Plant Growth at Elevated Levels of CO</w:t>
      </w:r>
      <w:r w:rsidRPr="00547041">
        <w:rPr>
          <w:rFonts w:ascii="Cambria" w:hAnsi="Cambria"/>
          <w:noProof/>
          <w:vertAlign w:val="subscript"/>
          <w:lang w:val="en-US"/>
        </w:rPr>
        <w:t>2</w:t>
      </w:r>
      <w:r w:rsidRPr="002B4FD9">
        <w:rPr>
          <w:rFonts w:ascii="Cambria" w:hAnsi="Cambria"/>
          <w:noProof/>
          <w:lang w:val="en-US"/>
        </w:rPr>
        <w:t xml:space="preserve">. Plant and Cell Physiology </w:t>
      </w:r>
      <w:r w:rsidRPr="002B4FD9">
        <w:rPr>
          <w:rFonts w:ascii="Cambria" w:hAnsi="Cambria"/>
          <w:b/>
          <w:bCs/>
          <w:noProof/>
          <w:lang w:val="en-US"/>
        </w:rPr>
        <w:t>40</w:t>
      </w:r>
      <w:r w:rsidRPr="002B4FD9">
        <w:rPr>
          <w:rFonts w:ascii="Cambria" w:hAnsi="Cambria"/>
          <w:noProof/>
          <w:lang w:val="en-US"/>
        </w:rPr>
        <w:t>, 999–1006.</w:t>
      </w:r>
    </w:p>
    <w:p w14:paraId="7BDF728F"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Marschner H</w:t>
      </w:r>
      <w:r w:rsidRPr="002B4FD9">
        <w:rPr>
          <w:rFonts w:ascii="Cambria" w:hAnsi="Cambria"/>
          <w:noProof/>
          <w:lang w:val="en-US"/>
        </w:rPr>
        <w:t xml:space="preserve">. 1995. </w:t>
      </w:r>
      <w:r w:rsidRPr="002B4FD9">
        <w:rPr>
          <w:rFonts w:ascii="Cambria" w:hAnsi="Cambria"/>
          <w:i/>
          <w:iCs/>
          <w:noProof/>
          <w:lang w:val="en-US"/>
        </w:rPr>
        <w:t>Mineral Nutrition of Higher Plants</w:t>
      </w:r>
      <w:r w:rsidRPr="002B4FD9">
        <w:rPr>
          <w:rFonts w:ascii="Cambria" w:hAnsi="Cambria"/>
          <w:noProof/>
          <w:lang w:val="en-US"/>
        </w:rPr>
        <w:t xml:space="preserve"> (P Marschner, Ed.). London: Academic Press.</w:t>
      </w:r>
    </w:p>
    <w:p w14:paraId="463AC977"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Masclaux-Daubresse C, Daniel-Vedele F, Dechorgnat J, Chardon F, Gaufichon L, Suzuki A</w:t>
      </w:r>
      <w:r w:rsidRPr="002B4FD9">
        <w:rPr>
          <w:rFonts w:ascii="Cambria" w:hAnsi="Cambria"/>
          <w:noProof/>
          <w:lang w:val="en-US"/>
        </w:rPr>
        <w:t xml:space="preserve">. 2010. Nitrogen uptake, assimilation and remobilization in plants: Challenges for sustainable and productive agriculture. Annals of Botany </w:t>
      </w:r>
      <w:r w:rsidRPr="002B4FD9">
        <w:rPr>
          <w:rFonts w:ascii="Cambria" w:hAnsi="Cambria"/>
          <w:b/>
          <w:bCs/>
          <w:noProof/>
          <w:lang w:val="en-US"/>
        </w:rPr>
        <w:t>105</w:t>
      </w:r>
      <w:r w:rsidRPr="002B4FD9">
        <w:rPr>
          <w:rFonts w:ascii="Cambria" w:hAnsi="Cambria"/>
          <w:noProof/>
          <w:lang w:val="en-US"/>
        </w:rPr>
        <w:t>, 1141–1157.</w:t>
      </w:r>
    </w:p>
    <w:p w14:paraId="584FBB43"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Masle J</w:t>
      </w:r>
      <w:r w:rsidRPr="002B4FD9">
        <w:rPr>
          <w:rFonts w:ascii="Cambria" w:hAnsi="Cambria"/>
          <w:noProof/>
          <w:lang w:val="en-US"/>
        </w:rPr>
        <w:t>. 2000. The effects of elevated CO</w:t>
      </w:r>
      <w:r w:rsidRPr="00547041">
        <w:rPr>
          <w:rFonts w:ascii="Cambria" w:hAnsi="Cambria"/>
          <w:noProof/>
          <w:vertAlign w:val="subscript"/>
          <w:lang w:val="en-US"/>
        </w:rPr>
        <w:t>2</w:t>
      </w:r>
      <w:r w:rsidRPr="002B4FD9">
        <w:rPr>
          <w:rFonts w:ascii="Cambria" w:hAnsi="Cambria"/>
          <w:noProof/>
          <w:lang w:val="en-US"/>
        </w:rPr>
        <w:t xml:space="preserve"> concentrations on cell division rates, growth patterns, and blade anatomy in young wheat plants are modulated by factors related to leaf position, vernalization, and genotype. Plant Physiology </w:t>
      </w:r>
      <w:r w:rsidRPr="002B4FD9">
        <w:rPr>
          <w:rFonts w:ascii="Cambria" w:hAnsi="Cambria"/>
          <w:b/>
          <w:bCs/>
          <w:noProof/>
          <w:lang w:val="en-US"/>
        </w:rPr>
        <w:t>122</w:t>
      </w:r>
      <w:r w:rsidRPr="002B4FD9">
        <w:rPr>
          <w:rFonts w:ascii="Cambria" w:hAnsi="Cambria"/>
          <w:noProof/>
          <w:lang w:val="en-US"/>
        </w:rPr>
        <w:t>, 1399–415.</w:t>
      </w:r>
    </w:p>
    <w:p w14:paraId="05CFDBCD"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McConnaughay KDM, Berntson GM, Bazzaz FA</w:t>
      </w:r>
      <w:r w:rsidRPr="002B4FD9">
        <w:rPr>
          <w:rFonts w:ascii="Cambria" w:hAnsi="Cambria"/>
          <w:noProof/>
          <w:lang w:val="en-US"/>
        </w:rPr>
        <w:t>. 1993. Limitations to CO</w:t>
      </w:r>
      <w:r w:rsidRPr="00547041">
        <w:rPr>
          <w:rFonts w:ascii="Cambria" w:hAnsi="Cambria"/>
          <w:noProof/>
          <w:vertAlign w:val="subscript"/>
          <w:lang w:val="en-US"/>
        </w:rPr>
        <w:t>2</w:t>
      </w:r>
      <w:r w:rsidRPr="002B4FD9">
        <w:rPr>
          <w:rFonts w:ascii="Cambria" w:hAnsi="Cambria"/>
          <w:noProof/>
          <w:lang w:val="en-US"/>
        </w:rPr>
        <w:t xml:space="preserve">-induced growth enhancement in pot studies. Oecologia </w:t>
      </w:r>
      <w:r w:rsidRPr="002B4FD9">
        <w:rPr>
          <w:rFonts w:ascii="Cambria" w:hAnsi="Cambria"/>
          <w:b/>
          <w:bCs/>
          <w:noProof/>
          <w:lang w:val="en-US"/>
        </w:rPr>
        <w:t>94</w:t>
      </w:r>
      <w:r w:rsidRPr="002B4FD9">
        <w:rPr>
          <w:rFonts w:ascii="Cambria" w:hAnsi="Cambria"/>
          <w:noProof/>
          <w:lang w:val="en-US"/>
        </w:rPr>
        <w:t>, 550–557.</w:t>
      </w:r>
    </w:p>
    <w:p w14:paraId="122FEE83"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McConnaughay KDM, Coleman JS</w:t>
      </w:r>
      <w:r w:rsidRPr="002B4FD9">
        <w:rPr>
          <w:rFonts w:ascii="Cambria" w:hAnsi="Cambria"/>
          <w:noProof/>
          <w:lang w:val="en-US"/>
        </w:rPr>
        <w:t xml:space="preserve">. 1999. Biomass allocation in plants: ontogeny or optimality? A test along three resource gradients. Ecology </w:t>
      </w:r>
      <w:r w:rsidRPr="002B4FD9">
        <w:rPr>
          <w:rFonts w:ascii="Cambria" w:hAnsi="Cambria"/>
          <w:b/>
          <w:bCs/>
          <w:noProof/>
          <w:lang w:val="en-US"/>
        </w:rPr>
        <w:t>80</w:t>
      </w:r>
      <w:r w:rsidRPr="002B4FD9">
        <w:rPr>
          <w:rFonts w:ascii="Cambria" w:hAnsi="Cambria"/>
          <w:noProof/>
          <w:lang w:val="en-US"/>
        </w:rPr>
        <w:t>, 2581–2593.</w:t>
      </w:r>
    </w:p>
    <w:p w14:paraId="53DDE36B"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Metcalf CJE, Rees M, Alexander JM, Rose K</w:t>
      </w:r>
      <w:r w:rsidRPr="002B4FD9">
        <w:rPr>
          <w:rFonts w:ascii="Cambria" w:hAnsi="Cambria"/>
          <w:noProof/>
          <w:lang w:val="en-US"/>
        </w:rPr>
        <w:t xml:space="preserve">. 2006. Growth-survival trade-offs and allometries in rosette-forming perennials. Functional Ecology </w:t>
      </w:r>
      <w:r w:rsidRPr="002B4FD9">
        <w:rPr>
          <w:rFonts w:ascii="Cambria" w:hAnsi="Cambria"/>
          <w:b/>
          <w:bCs/>
          <w:noProof/>
          <w:lang w:val="en-US"/>
        </w:rPr>
        <w:t>20</w:t>
      </w:r>
      <w:r w:rsidRPr="002B4FD9">
        <w:rPr>
          <w:rFonts w:ascii="Cambria" w:hAnsi="Cambria"/>
          <w:noProof/>
          <w:lang w:val="en-US"/>
        </w:rPr>
        <w:t>, 217–225.</w:t>
      </w:r>
    </w:p>
    <w:p w14:paraId="026A52D2"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Millard P</w:t>
      </w:r>
      <w:r w:rsidRPr="002B4FD9">
        <w:rPr>
          <w:rFonts w:ascii="Cambria" w:hAnsi="Cambria"/>
          <w:noProof/>
          <w:lang w:val="en-US"/>
        </w:rPr>
        <w:t xml:space="preserve">. 1988. The accumulation and storage of nitrogen by herbaceous plants. Plant, Cell &amp; Environment </w:t>
      </w:r>
      <w:r w:rsidRPr="002B4FD9">
        <w:rPr>
          <w:rFonts w:ascii="Cambria" w:hAnsi="Cambria"/>
          <w:b/>
          <w:bCs/>
          <w:noProof/>
          <w:lang w:val="en-US"/>
        </w:rPr>
        <w:t>11</w:t>
      </w:r>
      <w:r w:rsidRPr="002B4FD9">
        <w:rPr>
          <w:rFonts w:ascii="Cambria" w:hAnsi="Cambria"/>
          <w:noProof/>
          <w:lang w:val="en-US"/>
        </w:rPr>
        <w:t>, 1–8.</w:t>
      </w:r>
    </w:p>
    <w:p w14:paraId="43F7F8B0"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Miller AJ, Fan X, Orsel M, Smith SJ, Wells DM</w:t>
      </w:r>
      <w:r w:rsidRPr="002B4FD9">
        <w:rPr>
          <w:rFonts w:ascii="Cambria" w:hAnsi="Cambria"/>
          <w:noProof/>
          <w:lang w:val="en-US"/>
        </w:rPr>
        <w:t xml:space="preserve">. 2007. Nitrate transport and signalling. Journal of Experimental Botany </w:t>
      </w:r>
      <w:r w:rsidRPr="002B4FD9">
        <w:rPr>
          <w:rFonts w:ascii="Cambria" w:hAnsi="Cambria"/>
          <w:b/>
          <w:bCs/>
          <w:noProof/>
          <w:lang w:val="en-US"/>
        </w:rPr>
        <w:t>58</w:t>
      </w:r>
      <w:r w:rsidRPr="002B4FD9">
        <w:rPr>
          <w:rFonts w:ascii="Cambria" w:hAnsi="Cambria"/>
          <w:noProof/>
          <w:lang w:val="en-US"/>
        </w:rPr>
        <w:t>, 2297–2306.</w:t>
      </w:r>
    </w:p>
    <w:p w14:paraId="1B0C4CD6"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Moore BD, Cheng SH, Sims D, Seemann JR</w:t>
      </w:r>
      <w:r w:rsidRPr="002B4FD9">
        <w:rPr>
          <w:rFonts w:ascii="Cambria" w:hAnsi="Cambria"/>
          <w:noProof/>
          <w:lang w:val="en-US"/>
        </w:rPr>
        <w:t>. 1999. The biochemical and molecular basis for photosynthetic acclimation to elevated atmospheric CO</w:t>
      </w:r>
      <w:r w:rsidRPr="00547041">
        <w:rPr>
          <w:rFonts w:ascii="Cambria" w:hAnsi="Cambria"/>
          <w:noProof/>
          <w:vertAlign w:val="subscript"/>
          <w:lang w:val="en-US"/>
        </w:rPr>
        <w:t>2</w:t>
      </w:r>
      <w:r w:rsidRPr="002B4FD9">
        <w:rPr>
          <w:rFonts w:ascii="Cambria" w:hAnsi="Cambria"/>
          <w:noProof/>
          <w:lang w:val="en-US"/>
        </w:rPr>
        <w:t xml:space="preserve">. Plant Cell and Environment </w:t>
      </w:r>
      <w:r w:rsidRPr="002B4FD9">
        <w:rPr>
          <w:rFonts w:ascii="Cambria" w:hAnsi="Cambria"/>
          <w:b/>
          <w:bCs/>
          <w:noProof/>
          <w:lang w:val="en-US"/>
        </w:rPr>
        <w:t>22</w:t>
      </w:r>
      <w:r w:rsidRPr="002B4FD9">
        <w:rPr>
          <w:rFonts w:ascii="Cambria" w:hAnsi="Cambria"/>
          <w:noProof/>
          <w:lang w:val="en-US"/>
        </w:rPr>
        <w:t>, 567–582.</w:t>
      </w:r>
    </w:p>
    <w:p w14:paraId="41EC7081"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Müller-Röber B, Sonnewald U, Willmitzer L</w:t>
      </w:r>
      <w:r w:rsidRPr="002B4FD9">
        <w:rPr>
          <w:rFonts w:ascii="Cambria" w:hAnsi="Cambria"/>
          <w:noProof/>
          <w:lang w:val="en-US"/>
        </w:rPr>
        <w:t xml:space="preserve">. 1992. Inhibition of the ADP-glucose pyrophosphorylase in transgenic potatoes leads to sugar-storing tubers and influences tuber formation and expression of tuber storage protein genes. The EMBO Journal </w:t>
      </w:r>
      <w:r w:rsidRPr="002B4FD9">
        <w:rPr>
          <w:rFonts w:ascii="Cambria" w:hAnsi="Cambria"/>
          <w:b/>
          <w:bCs/>
          <w:noProof/>
          <w:lang w:val="en-US"/>
        </w:rPr>
        <w:t>11</w:t>
      </w:r>
      <w:r w:rsidRPr="002B4FD9">
        <w:rPr>
          <w:rFonts w:ascii="Cambria" w:hAnsi="Cambria"/>
          <w:noProof/>
          <w:lang w:val="en-US"/>
        </w:rPr>
        <w:t>, 1229–38.</w:t>
      </w:r>
    </w:p>
    <w:p w14:paraId="26A4D8A3"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Murchie EH, Pinto M, Horton P</w:t>
      </w:r>
      <w:r w:rsidRPr="002B4FD9">
        <w:rPr>
          <w:rFonts w:ascii="Cambria" w:hAnsi="Cambria"/>
          <w:noProof/>
          <w:lang w:val="en-US"/>
        </w:rPr>
        <w:t xml:space="preserve">. 2009. Agriculture and the new challenges for photosynthesis research. New Phytologist </w:t>
      </w:r>
      <w:r w:rsidRPr="002B4FD9">
        <w:rPr>
          <w:rFonts w:ascii="Cambria" w:hAnsi="Cambria"/>
          <w:b/>
          <w:bCs/>
          <w:noProof/>
          <w:lang w:val="en-US"/>
        </w:rPr>
        <w:t>181</w:t>
      </w:r>
      <w:r w:rsidRPr="002B4FD9">
        <w:rPr>
          <w:rFonts w:ascii="Cambria" w:hAnsi="Cambria"/>
          <w:noProof/>
          <w:lang w:val="en-US"/>
        </w:rPr>
        <w:t>, 532–52.</w:t>
      </w:r>
    </w:p>
    <w:p w14:paraId="1D179B8A"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Neales TF, Incoll LD</w:t>
      </w:r>
      <w:r w:rsidRPr="002B4FD9">
        <w:rPr>
          <w:rFonts w:ascii="Cambria" w:hAnsi="Cambria"/>
          <w:noProof/>
          <w:lang w:val="en-US"/>
        </w:rPr>
        <w:t xml:space="preserve">. 1968. The control of leaf photosynthesis rate by the level of assimilate concentration in the leaf: a review of the hypothesis. The Botanical Review </w:t>
      </w:r>
      <w:r w:rsidRPr="002B4FD9">
        <w:rPr>
          <w:rFonts w:ascii="Cambria" w:hAnsi="Cambria"/>
          <w:b/>
          <w:bCs/>
          <w:noProof/>
          <w:lang w:val="en-US"/>
        </w:rPr>
        <w:t>34</w:t>
      </w:r>
      <w:r w:rsidRPr="002B4FD9">
        <w:rPr>
          <w:rFonts w:ascii="Cambria" w:hAnsi="Cambria"/>
          <w:noProof/>
          <w:lang w:val="en-US"/>
        </w:rPr>
        <w:t>, 107–125.</w:t>
      </w:r>
    </w:p>
    <w:p w14:paraId="2DB6CB0F"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 xml:space="preserve">Nuccio ML, Wu J, Mowers R, </w:t>
      </w:r>
      <w:r w:rsidRPr="002B4FD9">
        <w:rPr>
          <w:rFonts w:ascii="Cambria" w:hAnsi="Cambria"/>
          <w:b/>
          <w:bCs/>
          <w:i/>
          <w:iCs/>
          <w:noProof/>
          <w:lang w:val="en-US"/>
        </w:rPr>
        <w:t>et al.</w:t>
      </w:r>
      <w:r w:rsidRPr="002B4FD9">
        <w:rPr>
          <w:rFonts w:ascii="Cambria" w:hAnsi="Cambria"/>
          <w:noProof/>
          <w:lang w:val="en-US"/>
        </w:rPr>
        <w:t xml:space="preserve"> 2015. Expression of trehalose-6-phosphate phosphatase in maize ears improves yield in well-watered and drought conditions. Nature Biotechnology </w:t>
      </w:r>
      <w:r w:rsidRPr="002B4FD9">
        <w:rPr>
          <w:rFonts w:ascii="Cambria" w:hAnsi="Cambria"/>
          <w:b/>
          <w:bCs/>
          <w:noProof/>
          <w:lang w:val="en-US"/>
        </w:rPr>
        <w:t>33</w:t>
      </w:r>
      <w:r w:rsidRPr="002B4FD9">
        <w:rPr>
          <w:rFonts w:ascii="Cambria" w:hAnsi="Cambria"/>
          <w:noProof/>
          <w:lang w:val="en-US"/>
        </w:rPr>
        <w:t>, 1–13.</w:t>
      </w:r>
    </w:p>
    <w:p w14:paraId="5898D4B1" w14:textId="72B90CCB"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Nunes CM, O’Hara L, Primavesi L, Delatte T, S</w:t>
      </w:r>
      <w:r w:rsidR="00A6754F">
        <w:rPr>
          <w:rFonts w:ascii="Cambria" w:hAnsi="Cambria"/>
          <w:b/>
          <w:bCs/>
          <w:noProof/>
          <w:lang w:val="en-US"/>
        </w:rPr>
        <w:t>chluepmann H, Somsen G, Silva  A, Fevereiro P, Wingler  A</w:t>
      </w:r>
      <w:r w:rsidRPr="002B4FD9">
        <w:rPr>
          <w:rFonts w:ascii="Cambria" w:hAnsi="Cambria"/>
          <w:b/>
          <w:bCs/>
          <w:noProof/>
          <w:lang w:val="en-US"/>
        </w:rPr>
        <w:t>, Paul MJ</w:t>
      </w:r>
      <w:r w:rsidRPr="002B4FD9">
        <w:rPr>
          <w:rFonts w:ascii="Cambria" w:hAnsi="Cambria"/>
          <w:noProof/>
          <w:lang w:val="en-US"/>
        </w:rPr>
        <w:t xml:space="preserve">. 2013. The trehalose 6-phosphate/ SnRK1 signalling pathway primes growth recovery following relief of sink limitation. Plant Physiology </w:t>
      </w:r>
      <w:r w:rsidRPr="002B4FD9">
        <w:rPr>
          <w:rFonts w:ascii="Cambria" w:hAnsi="Cambria"/>
          <w:b/>
          <w:bCs/>
          <w:noProof/>
          <w:lang w:val="en-US"/>
        </w:rPr>
        <w:t>162</w:t>
      </w:r>
      <w:r w:rsidRPr="002B4FD9">
        <w:rPr>
          <w:rFonts w:ascii="Cambria" w:hAnsi="Cambria"/>
          <w:noProof/>
          <w:lang w:val="en-US"/>
        </w:rPr>
        <w:t>, 1720–1732.</w:t>
      </w:r>
    </w:p>
    <w:p w14:paraId="7A2466C2"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Nunes-Nesi A, Fernie AR, Stitt M</w:t>
      </w:r>
      <w:r w:rsidRPr="002B4FD9">
        <w:rPr>
          <w:rFonts w:ascii="Cambria" w:hAnsi="Cambria"/>
          <w:noProof/>
          <w:lang w:val="en-US"/>
        </w:rPr>
        <w:t xml:space="preserve">. 2010. Metabolic and signaling aspects underpinning the regulation of plant carbon nitrogen interactions. Molecular Plant </w:t>
      </w:r>
      <w:r w:rsidRPr="002B4FD9">
        <w:rPr>
          <w:rFonts w:ascii="Cambria" w:hAnsi="Cambria"/>
          <w:b/>
          <w:bCs/>
          <w:noProof/>
          <w:lang w:val="en-US"/>
        </w:rPr>
        <w:t>3</w:t>
      </w:r>
      <w:r w:rsidRPr="002B4FD9">
        <w:rPr>
          <w:rFonts w:ascii="Cambria" w:hAnsi="Cambria"/>
          <w:noProof/>
          <w:lang w:val="en-US"/>
        </w:rPr>
        <w:t>, 973–96.</w:t>
      </w:r>
    </w:p>
    <w:p w14:paraId="61872639"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 xml:space="preserve">Ort DR, Merchant SS, Alric J, </w:t>
      </w:r>
      <w:r w:rsidRPr="002B4FD9">
        <w:rPr>
          <w:rFonts w:ascii="Cambria" w:hAnsi="Cambria"/>
          <w:b/>
          <w:bCs/>
          <w:i/>
          <w:iCs/>
          <w:noProof/>
          <w:lang w:val="en-US"/>
        </w:rPr>
        <w:t>et al.</w:t>
      </w:r>
      <w:r w:rsidRPr="002B4FD9">
        <w:rPr>
          <w:rFonts w:ascii="Cambria" w:hAnsi="Cambria"/>
          <w:noProof/>
          <w:lang w:val="en-US"/>
        </w:rPr>
        <w:t xml:space="preserve"> 2015. Redesigning photosynthesis to sustainably meet global food and bioenergy demand. Proceedings of the National Academy of Sciences </w:t>
      </w:r>
      <w:r w:rsidRPr="002B4FD9">
        <w:rPr>
          <w:rFonts w:ascii="Cambria" w:hAnsi="Cambria"/>
          <w:b/>
          <w:bCs/>
          <w:noProof/>
          <w:lang w:val="en-US"/>
        </w:rPr>
        <w:t>112</w:t>
      </w:r>
      <w:r w:rsidRPr="002B4FD9">
        <w:rPr>
          <w:rFonts w:ascii="Cambria" w:hAnsi="Cambria"/>
          <w:noProof/>
          <w:lang w:val="en-US"/>
        </w:rPr>
        <w:t>, 8529–8536.</w:t>
      </w:r>
    </w:p>
    <w:p w14:paraId="18D23B64"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Pantin F, Simonneau T, Muller B</w:t>
      </w:r>
      <w:r w:rsidRPr="002B4FD9">
        <w:rPr>
          <w:rFonts w:ascii="Cambria" w:hAnsi="Cambria"/>
          <w:noProof/>
          <w:lang w:val="en-US"/>
        </w:rPr>
        <w:t xml:space="preserve">. 2012. Coming of leaf age: control of growth by hydraulics and metabolics during leaf ontogeny. New Phytologist </w:t>
      </w:r>
      <w:r w:rsidRPr="002B4FD9">
        <w:rPr>
          <w:rFonts w:ascii="Cambria" w:hAnsi="Cambria"/>
          <w:b/>
          <w:bCs/>
          <w:noProof/>
          <w:lang w:val="en-US"/>
        </w:rPr>
        <w:t>196</w:t>
      </w:r>
      <w:r w:rsidRPr="002B4FD9">
        <w:rPr>
          <w:rFonts w:ascii="Cambria" w:hAnsi="Cambria"/>
          <w:noProof/>
          <w:lang w:val="en-US"/>
        </w:rPr>
        <w:t>, 349–66.</w:t>
      </w:r>
    </w:p>
    <w:p w14:paraId="543D2745"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Pask AJD, Sylvester-Bradley R, Jamieson PD, Foulkes MJ</w:t>
      </w:r>
      <w:r w:rsidRPr="002B4FD9">
        <w:rPr>
          <w:rFonts w:ascii="Cambria" w:hAnsi="Cambria"/>
          <w:noProof/>
          <w:lang w:val="en-US"/>
        </w:rPr>
        <w:t xml:space="preserve">. 2012. Quantifying how winter wheat crops accumulate and use nitrogen reserves during growth. Field Crops Research </w:t>
      </w:r>
      <w:r w:rsidRPr="002B4FD9">
        <w:rPr>
          <w:rFonts w:ascii="Cambria" w:hAnsi="Cambria"/>
          <w:b/>
          <w:bCs/>
          <w:noProof/>
          <w:lang w:val="en-US"/>
        </w:rPr>
        <w:t>126</w:t>
      </w:r>
      <w:r w:rsidRPr="002B4FD9">
        <w:rPr>
          <w:rFonts w:ascii="Cambria" w:hAnsi="Cambria"/>
          <w:noProof/>
          <w:lang w:val="en-US"/>
        </w:rPr>
        <w:t>, 104–118.</w:t>
      </w:r>
    </w:p>
    <w:p w14:paraId="491867E5"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Patrick JW</w:t>
      </w:r>
      <w:r w:rsidRPr="002B4FD9">
        <w:rPr>
          <w:rFonts w:ascii="Cambria" w:hAnsi="Cambria"/>
          <w:noProof/>
          <w:lang w:val="en-US"/>
        </w:rPr>
        <w:t xml:space="preserve">. 1993. Sink strength: whole plant considerations. Plant, Cell &amp; Environment </w:t>
      </w:r>
      <w:r w:rsidRPr="002B4FD9">
        <w:rPr>
          <w:rFonts w:ascii="Cambria" w:hAnsi="Cambria"/>
          <w:b/>
          <w:bCs/>
          <w:noProof/>
          <w:lang w:val="en-US"/>
        </w:rPr>
        <w:t>16</w:t>
      </w:r>
      <w:r w:rsidRPr="002B4FD9">
        <w:rPr>
          <w:rFonts w:ascii="Cambria" w:hAnsi="Cambria"/>
          <w:noProof/>
          <w:lang w:val="en-US"/>
        </w:rPr>
        <w:t>, 1019–1020.</w:t>
      </w:r>
    </w:p>
    <w:p w14:paraId="48569043"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Paul MJ, Driscoll SP</w:t>
      </w:r>
      <w:r w:rsidRPr="002B4FD9">
        <w:rPr>
          <w:rFonts w:ascii="Cambria" w:hAnsi="Cambria"/>
          <w:noProof/>
          <w:lang w:val="en-US"/>
        </w:rPr>
        <w:t xml:space="preserve">. 1997. Sugar repression of photosynthesis: the role of carbohydrates in signalling nitrogen deficiency through source:sink imbalance. Plant, Cell &amp; Environment </w:t>
      </w:r>
      <w:r w:rsidRPr="002B4FD9">
        <w:rPr>
          <w:rFonts w:ascii="Cambria" w:hAnsi="Cambria"/>
          <w:b/>
          <w:bCs/>
          <w:noProof/>
          <w:lang w:val="en-US"/>
        </w:rPr>
        <w:t>20</w:t>
      </w:r>
      <w:r w:rsidRPr="002B4FD9">
        <w:rPr>
          <w:rFonts w:ascii="Cambria" w:hAnsi="Cambria"/>
          <w:noProof/>
          <w:lang w:val="en-US"/>
        </w:rPr>
        <w:t>, 110–116.</w:t>
      </w:r>
    </w:p>
    <w:p w14:paraId="3BE92C89"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Paul MJ, Foyer CH</w:t>
      </w:r>
      <w:r w:rsidRPr="002B4FD9">
        <w:rPr>
          <w:rFonts w:ascii="Cambria" w:hAnsi="Cambria"/>
          <w:noProof/>
          <w:lang w:val="en-US"/>
        </w:rPr>
        <w:t xml:space="preserve">. 2001. Sink regulation of photosynthesis. Journal of Experimental Botany </w:t>
      </w:r>
      <w:r w:rsidRPr="002B4FD9">
        <w:rPr>
          <w:rFonts w:ascii="Cambria" w:hAnsi="Cambria"/>
          <w:b/>
          <w:bCs/>
          <w:noProof/>
          <w:lang w:val="en-US"/>
        </w:rPr>
        <w:t>52</w:t>
      </w:r>
      <w:r w:rsidRPr="002B4FD9">
        <w:rPr>
          <w:rFonts w:ascii="Cambria" w:hAnsi="Cambria"/>
          <w:noProof/>
          <w:lang w:val="en-US"/>
        </w:rPr>
        <w:t>, 1383–1400.</w:t>
      </w:r>
    </w:p>
    <w:p w14:paraId="7B5E6792"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Penning de Vries FWT</w:t>
      </w:r>
      <w:r w:rsidRPr="002B4FD9">
        <w:rPr>
          <w:rFonts w:ascii="Cambria" w:hAnsi="Cambria"/>
          <w:noProof/>
          <w:lang w:val="en-US"/>
        </w:rPr>
        <w:t xml:space="preserve">. 1975. The Cost of Maintenance Processes in Plant Cells. Annals of Botany </w:t>
      </w:r>
      <w:r w:rsidRPr="002B4FD9">
        <w:rPr>
          <w:rFonts w:ascii="Cambria" w:hAnsi="Cambria"/>
          <w:b/>
          <w:bCs/>
          <w:noProof/>
          <w:lang w:val="en-US"/>
        </w:rPr>
        <w:t>39</w:t>
      </w:r>
      <w:r w:rsidRPr="002B4FD9">
        <w:rPr>
          <w:rFonts w:ascii="Cambria" w:hAnsi="Cambria"/>
          <w:noProof/>
          <w:lang w:val="en-US"/>
        </w:rPr>
        <w:t>, 77–92.</w:t>
      </w:r>
    </w:p>
    <w:p w14:paraId="6FB84A24"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Peterhansel C, Offermann S</w:t>
      </w:r>
      <w:r w:rsidRPr="002B4FD9">
        <w:rPr>
          <w:rFonts w:ascii="Cambria" w:hAnsi="Cambria"/>
          <w:noProof/>
          <w:lang w:val="en-US"/>
        </w:rPr>
        <w:t>. 2012. Re-engineering of carbon fixation in plants - challenges for plant biotechnology to improve yields in a high-CO</w:t>
      </w:r>
      <w:r w:rsidRPr="00547041">
        <w:rPr>
          <w:rFonts w:ascii="Cambria" w:hAnsi="Cambria"/>
          <w:noProof/>
          <w:vertAlign w:val="subscript"/>
          <w:lang w:val="en-US"/>
        </w:rPr>
        <w:t>2</w:t>
      </w:r>
      <w:r w:rsidRPr="002B4FD9">
        <w:rPr>
          <w:rFonts w:ascii="Cambria" w:hAnsi="Cambria"/>
          <w:noProof/>
          <w:lang w:val="en-US"/>
        </w:rPr>
        <w:t xml:space="preserve"> world. Current Opinion in Biotechnology </w:t>
      </w:r>
      <w:r w:rsidRPr="002B4FD9">
        <w:rPr>
          <w:rFonts w:ascii="Cambria" w:hAnsi="Cambria"/>
          <w:b/>
          <w:bCs/>
          <w:noProof/>
          <w:lang w:val="en-US"/>
        </w:rPr>
        <w:t>23</w:t>
      </w:r>
      <w:r w:rsidRPr="002B4FD9">
        <w:rPr>
          <w:rFonts w:ascii="Cambria" w:hAnsi="Cambria"/>
          <w:noProof/>
          <w:lang w:val="en-US"/>
        </w:rPr>
        <w:t>, 204–8.</w:t>
      </w:r>
    </w:p>
    <w:p w14:paraId="0C013BE5"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Pierce S, Brusa G, Vagge I, Cerabolini BEL</w:t>
      </w:r>
      <w:r w:rsidRPr="002B4FD9">
        <w:rPr>
          <w:rFonts w:ascii="Cambria" w:hAnsi="Cambria"/>
          <w:noProof/>
          <w:lang w:val="en-US"/>
        </w:rPr>
        <w:t xml:space="preserve">. 2013. Allocating CSR plant functional types: The use of leaf economics and size traits to classify woody and herbaceous vascular plants. Functional Ecology </w:t>
      </w:r>
      <w:r w:rsidRPr="002B4FD9">
        <w:rPr>
          <w:rFonts w:ascii="Cambria" w:hAnsi="Cambria"/>
          <w:b/>
          <w:bCs/>
          <w:noProof/>
          <w:lang w:val="en-US"/>
        </w:rPr>
        <w:t>27</w:t>
      </w:r>
      <w:r w:rsidRPr="002B4FD9">
        <w:rPr>
          <w:rFonts w:ascii="Cambria" w:hAnsi="Cambria"/>
          <w:noProof/>
          <w:lang w:val="en-US"/>
        </w:rPr>
        <w:t>, 1002–1010.</w:t>
      </w:r>
    </w:p>
    <w:p w14:paraId="26637A90"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Pollock CJ, Cairns AJ</w:t>
      </w:r>
      <w:r w:rsidRPr="002B4FD9">
        <w:rPr>
          <w:rFonts w:ascii="Cambria" w:hAnsi="Cambria"/>
          <w:noProof/>
          <w:lang w:val="en-US"/>
        </w:rPr>
        <w:t xml:space="preserve">. 1991. Fructan metabolism in grasses and cereals. Annual Review of Plant Physiology and Plant Molecular Biology </w:t>
      </w:r>
      <w:r w:rsidRPr="002B4FD9">
        <w:rPr>
          <w:rFonts w:ascii="Cambria" w:hAnsi="Cambria"/>
          <w:b/>
          <w:bCs/>
          <w:noProof/>
          <w:lang w:val="en-US"/>
        </w:rPr>
        <w:t>42</w:t>
      </w:r>
      <w:r w:rsidRPr="002B4FD9">
        <w:rPr>
          <w:rFonts w:ascii="Cambria" w:hAnsi="Cambria"/>
          <w:noProof/>
          <w:lang w:val="en-US"/>
        </w:rPr>
        <w:t>, 77–101.</w:t>
      </w:r>
    </w:p>
    <w:p w14:paraId="5161ACE5"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Poorter H</w:t>
      </w:r>
      <w:r w:rsidRPr="002B4FD9">
        <w:rPr>
          <w:rFonts w:ascii="Cambria" w:hAnsi="Cambria"/>
          <w:noProof/>
          <w:lang w:val="en-US"/>
        </w:rPr>
        <w:t>. 1993. Interspecific variation in the growth response of plants to an elevated ambient CO</w:t>
      </w:r>
      <w:r w:rsidRPr="00547041">
        <w:rPr>
          <w:rFonts w:ascii="Cambria" w:hAnsi="Cambria"/>
          <w:noProof/>
          <w:vertAlign w:val="subscript"/>
          <w:lang w:val="en-US"/>
        </w:rPr>
        <w:t>2</w:t>
      </w:r>
      <w:r w:rsidRPr="002B4FD9">
        <w:rPr>
          <w:rFonts w:ascii="Cambria" w:hAnsi="Cambria"/>
          <w:noProof/>
          <w:lang w:val="en-US"/>
        </w:rPr>
        <w:t xml:space="preserve"> concentration. Vegetatio </w:t>
      </w:r>
      <w:r w:rsidRPr="002B4FD9">
        <w:rPr>
          <w:rFonts w:ascii="Cambria" w:hAnsi="Cambria"/>
          <w:b/>
          <w:bCs/>
          <w:noProof/>
          <w:lang w:val="en-US"/>
        </w:rPr>
        <w:t>104</w:t>
      </w:r>
      <w:r w:rsidRPr="002B4FD9">
        <w:rPr>
          <w:rFonts w:ascii="Cambria" w:hAnsi="Cambria"/>
          <w:noProof/>
          <w:lang w:val="en-US"/>
        </w:rPr>
        <w:t>, 77–97.</w:t>
      </w:r>
    </w:p>
    <w:p w14:paraId="2B32AB14"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Poorter H, Bühler J, van Dusschoten D, Climent J, Postma JA</w:t>
      </w:r>
      <w:r w:rsidRPr="002B4FD9">
        <w:rPr>
          <w:rFonts w:ascii="Cambria" w:hAnsi="Cambria"/>
          <w:noProof/>
          <w:lang w:val="en-US"/>
        </w:rPr>
        <w:t xml:space="preserve">. 2012. Pot size matters: a meta-analysis of the effects of rooting volume on plant growth. Functional Plant Biology </w:t>
      </w:r>
      <w:r w:rsidRPr="002B4FD9">
        <w:rPr>
          <w:rFonts w:ascii="Cambria" w:hAnsi="Cambria"/>
          <w:b/>
          <w:bCs/>
          <w:noProof/>
          <w:lang w:val="en-US"/>
        </w:rPr>
        <w:t>39</w:t>
      </w:r>
      <w:r w:rsidRPr="002B4FD9">
        <w:rPr>
          <w:rFonts w:ascii="Cambria" w:hAnsi="Cambria"/>
          <w:noProof/>
          <w:lang w:val="en-US"/>
        </w:rPr>
        <w:t>, 839.</w:t>
      </w:r>
    </w:p>
    <w:p w14:paraId="51D9E898"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Poorter H, Remkes C, Lambers H</w:t>
      </w:r>
      <w:r w:rsidRPr="002B4FD9">
        <w:rPr>
          <w:rFonts w:ascii="Cambria" w:hAnsi="Cambria"/>
          <w:noProof/>
          <w:lang w:val="en-US"/>
        </w:rPr>
        <w:t xml:space="preserve">. 1990. Carbon and Nitrogen Economy of 24 Wild Species Differing in Relative Growth Rate. Plant Physiology </w:t>
      </w:r>
      <w:r w:rsidRPr="002B4FD9">
        <w:rPr>
          <w:rFonts w:ascii="Cambria" w:hAnsi="Cambria"/>
          <w:b/>
          <w:bCs/>
          <w:noProof/>
          <w:lang w:val="en-US"/>
        </w:rPr>
        <w:t>94</w:t>
      </w:r>
      <w:r w:rsidRPr="002B4FD9">
        <w:rPr>
          <w:rFonts w:ascii="Cambria" w:hAnsi="Cambria"/>
          <w:noProof/>
          <w:lang w:val="en-US"/>
        </w:rPr>
        <w:t>, 621–627.</w:t>
      </w:r>
    </w:p>
    <w:p w14:paraId="2FBCF041"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Poorter H, van de Vijver CADM, Boot RGA, Lambers H</w:t>
      </w:r>
      <w:r w:rsidRPr="002B4FD9">
        <w:rPr>
          <w:rFonts w:ascii="Cambria" w:hAnsi="Cambria"/>
          <w:noProof/>
          <w:lang w:val="en-US"/>
        </w:rPr>
        <w:t xml:space="preserve">. 1995. Growth and carbon economy of a fast-growing and a slow-growing grass species as dependent on nitrate supply. Plant and Soil </w:t>
      </w:r>
      <w:r w:rsidRPr="002B4FD9">
        <w:rPr>
          <w:rFonts w:ascii="Cambria" w:hAnsi="Cambria"/>
          <w:b/>
          <w:bCs/>
          <w:noProof/>
          <w:lang w:val="en-US"/>
        </w:rPr>
        <w:t>171</w:t>
      </w:r>
      <w:r w:rsidRPr="002B4FD9">
        <w:rPr>
          <w:rFonts w:ascii="Cambria" w:hAnsi="Cambria"/>
          <w:noProof/>
          <w:lang w:val="en-US"/>
        </w:rPr>
        <w:t>, 217–227.</w:t>
      </w:r>
    </w:p>
    <w:p w14:paraId="7E59A9B4" w14:textId="3D73D9A8"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Poorter H, van der Werf A</w:t>
      </w:r>
      <w:r w:rsidRPr="002B4FD9">
        <w:rPr>
          <w:rFonts w:ascii="Cambria" w:hAnsi="Cambria"/>
          <w:noProof/>
          <w:lang w:val="en-US"/>
        </w:rPr>
        <w:t>. 1998. Is inherent variation in RGR determined by LAR at low irradiance and by NAR at high irradiance? A review of herbaceous species. In: Lambers H,</w:t>
      </w:r>
      <w:r w:rsidR="00547041">
        <w:rPr>
          <w:rFonts w:ascii="Cambria" w:hAnsi="Cambria"/>
          <w:noProof/>
          <w:lang w:val="en-US"/>
        </w:rPr>
        <w:t xml:space="preserve"> Poorter H, </w:t>
      </w:r>
      <w:r w:rsidRPr="002B4FD9">
        <w:rPr>
          <w:rFonts w:ascii="Cambria" w:hAnsi="Cambria"/>
          <w:noProof/>
          <w:lang w:val="en-US"/>
        </w:rPr>
        <w:t>van Vuuren M, eds. Inherent variation in plant growth. Physiological mechanisms and ecological consequences. Leiden: Backhuys Publishers, 309–336.</w:t>
      </w:r>
    </w:p>
    <w:p w14:paraId="50D05227"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Pritchard SG, Rogers HH, Prior SA, Peterson CM</w:t>
      </w:r>
      <w:r w:rsidRPr="002B4FD9">
        <w:rPr>
          <w:rFonts w:ascii="Cambria" w:hAnsi="Cambria"/>
          <w:noProof/>
          <w:lang w:val="en-US"/>
        </w:rPr>
        <w:t>. 1999. Elevated CO</w:t>
      </w:r>
      <w:r w:rsidRPr="00547041">
        <w:rPr>
          <w:rFonts w:ascii="Cambria" w:hAnsi="Cambria"/>
          <w:noProof/>
          <w:vertAlign w:val="subscript"/>
          <w:lang w:val="en-US"/>
        </w:rPr>
        <w:t>2</w:t>
      </w:r>
      <w:r w:rsidRPr="002B4FD9">
        <w:rPr>
          <w:rFonts w:ascii="Cambria" w:hAnsi="Cambria"/>
          <w:noProof/>
          <w:lang w:val="en-US"/>
        </w:rPr>
        <w:t xml:space="preserve"> and plant structure: a review. Global Change Biology </w:t>
      </w:r>
      <w:r w:rsidRPr="002B4FD9">
        <w:rPr>
          <w:rFonts w:ascii="Cambria" w:hAnsi="Cambria"/>
          <w:b/>
          <w:bCs/>
          <w:noProof/>
          <w:lang w:val="en-US"/>
        </w:rPr>
        <w:t>5</w:t>
      </w:r>
      <w:r w:rsidRPr="002B4FD9">
        <w:rPr>
          <w:rFonts w:ascii="Cambria" w:hAnsi="Cambria"/>
          <w:noProof/>
          <w:lang w:val="en-US"/>
        </w:rPr>
        <w:t>, 807–837.</w:t>
      </w:r>
    </w:p>
    <w:p w14:paraId="62EC946F"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Prusinkiewicz P, Crawford S, Smith RS, Ljung K, Bennett T, Ongaro V, Leyser O</w:t>
      </w:r>
      <w:r w:rsidRPr="002B4FD9">
        <w:rPr>
          <w:rFonts w:ascii="Cambria" w:hAnsi="Cambria"/>
          <w:noProof/>
          <w:lang w:val="en-US"/>
        </w:rPr>
        <w:t xml:space="preserve">. 2009. Control of bud activation by an auxin transport switch. Proceedings of the National Academy of Sciences of the United States of America </w:t>
      </w:r>
      <w:r w:rsidRPr="002B4FD9">
        <w:rPr>
          <w:rFonts w:ascii="Cambria" w:hAnsi="Cambria"/>
          <w:b/>
          <w:bCs/>
          <w:noProof/>
          <w:lang w:val="en-US"/>
        </w:rPr>
        <w:t>106</w:t>
      </w:r>
      <w:r w:rsidRPr="002B4FD9">
        <w:rPr>
          <w:rFonts w:ascii="Cambria" w:hAnsi="Cambria"/>
          <w:noProof/>
          <w:lang w:val="en-US"/>
        </w:rPr>
        <w:t>, 17431–17436.</w:t>
      </w:r>
    </w:p>
    <w:p w14:paraId="2907403D"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R Core Team</w:t>
      </w:r>
      <w:r w:rsidRPr="002B4FD9">
        <w:rPr>
          <w:rFonts w:ascii="Cambria" w:hAnsi="Cambria"/>
          <w:noProof/>
          <w:lang w:val="en-US"/>
        </w:rPr>
        <w:t>. 2015. R: A language and environment for statistical computing. R Foundation for Statistical Computing, Vienna, Austria.</w:t>
      </w:r>
    </w:p>
    <w:p w14:paraId="16383CCE"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Rabalais NN, Turner RE, Wiseman WJ</w:t>
      </w:r>
      <w:r w:rsidRPr="002B4FD9">
        <w:rPr>
          <w:rFonts w:ascii="Cambria" w:hAnsi="Cambria"/>
          <w:noProof/>
          <w:lang w:val="en-US"/>
        </w:rPr>
        <w:t xml:space="preserve">. 2002. Gulf of Mexico Hypoxia, A.K.A. ‘The Dead Zone’. Annual Review of Ecology and Systematics </w:t>
      </w:r>
      <w:r w:rsidRPr="002B4FD9">
        <w:rPr>
          <w:rFonts w:ascii="Cambria" w:hAnsi="Cambria"/>
          <w:b/>
          <w:bCs/>
          <w:noProof/>
          <w:lang w:val="en-US"/>
        </w:rPr>
        <w:t>33</w:t>
      </w:r>
      <w:r w:rsidRPr="002B4FD9">
        <w:rPr>
          <w:rFonts w:ascii="Cambria" w:hAnsi="Cambria"/>
          <w:noProof/>
          <w:lang w:val="en-US"/>
        </w:rPr>
        <w:t>, 235–263.</w:t>
      </w:r>
    </w:p>
    <w:p w14:paraId="068159BF"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Raines CA</w:t>
      </w:r>
      <w:r w:rsidRPr="002B4FD9">
        <w:rPr>
          <w:rFonts w:ascii="Cambria" w:hAnsi="Cambria"/>
          <w:noProof/>
          <w:lang w:val="en-US"/>
        </w:rPr>
        <w:t xml:space="preserve">. 2003. The Calvin cycle revisited. Photosynthesis Research </w:t>
      </w:r>
      <w:r w:rsidRPr="002B4FD9">
        <w:rPr>
          <w:rFonts w:ascii="Cambria" w:hAnsi="Cambria"/>
          <w:b/>
          <w:bCs/>
          <w:noProof/>
          <w:lang w:val="en-US"/>
        </w:rPr>
        <w:t>75</w:t>
      </w:r>
      <w:r w:rsidRPr="002B4FD9">
        <w:rPr>
          <w:rFonts w:ascii="Cambria" w:hAnsi="Cambria"/>
          <w:noProof/>
          <w:lang w:val="en-US"/>
        </w:rPr>
        <w:t>, 1–10.</w:t>
      </w:r>
    </w:p>
    <w:p w14:paraId="2B5C9CA0"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Ranasinghe S, Taylor G</w:t>
      </w:r>
      <w:r w:rsidRPr="002B4FD9">
        <w:rPr>
          <w:rFonts w:ascii="Cambria" w:hAnsi="Cambria"/>
          <w:noProof/>
          <w:lang w:val="en-US"/>
        </w:rPr>
        <w:t>. 1996. Mechanism for increased leaf growth in elevated CO</w:t>
      </w:r>
      <w:r w:rsidRPr="00547041">
        <w:rPr>
          <w:rFonts w:ascii="Cambria" w:hAnsi="Cambria"/>
          <w:noProof/>
          <w:vertAlign w:val="subscript"/>
          <w:lang w:val="en-US"/>
        </w:rPr>
        <w:t>2</w:t>
      </w:r>
      <w:r w:rsidRPr="002B4FD9">
        <w:rPr>
          <w:rFonts w:ascii="Cambria" w:hAnsi="Cambria"/>
          <w:noProof/>
          <w:lang w:val="en-US"/>
        </w:rPr>
        <w:t xml:space="preserve">. Journal of Experimental Botany </w:t>
      </w:r>
      <w:r w:rsidRPr="002B4FD9">
        <w:rPr>
          <w:rFonts w:ascii="Cambria" w:hAnsi="Cambria"/>
          <w:b/>
          <w:bCs/>
          <w:noProof/>
          <w:lang w:val="en-US"/>
        </w:rPr>
        <w:t>47</w:t>
      </w:r>
      <w:r w:rsidRPr="002B4FD9">
        <w:rPr>
          <w:rFonts w:ascii="Cambria" w:hAnsi="Cambria"/>
          <w:noProof/>
          <w:lang w:val="en-US"/>
        </w:rPr>
        <w:t>, 349–358.</w:t>
      </w:r>
    </w:p>
    <w:p w14:paraId="1AF16E5C"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Read DJ</w:t>
      </w:r>
      <w:r w:rsidRPr="002B4FD9">
        <w:rPr>
          <w:rFonts w:ascii="Cambria" w:hAnsi="Cambria"/>
          <w:noProof/>
          <w:lang w:val="en-US"/>
        </w:rPr>
        <w:t xml:space="preserve">. 1991. Mycorrhizas in ecosystems. Experientia </w:t>
      </w:r>
      <w:r w:rsidRPr="002B4FD9">
        <w:rPr>
          <w:rFonts w:ascii="Cambria" w:hAnsi="Cambria"/>
          <w:b/>
          <w:bCs/>
          <w:noProof/>
          <w:lang w:val="en-US"/>
        </w:rPr>
        <w:t>47</w:t>
      </w:r>
      <w:r w:rsidRPr="002B4FD9">
        <w:rPr>
          <w:rFonts w:ascii="Cambria" w:hAnsi="Cambria"/>
          <w:noProof/>
          <w:lang w:val="en-US"/>
        </w:rPr>
        <w:t>, 376–391.</w:t>
      </w:r>
    </w:p>
    <w:p w14:paraId="3B2376CB" w14:textId="77777777" w:rsidR="002B4FD9" w:rsidRPr="002B4FD9" w:rsidRDefault="002B4FD9" w:rsidP="002D6D6A">
      <w:pPr>
        <w:widowControl w:val="0"/>
        <w:tabs>
          <w:tab w:val="left" w:pos="4678"/>
        </w:tabs>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Reda M</w:t>
      </w:r>
      <w:r w:rsidRPr="002B4FD9">
        <w:rPr>
          <w:rFonts w:ascii="Cambria" w:hAnsi="Cambria"/>
          <w:noProof/>
          <w:lang w:val="en-US"/>
        </w:rPr>
        <w:t xml:space="preserve">. 2015. Response of nitrate reductase activity and NIA genes expression in roots of </w:t>
      </w:r>
      <w:r w:rsidRPr="002D6D6A">
        <w:rPr>
          <w:rFonts w:ascii="Cambria" w:hAnsi="Cambria"/>
          <w:i/>
          <w:noProof/>
          <w:lang w:val="en-US"/>
        </w:rPr>
        <w:t>Arabidopsis</w:t>
      </w:r>
      <w:r w:rsidRPr="002B4FD9">
        <w:rPr>
          <w:rFonts w:ascii="Cambria" w:hAnsi="Cambria"/>
          <w:noProof/>
          <w:lang w:val="en-US"/>
        </w:rPr>
        <w:t xml:space="preserve"> hxk1 mutant treated with selected carbon and nitrogen metabolites. Plant Science </w:t>
      </w:r>
      <w:r w:rsidRPr="002B4FD9">
        <w:rPr>
          <w:rFonts w:ascii="Cambria" w:hAnsi="Cambria"/>
          <w:b/>
          <w:bCs/>
          <w:noProof/>
          <w:lang w:val="en-US"/>
        </w:rPr>
        <w:t>230</w:t>
      </w:r>
      <w:r w:rsidRPr="002B4FD9">
        <w:rPr>
          <w:rFonts w:ascii="Cambria" w:hAnsi="Cambria"/>
          <w:noProof/>
          <w:lang w:val="en-US"/>
        </w:rPr>
        <w:t>, 51–8.</w:t>
      </w:r>
    </w:p>
    <w:p w14:paraId="5A912C80"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Reekie EG, MacDougall G, Wong I, Hicklenton PR</w:t>
      </w:r>
      <w:r w:rsidRPr="002B4FD9">
        <w:rPr>
          <w:rFonts w:ascii="Cambria" w:hAnsi="Cambria"/>
          <w:noProof/>
          <w:lang w:val="en-US"/>
        </w:rPr>
        <w:t>. 1998. Effect of sink size on growth response to elevated atmospheric CO</w:t>
      </w:r>
      <w:r w:rsidRPr="002B4FD9">
        <w:rPr>
          <w:rFonts w:ascii="Cambria" w:hAnsi="Cambria"/>
          <w:noProof/>
          <w:vertAlign w:val="subscript"/>
          <w:lang w:val="en-US"/>
        </w:rPr>
        <w:t>2</w:t>
      </w:r>
      <w:r w:rsidRPr="002B4FD9">
        <w:rPr>
          <w:rFonts w:ascii="Cambria" w:hAnsi="Cambria"/>
          <w:noProof/>
          <w:lang w:val="en-US"/>
        </w:rPr>
        <w:t xml:space="preserve"> within the genus </w:t>
      </w:r>
      <w:r w:rsidRPr="002B4FD9">
        <w:rPr>
          <w:rFonts w:ascii="Cambria" w:hAnsi="Cambria"/>
          <w:i/>
          <w:iCs/>
          <w:noProof/>
          <w:lang w:val="en-US"/>
        </w:rPr>
        <w:t>Brassica</w:t>
      </w:r>
      <w:r w:rsidRPr="002B4FD9">
        <w:rPr>
          <w:rFonts w:ascii="Cambria" w:hAnsi="Cambria"/>
          <w:noProof/>
          <w:lang w:val="en-US"/>
        </w:rPr>
        <w:t xml:space="preserve">. Canadian Journal of Botany </w:t>
      </w:r>
      <w:r w:rsidRPr="002B4FD9">
        <w:rPr>
          <w:rFonts w:ascii="Cambria" w:hAnsi="Cambria"/>
          <w:b/>
          <w:bCs/>
          <w:noProof/>
          <w:lang w:val="en-US"/>
        </w:rPr>
        <w:t>76</w:t>
      </w:r>
      <w:r w:rsidRPr="002B4FD9">
        <w:rPr>
          <w:rFonts w:ascii="Cambria" w:hAnsi="Cambria"/>
          <w:noProof/>
          <w:lang w:val="en-US"/>
        </w:rPr>
        <w:t>, 829–835.</w:t>
      </w:r>
    </w:p>
    <w:p w14:paraId="0E6513C7" w14:textId="4A073774"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Rees M, Osborne CP, Woo</w:t>
      </w:r>
      <w:r w:rsidR="00547041">
        <w:rPr>
          <w:rFonts w:ascii="Cambria" w:hAnsi="Cambria"/>
          <w:b/>
          <w:bCs/>
          <w:noProof/>
          <w:lang w:val="en-US"/>
        </w:rPr>
        <w:t>dward FI, Hulme SP, Turnbull LA</w:t>
      </w:r>
      <w:r w:rsidRPr="002B4FD9">
        <w:rPr>
          <w:rFonts w:ascii="Cambria" w:hAnsi="Cambria"/>
          <w:b/>
          <w:bCs/>
          <w:noProof/>
          <w:lang w:val="en-US"/>
        </w:rPr>
        <w:t>, Taylor SH</w:t>
      </w:r>
      <w:r w:rsidRPr="002B4FD9">
        <w:rPr>
          <w:rFonts w:ascii="Cambria" w:hAnsi="Cambria"/>
          <w:noProof/>
          <w:lang w:val="en-US"/>
        </w:rPr>
        <w:t xml:space="preserve">. 2010. Partitioning the components of relative growth rate: how important is plant size variation? The American Naturalist </w:t>
      </w:r>
      <w:r w:rsidRPr="002B4FD9">
        <w:rPr>
          <w:rFonts w:ascii="Cambria" w:hAnsi="Cambria"/>
          <w:b/>
          <w:bCs/>
          <w:noProof/>
          <w:lang w:val="en-US"/>
        </w:rPr>
        <w:t>176</w:t>
      </w:r>
      <w:r w:rsidRPr="002B4FD9">
        <w:rPr>
          <w:rFonts w:ascii="Cambria" w:hAnsi="Cambria"/>
          <w:noProof/>
          <w:lang w:val="en-US"/>
        </w:rPr>
        <w:t>, E152–61.</w:t>
      </w:r>
    </w:p>
    <w:p w14:paraId="56B474A3"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Reich PB, Wright IJ, Cavender‐Bares J, Craine JM, Oleksyn J, Westoby M, Walters MB</w:t>
      </w:r>
      <w:r w:rsidRPr="002B4FD9">
        <w:rPr>
          <w:rFonts w:ascii="Cambria" w:hAnsi="Cambria"/>
          <w:noProof/>
          <w:lang w:val="en-US"/>
        </w:rPr>
        <w:t xml:space="preserve">. 2003. The Evolution of Plant Functional Variation: Traits, Spectra, and Strategies. International Journal of Plant Sciences </w:t>
      </w:r>
      <w:r w:rsidRPr="002B4FD9">
        <w:rPr>
          <w:rFonts w:ascii="Cambria" w:hAnsi="Cambria"/>
          <w:b/>
          <w:bCs/>
          <w:noProof/>
          <w:lang w:val="en-US"/>
        </w:rPr>
        <w:t>164</w:t>
      </w:r>
      <w:r w:rsidRPr="002B4FD9">
        <w:rPr>
          <w:rFonts w:ascii="Cambria" w:hAnsi="Cambria"/>
          <w:noProof/>
          <w:lang w:val="en-US"/>
        </w:rPr>
        <w:t>, S143–S164.</w:t>
      </w:r>
    </w:p>
    <w:p w14:paraId="63EB65A8"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Reynolds M, Foulkes J, Furbank R, Griffiths S, King J, Murchie E, Parry M, Slafer G</w:t>
      </w:r>
      <w:r w:rsidRPr="002B4FD9">
        <w:rPr>
          <w:rFonts w:ascii="Cambria" w:hAnsi="Cambria"/>
          <w:noProof/>
          <w:lang w:val="en-US"/>
        </w:rPr>
        <w:t xml:space="preserve">. 2012. Achieving yield gains in wheat. Plant, Cell &amp; Environment </w:t>
      </w:r>
      <w:r w:rsidRPr="002B4FD9">
        <w:rPr>
          <w:rFonts w:ascii="Cambria" w:hAnsi="Cambria"/>
          <w:b/>
          <w:bCs/>
          <w:noProof/>
          <w:lang w:val="en-US"/>
        </w:rPr>
        <w:t>35</w:t>
      </w:r>
      <w:r w:rsidRPr="002B4FD9">
        <w:rPr>
          <w:rFonts w:ascii="Cambria" w:hAnsi="Cambria"/>
          <w:noProof/>
          <w:lang w:val="en-US"/>
        </w:rPr>
        <w:t>, 1799–1823.</w:t>
      </w:r>
    </w:p>
    <w:p w14:paraId="58A7D311"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Reynolds M, Langridge P</w:t>
      </w:r>
      <w:r w:rsidRPr="002B4FD9">
        <w:rPr>
          <w:rFonts w:ascii="Cambria" w:hAnsi="Cambria"/>
          <w:noProof/>
          <w:lang w:val="en-US"/>
        </w:rPr>
        <w:t xml:space="preserve">. 2016. Physiological breeding. Current Opinion in Plant Biology </w:t>
      </w:r>
      <w:r w:rsidRPr="002B4FD9">
        <w:rPr>
          <w:rFonts w:ascii="Cambria" w:hAnsi="Cambria"/>
          <w:b/>
          <w:bCs/>
          <w:noProof/>
          <w:lang w:val="en-US"/>
        </w:rPr>
        <w:t>31</w:t>
      </w:r>
      <w:r w:rsidRPr="002B4FD9">
        <w:rPr>
          <w:rFonts w:ascii="Cambria" w:hAnsi="Cambria"/>
          <w:noProof/>
          <w:lang w:val="en-US"/>
        </w:rPr>
        <w:t>, 162–171.</w:t>
      </w:r>
    </w:p>
    <w:p w14:paraId="395928BD"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Rodgers CO, Barneix AJ</w:t>
      </w:r>
      <w:r w:rsidRPr="002B4FD9">
        <w:rPr>
          <w:rFonts w:ascii="Cambria" w:hAnsi="Cambria"/>
          <w:noProof/>
          <w:lang w:val="en-US"/>
        </w:rPr>
        <w:t xml:space="preserve">. 1988. Cultivar differences in the rate of nitrate uptake by intact wheat plants as related to growth rate. Physiologia Plantarum </w:t>
      </w:r>
      <w:r w:rsidRPr="002B4FD9">
        <w:rPr>
          <w:rFonts w:ascii="Cambria" w:hAnsi="Cambria"/>
          <w:b/>
          <w:bCs/>
          <w:noProof/>
          <w:lang w:val="en-US"/>
        </w:rPr>
        <w:t>72</w:t>
      </w:r>
      <w:r w:rsidRPr="002B4FD9">
        <w:rPr>
          <w:rFonts w:ascii="Cambria" w:hAnsi="Cambria"/>
          <w:noProof/>
          <w:lang w:val="en-US"/>
        </w:rPr>
        <w:t>, 121–126.</w:t>
      </w:r>
    </w:p>
    <w:p w14:paraId="2C7CB447" w14:textId="3DCE8FB6"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Rogers A, Ainsworth EA</w:t>
      </w:r>
      <w:r w:rsidRPr="002B4FD9">
        <w:rPr>
          <w:rFonts w:ascii="Cambria" w:hAnsi="Cambria"/>
          <w:noProof/>
          <w:lang w:val="en-US"/>
        </w:rPr>
        <w:t>. 2006. The response of foliar carbohydrates to elevated [CO</w:t>
      </w:r>
      <w:r w:rsidRPr="00547041">
        <w:rPr>
          <w:rFonts w:ascii="Cambria" w:hAnsi="Cambria"/>
          <w:noProof/>
          <w:vertAlign w:val="subscript"/>
          <w:lang w:val="en-US"/>
        </w:rPr>
        <w:t>2</w:t>
      </w:r>
      <w:r w:rsidR="00547041">
        <w:rPr>
          <w:rFonts w:ascii="Cambria" w:hAnsi="Cambria"/>
          <w:noProof/>
          <w:lang w:val="en-US"/>
        </w:rPr>
        <w:t xml:space="preserve">]. In: Nosberger J, Long S, Blum H, Norby R, Hendrey G, </w:t>
      </w:r>
      <w:r w:rsidRPr="002B4FD9">
        <w:rPr>
          <w:rFonts w:ascii="Cambria" w:hAnsi="Cambria"/>
          <w:noProof/>
          <w:lang w:val="en-US"/>
        </w:rPr>
        <w:t>Stitt M, eds. Managed ecosystems and CO</w:t>
      </w:r>
      <w:r w:rsidRPr="00547041">
        <w:rPr>
          <w:rFonts w:ascii="Cambria" w:hAnsi="Cambria"/>
          <w:noProof/>
          <w:vertAlign w:val="subscript"/>
          <w:lang w:val="en-US"/>
        </w:rPr>
        <w:t>2</w:t>
      </w:r>
      <w:r w:rsidRPr="002B4FD9">
        <w:rPr>
          <w:rFonts w:ascii="Cambria" w:hAnsi="Cambria"/>
          <w:noProof/>
          <w:lang w:val="en-US"/>
        </w:rPr>
        <w:t xml:space="preserve"> case studies processes and perspectives. Heidelberg, Berlin: Springer-Verlag, 293–308.</w:t>
      </w:r>
    </w:p>
    <w:p w14:paraId="471CC48F"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Rogers A, Ainsworth EA, Leakey ADB</w:t>
      </w:r>
      <w:r w:rsidRPr="002B4FD9">
        <w:rPr>
          <w:rFonts w:ascii="Cambria" w:hAnsi="Cambria"/>
          <w:noProof/>
          <w:lang w:val="en-US"/>
        </w:rPr>
        <w:t xml:space="preserve">. 2009. Will elevated carbon dioxide concentration amplify the benefits of nitrogen fixation in legumes? Plant Physiology </w:t>
      </w:r>
      <w:r w:rsidRPr="002B4FD9">
        <w:rPr>
          <w:rFonts w:ascii="Cambria" w:hAnsi="Cambria"/>
          <w:b/>
          <w:bCs/>
          <w:noProof/>
          <w:lang w:val="en-US"/>
        </w:rPr>
        <w:t>151</w:t>
      </w:r>
      <w:r w:rsidRPr="002B4FD9">
        <w:rPr>
          <w:rFonts w:ascii="Cambria" w:hAnsi="Cambria"/>
          <w:noProof/>
          <w:lang w:val="en-US"/>
        </w:rPr>
        <w:t>, 1009–16.</w:t>
      </w:r>
    </w:p>
    <w:p w14:paraId="35AD87B4"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Rogers A, Fischer B, Bryant J, Frehner M, Blum H, Raines C, Long S</w:t>
      </w:r>
      <w:r w:rsidRPr="002B4FD9">
        <w:rPr>
          <w:rFonts w:ascii="Cambria" w:hAnsi="Cambria"/>
          <w:noProof/>
          <w:lang w:val="en-US"/>
        </w:rPr>
        <w:t>. 1998. Acclimation of photosynthesis to elevated CO</w:t>
      </w:r>
      <w:r w:rsidRPr="00547041">
        <w:rPr>
          <w:rFonts w:ascii="Cambria" w:hAnsi="Cambria"/>
          <w:noProof/>
          <w:vertAlign w:val="subscript"/>
          <w:lang w:val="en-US"/>
        </w:rPr>
        <w:t>2</w:t>
      </w:r>
      <w:r w:rsidRPr="002B4FD9">
        <w:rPr>
          <w:rFonts w:ascii="Cambria" w:hAnsi="Cambria"/>
          <w:noProof/>
          <w:lang w:val="en-US"/>
        </w:rPr>
        <w:t xml:space="preserve"> under low-nitrogen nutrition is affected by the capacity for assimilate utilization. Perennial ryegrass under free-air CO</w:t>
      </w:r>
      <w:r w:rsidRPr="00547041">
        <w:rPr>
          <w:rFonts w:ascii="Cambria" w:hAnsi="Cambria"/>
          <w:noProof/>
          <w:vertAlign w:val="subscript"/>
          <w:lang w:val="en-US"/>
        </w:rPr>
        <w:t>2</w:t>
      </w:r>
      <w:r w:rsidRPr="002B4FD9">
        <w:rPr>
          <w:rFonts w:ascii="Cambria" w:hAnsi="Cambria"/>
          <w:noProof/>
          <w:lang w:val="en-US"/>
        </w:rPr>
        <w:t xml:space="preserve"> enrichment. Plant Physiology </w:t>
      </w:r>
      <w:r w:rsidRPr="002B4FD9">
        <w:rPr>
          <w:rFonts w:ascii="Cambria" w:hAnsi="Cambria"/>
          <w:b/>
          <w:bCs/>
          <w:noProof/>
          <w:lang w:val="en-US"/>
        </w:rPr>
        <w:t>118</w:t>
      </w:r>
      <w:r w:rsidRPr="002B4FD9">
        <w:rPr>
          <w:rFonts w:ascii="Cambria" w:hAnsi="Cambria"/>
          <w:noProof/>
          <w:lang w:val="en-US"/>
        </w:rPr>
        <w:t>, 683–9.</w:t>
      </w:r>
    </w:p>
    <w:p w14:paraId="5D3BD17E"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Rogers A, Gibon Y, Stitt M, Morgan PB, Bernacchi CJ, Ort DR, Long SP</w:t>
      </w:r>
      <w:r w:rsidRPr="002B4FD9">
        <w:rPr>
          <w:rFonts w:ascii="Cambria" w:hAnsi="Cambria"/>
          <w:noProof/>
          <w:lang w:val="en-US"/>
        </w:rPr>
        <w:t xml:space="preserve">. 2006. Increased C availability at elevated carbon dioxide concentration improves N assimilation in a legume. Plant, Cell and Environment </w:t>
      </w:r>
      <w:r w:rsidRPr="002B4FD9">
        <w:rPr>
          <w:rFonts w:ascii="Cambria" w:hAnsi="Cambria"/>
          <w:b/>
          <w:bCs/>
          <w:noProof/>
          <w:lang w:val="en-US"/>
        </w:rPr>
        <w:t>29</w:t>
      </w:r>
      <w:r w:rsidRPr="002B4FD9">
        <w:rPr>
          <w:rFonts w:ascii="Cambria" w:hAnsi="Cambria"/>
          <w:noProof/>
          <w:lang w:val="en-US"/>
        </w:rPr>
        <w:t>, 1651–1658.</w:t>
      </w:r>
    </w:p>
    <w:p w14:paraId="5AE0A517"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Rose KE, Atkinson RL, Turnbull LA, Rees M</w:t>
      </w:r>
      <w:r w:rsidRPr="002B4FD9">
        <w:rPr>
          <w:rFonts w:ascii="Cambria" w:hAnsi="Cambria"/>
          <w:noProof/>
          <w:lang w:val="en-US"/>
        </w:rPr>
        <w:t xml:space="preserve">. 2009. The costs and benefits of fast living. Ecology Letters </w:t>
      </w:r>
      <w:r w:rsidRPr="002B4FD9">
        <w:rPr>
          <w:rFonts w:ascii="Cambria" w:hAnsi="Cambria"/>
          <w:b/>
          <w:bCs/>
          <w:noProof/>
          <w:lang w:val="en-US"/>
        </w:rPr>
        <w:t>12</w:t>
      </w:r>
      <w:r w:rsidRPr="002B4FD9">
        <w:rPr>
          <w:rFonts w:ascii="Cambria" w:hAnsi="Cambria"/>
          <w:noProof/>
          <w:lang w:val="en-US"/>
        </w:rPr>
        <w:t>, 1379–84.</w:t>
      </w:r>
    </w:p>
    <w:p w14:paraId="772A46C8"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Rosenthal DM, Locke AM, Khozaei M, Raines CA, Long SP, Ort DR</w:t>
      </w:r>
      <w:r w:rsidRPr="002B4FD9">
        <w:rPr>
          <w:rFonts w:ascii="Cambria" w:hAnsi="Cambria"/>
          <w:noProof/>
          <w:lang w:val="en-US"/>
        </w:rPr>
        <w:t>. 2011. Over-expressing the C</w:t>
      </w:r>
      <w:r w:rsidRPr="00547041">
        <w:rPr>
          <w:rFonts w:ascii="Cambria" w:hAnsi="Cambria"/>
          <w:noProof/>
          <w:vertAlign w:val="subscript"/>
          <w:lang w:val="en-US"/>
        </w:rPr>
        <w:t>3</w:t>
      </w:r>
      <w:r w:rsidRPr="002B4FD9">
        <w:rPr>
          <w:rFonts w:ascii="Cambria" w:hAnsi="Cambria"/>
          <w:noProof/>
          <w:lang w:val="en-US"/>
        </w:rPr>
        <w:t xml:space="preserve"> photosynthesis cycle enzyme Sedoheptulose-1-7 Bisphosphatase improves photosynthetic carbon gain and yield under fully open air CO</w:t>
      </w:r>
      <w:r w:rsidRPr="00547041">
        <w:rPr>
          <w:rFonts w:ascii="Cambria" w:hAnsi="Cambria"/>
          <w:noProof/>
          <w:vertAlign w:val="subscript"/>
          <w:lang w:val="en-US"/>
        </w:rPr>
        <w:t>2</w:t>
      </w:r>
      <w:r w:rsidRPr="002B4FD9">
        <w:rPr>
          <w:rFonts w:ascii="Cambria" w:hAnsi="Cambria"/>
          <w:noProof/>
          <w:lang w:val="en-US"/>
        </w:rPr>
        <w:t xml:space="preserve"> fumigation (FACE). BMC plant biology </w:t>
      </w:r>
      <w:r w:rsidRPr="002B4FD9">
        <w:rPr>
          <w:rFonts w:ascii="Cambria" w:hAnsi="Cambria"/>
          <w:b/>
          <w:bCs/>
          <w:noProof/>
          <w:lang w:val="en-US"/>
        </w:rPr>
        <w:t>11</w:t>
      </w:r>
      <w:r w:rsidRPr="002B4FD9">
        <w:rPr>
          <w:rFonts w:ascii="Cambria" w:hAnsi="Cambria"/>
          <w:noProof/>
          <w:lang w:val="en-US"/>
        </w:rPr>
        <w:t>, 123.</w:t>
      </w:r>
    </w:p>
    <w:p w14:paraId="2BEA6849"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Roumet C, Roy J</w:t>
      </w:r>
      <w:r w:rsidRPr="002B4FD9">
        <w:rPr>
          <w:rFonts w:ascii="Cambria" w:hAnsi="Cambria"/>
          <w:noProof/>
          <w:lang w:val="en-US"/>
        </w:rPr>
        <w:t>. 1996. Prediction of the growth response to elevated CO</w:t>
      </w:r>
      <w:r w:rsidRPr="002D6D6A">
        <w:rPr>
          <w:rFonts w:ascii="Cambria" w:hAnsi="Cambria"/>
          <w:noProof/>
          <w:vertAlign w:val="subscript"/>
          <w:lang w:val="en-US"/>
        </w:rPr>
        <w:t>2</w:t>
      </w:r>
      <w:r w:rsidRPr="002B4FD9">
        <w:rPr>
          <w:rFonts w:ascii="Cambria" w:hAnsi="Cambria"/>
          <w:noProof/>
          <w:lang w:val="en-US"/>
        </w:rPr>
        <w:t xml:space="preserve">: A search for physiological criteria in closely related grass species. New Phytologist </w:t>
      </w:r>
      <w:r w:rsidRPr="002B4FD9">
        <w:rPr>
          <w:rFonts w:ascii="Cambria" w:hAnsi="Cambria"/>
          <w:b/>
          <w:bCs/>
          <w:noProof/>
          <w:lang w:val="en-US"/>
        </w:rPr>
        <w:t>134</w:t>
      </w:r>
      <w:r w:rsidRPr="002B4FD9">
        <w:rPr>
          <w:rFonts w:ascii="Cambria" w:hAnsi="Cambria"/>
          <w:noProof/>
          <w:lang w:val="en-US"/>
        </w:rPr>
        <w:t>, 615–621.</w:t>
      </w:r>
    </w:p>
    <w:p w14:paraId="5AAF7549"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Ruuska SA, Rebetzke GJ, van Herwaarden AF, Richards RA, Fettell NA, Tabe L, Jenkins CLD</w:t>
      </w:r>
      <w:r w:rsidRPr="002B4FD9">
        <w:rPr>
          <w:rFonts w:ascii="Cambria" w:hAnsi="Cambria"/>
          <w:noProof/>
          <w:lang w:val="en-US"/>
        </w:rPr>
        <w:t xml:space="preserve">. 2006. Genotypic variation in water-soluble carbohydrate accumulation in wheat. Functional Plant Biology </w:t>
      </w:r>
      <w:r w:rsidRPr="002B4FD9">
        <w:rPr>
          <w:rFonts w:ascii="Cambria" w:hAnsi="Cambria"/>
          <w:b/>
          <w:bCs/>
          <w:noProof/>
          <w:lang w:val="en-US"/>
        </w:rPr>
        <w:t>33</w:t>
      </w:r>
      <w:r w:rsidRPr="002B4FD9">
        <w:rPr>
          <w:rFonts w:ascii="Cambria" w:hAnsi="Cambria"/>
          <w:noProof/>
          <w:lang w:val="en-US"/>
        </w:rPr>
        <w:t>, 799.</w:t>
      </w:r>
    </w:p>
    <w:p w14:paraId="18335746" w14:textId="112AA52A"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Sage RF, Pearcy RW, Seemann JR</w:t>
      </w:r>
      <w:r w:rsidRPr="002B4FD9">
        <w:rPr>
          <w:rFonts w:ascii="Cambria" w:hAnsi="Cambria"/>
          <w:noProof/>
          <w:lang w:val="en-US"/>
        </w:rPr>
        <w:t>. 1987. The Nitrogen Use Efficiency of C</w:t>
      </w:r>
      <w:r w:rsidRPr="00547041">
        <w:rPr>
          <w:rFonts w:ascii="Cambria" w:hAnsi="Cambria"/>
          <w:noProof/>
          <w:vertAlign w:val="subscript"/>
          <w:lang w:val="en-US"/>
        </w:rPr>
        <w:t>3</w:t>
      </w:r>
      <w:r w:rsidR="00A6754F">
        <w:rPr>
          <w:rFonts w:ascii="Cambria" w:hAnsi="Cambria"/>
          <w:noProof/>
          <w:lang w:val="en-US"/>
        </w:rPr>
        <w:t xml:space="preserve"> and C4 Plants</w:t>
      </w:r>
      <w:r w:rsidRPr="002B4FD9">
        <w:rPr>
          <w:rFonts w:ascii="Cambria" w:hAnsi="Cambria"/>
          <w:noProof/>
          <w:lang w:val="en-US"/>
        </w:rPr>
        <w:t xml:space="preserve">: III. Leaf Nitrogen Effects on the Activity of Carboxylating Enzymes in </w:t>
      </w:r>
      <w:r w:rsidRPr="00547041">
        <w:rPr>
          <w:rFonts w:ascii="Cambria" w:hAnsi="Cambria"/>
          <w:i/>
          <w:noProof/>
          <w:lang w:val="en-US"/>
        </w:rPr>
        <w:t>Chenopodium album</w:t>
      </w:r>
      <w:r w:rsidRPr="002B4FD9">
        <w:rPr>
          <w:rFonts w:ascii="Cambria" w:hAnsi="Cambria"/>
          <w:noProof/>
          <w:lang w:val="en-US"/>
        </w:rPr>
        <w:t xml:space="preserve"> (L.) and </w:t>
      </w:r>
      <w:r w:rsidRPr="00547041">
        <w:rPr>
          <w:rFonts w:ascii="Cambria" w:hAnsi="Cambria"/>
          <w:i/>
          <w:noProof/>
          <w:lang w:val="en-US"/>
        </w:rPr>
        <w:t xml:space="preserve">Amaranthus retroflexus </w:t>
      </w:r>
      <w:r w:rsidRPr="002B4FD9">
        <w:rPr>
          <w:rFonts w:ascii="Cambria" w:hAnsi="Cambria"/>
          <w:noProof/>
          <w:lang w:val="en-US"/>
        </w:rPr>
        <w:t xml:space="preserve">(L.). Plant Physiology </w:t>
      </w:r>
      <w:r w:rsidRPr="002B4FD9">
        <w:rPr>
          <w:rFonts w:ascii="Cambria" w:hAnsi="Cambria"/>
          <w:b/>
          <w:bCs/>
          <w:noProof/>
          <w:lang w:val="en-US"/>
        </w:rPr>
        <w:t>85</w:t>
      </w:r>
      <w:r w:rsidRPr="002B4FD9">
        <w:rPr>
          <w:rFonts w:ascii="Cambria" w:hAnsi="Cambria"/>
          <w:noProof/>
          <w:lang w:val="en-US"/>
        </w:rPr>
        <w:t>, 355–359.</w:t>
      </w:r>
    </w:p>
    <w:p w14:paraId="04A7E589"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Sakakibara H, Takei K, Hirose N</w:t>
      </w:r>
      <w:r w:rsidRPr="002B4FD9">
        <w:rPr>
          <w:rFonts w:ascii="Cambria" w:hAnsi="Cambria"/>
          <w:noProof/>
          <w:lang w:val="en-US"/>
        </w:rPr>
        <w:t xml:space="preserve">. 2006. Interactions between nitrogen and cytokinin in the regulation of metabolism and development. Trends in Plant Science </w:t>
      </w:r>
      <w:r w:rsidRPr="002B4FD9">
        <w:rPr>
          <w:rFonts w:ascii="Cambria" w:hAnsi="Cambria"/>
          <w:b/>
          <w:bCs/>
          <w:noProof/>
          <w:lang w:val="en-US"/>
        </w:rPr>
        <w:t>11</w:t>
      </w:r>
      <w:r w:rsidRPr="002B4FD9">
        <w:rPr>
          <w:rFonts w:ascii="Cambria" w:hAnsi="Cambria"/>
          <w:noProof/>
          <w:lang w:val="en-US"/>
        </w:rPr>
        <w:t>, 440–448.</w:t>
      </w:r>
    </w:p>
    <w:p w14:paraId="381D68B9" w14:textId="6EA23225"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Sanchez-Bragado R, Molero G, Reynolds MP, Araus JL</w:t>
      </w:r>
      <w:r w:rsidRPr="002B4FD9">
        <w:rPr>
          <w:rFonts w:ascii="Cambria" w:hAnsi="Cambria"/>
          <w:noProof/>
          <w:lang w:val="en-US"/>
        </w:rPr>
        <w:t>. 2014. Relative contribution of shoot and ear photosynthesis to grain filling in wheat under good agronomical conditions asse</w:t>
      </w:r>
      <w:r w:rsidR="00547041">
        <w:rPr>
          <w:rFonts w:ascii="Cambria" w:hAnsi="Cambria"/>
          <w:noProof/>
          <w:lang w:val="en-US"/>
        </w:rPr>
        <w:t>ssed by differential organ δ</w:t>
      </w:r>
      <w:r w:rsidR="00547041" w:rsidRPr="00547041">
        <w:rPr>
          <w:rFonts w:ascii="Cambria" w:hAnsi="Cambria"/>
          <w:noProof/>
          <w:vertAlign w:val="superscript"/>
          <w:lang w:val="en-US"/>
        </w:rPr>
        <w:t>13</w:t>
      </w:r>
      <w:r w:rsidRPr="002B4FD9">
        <w:rPr>
          <w:rFonts w:ascii="Cambria" w:hAnsi="Cambria"/>
          <w:noProof/>
          <w:lang w:val="en-US"/>
        </w:rPr>
        <w:t xml:space="preserve">C. </w:t>
      </w:r>
      <w:r w:rsidRPr="002B4FD9">
        <w:rPr>
          <w:rFonts w:ascii="Cambria" w:hAnsi="Cambria"/>
          <w:b/>
          <w:bCs/>
          <w:noProof/>
          <w:lang w:val="en-US"/>
        </w:rPr>
        <w:t>65</w:t>
      </w:r>
      <w:r w:rsidRPr="002B4FD9">
        <w:rPr>
          <w:rFonts w:ascii="Cambria" w:hAnsi="Cambria"/>
          <w:noProof/>
          <w:lang w:val="en-US"/>
        </w:rPr>
        <w:t>, 5401–5413.</w:t>
      </w:r>
    </w:p>
    <w:p w14:paraId="5B4764A3"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Sandve SR, Kosmala A, Rudi H, Fjellheim S, Rapacz M, Yamada T, Rognli OA</w:t>
      </w:r>
      <w:r w:rsidRPr="002B4FD9">
        <w:rPr>
          <w:rFonts w:ascii="Cambria" w:hAnsi="Cambria"/>
          <w:noProof/>
          <w:lang w:val="en-US"/>
        </w:rPr>
        <w:t xml:space="preserve">. 2011. Molecular mechanisms underlying frost tolerance in perennial grasses adapted to cold climates. Plant Science </w:t>
      </w:r>
      <w:r w:rsidRPr="002B4FD9">
        <w:rPr>
          <w:rFonts w:ascii="Cambria" w:hAnsi="Cambria"/>
          <w:b/>
          <w:bCs/>
          <w:noProof/>
          <w:lang w:val="en-US"/>
        </w:rPr>
        <w:t>180</w:t>
      </w:r>
      <w:r w:rsidRPr="002B4FD9">
        <w:rPr>
          <w:rFonts w:ascii="Cambria" w:hAnsi="Cambria"/>
          <w:noProof/>
          <w:lang w:val="en-US"/>
        </w:rPr>
        <w:t>, 69–77.</w:t>
      </w:r>
    </w:p>
    <w:p w14:paraId="5CEC9C7A"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Sang T</w:t>
      </w:r>
      <w:r w:rsidRPr="002B4FD9">
        <w:rPr>
          <w:rFonts w:ascii="Cambria" w:hAnsi="Cambria"/>
          <w:noProof/>
          <w:lang w:val="en-US"/>
        </w:rPr>
        <w:t xml:space="preserve">. 2009. Genes and mutations underlying domestication transitions in grasses. Plant Physiology </w:t>
      </w:r>
      <w:r w:rsidRPr="002B4FD9">
        <w:rPr>
          <w:rFonts w:ascii="Cambria" w:hAnsi="Cambria"/>
          <w:b/>
          <w:bCs/>
          <w:noProof/>
          <w:lang w:val="en-US"/>
        </w:rPr>
        <w:t>149</w:t>
      </w:r>
      <w:r w:rsidRPr="002B4FD9">
        <w:rPr>
          <w:rFonts w:ascii="Cambria" w:hAnsi="Cambria"/>
          <w:noProof/>
          <w:lang w:val="en-US"/>
        </w:rPr>
        <w:t>, 63–70.</w:t>
      </w:r>
    </w:p>
    <w:p w14:paraId="7C3BD74C"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Santa-Maria GE, Moriconi JI, Oliferuk S</w:t>
      </w:r>
      <w:r w:rsidRPr="002B4FD9">
        <w:rPr>
          <w:rFonts w:ascii="Cambria" w:hAnsi="Cambria"/>
          <w:noProof/>
          <w:lang w:val="en-US"/>
        </w:rPr>
        <w:t xml:space="preserve">. 2015. Internal efficiency of nutrient utilization: what is it and how to measure it during vegetative plant growth? Journal of Experimental Botany </w:t>
      </w:r>
      <w:r w:rsidRPr="002B4FD9">
        <w:rPr>
          <w:rFonts w:ascii="Cambria" w:hAnsi="Cambria"/>
          <w:b/>
          <w:bCs/>
          <w:noProof/>
          <w:lang w:val="en-US"/>
        </w:rPr>
        <w:t>66</w:t>
      </w:r>
      <w:r w:rsidRPr="002B4FD9">
        <w:rPr>
          <w:rFonts w:ascii="Cambria" w:hAnsi="Cambria"/>
          <w:noProof/>
          <w:lang w:val="en-US"/>
        </w:rPr>
        <w:t>, 3011–3018.</w:t>
      </w:r>
    </w:p>
    <w:p w14:paraId="1EBF7CCA"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Schnyder H</w:t>
      </w:r>
      <w:r w:rsidRPr="002B4FD9">
        <w:rPr>
          <w:rFonts w:ascii="Cambria" w:hAnsi="Cambria"/>
          <w:noProof/>
          <w:lang w:val="en-US"/>
        </w:rPr>
        <w:t xml:space="preserve">. 1993. The role of carbohydrate storage and redistribution in the source-sink relations of wheat and barley during grain filling - a review. New Phytologist </w:t>
      </w:r>
      <w:r w:rsidRPr="002B4FD9">
        <w:rPr>
          <w:rFonts w:ascii="Cambria" w:hAnsi="Cambria"/>
          <w:b/>
          <w:bCs/>
          <w:noProof/>
          <w:lang w:val="en-US"/>
        </w:rPr>
        <w:t>123</w:t>
      </w:r>
      <w:r w:rsidRPr="002B4FD9">
        <w:rPr>
          <w:rFonts w:ascii="Cambria" w:hAnsi="Cambria"/>
          <w:noProof/>
          <w:lang w:val="en-US"/>
        </w:rPr>
        <w:t>, 233–245.</w:t>
      </w:r>
    </w:p>
    <w:p w14:paraId="332326BA"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Scofield GN, Ruuska SA, Aoki N, Lewis DC, Tabe LM, Jenkins CLD</w:t>
      </w:r>
      <w:r w:rsidRPr="002B4FD9">
        <w:rPr>
          <w:rFonts w:ascii="Cambria" w:hAnsi="Cambria"/>
          <w:noProof/>
          <w:lang w:val="en-US"/>
        </w:rPr>
        <w:t xml:space="preserve">. 2009. Starch storage in the stems of wheat plants: localization and temporal changes. Annals of Botany </w:t>
      </w:r>
      <w:r w:rsidRPr="002B4FD9">
        <w:rPr>
          <w:rFonts w:ascii="Cambria" w:hAnsi="Cambria"/>
          <w:b/>
          <w:bCs/>
          <w:noProof/>
          <w:lang w:val="en-US"/>
        </w:rPr>
        <w:t>103</w:t>
      </w:r>
      <w:r w:rsidRPr="002B4FD9">
        <w:rPr>
          <w:rFonts w:ascii="Cambria" w:hAnsi="Cambria"/>
          <w:noProof/>
          <w:lang w:val="en-US"/>
        </w:rPr>
        <w:t>, 859–68.</w:t>
      </w:r>
    </w:p>
    <w:p w14:paraId="66918323"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Serrago RA, Alzueta I, Savin R, Slafer GA</w:t>
      </w:r>
      <w:r w:rsidRPr="002B4FD9">
        <w:rPr>
          <w:rFonts w:ascii="Cambria" w:hAnsi="Cambria"/>
          <w:noProof/>
          <w:lang w:val="en-US"/>
        </w:rPr>
        <w:t xml:space="preserve">. 2013. Understanding grain yield responses to source–sink ratios during grain filling in wheat and barley under contrasting environments. Field Crops Research </w:t>
      </w:r>
      <w:r w:rsidRPr="002B4FD9">
        <w:rPr>
          <w:rFonts w:ascii="Cambria" w:hAnsi="Cambria"/>
          <w:b/>
          <w:bCs/>
          <w:noProof/>
          <w:lang w:val="en-US"/>
        </w:rPr>
        <w:t>150</w:t>
      </w:r>
      <w:r w:rsidRPr="002B4FD9">
        <w:rPr>
          <w:rFonts w:ascii="Cambria" w:hAnsi="Cambria"/>
          <w:noProof/>
          <w:lang w:val="en-US"/>
        </w:rPr>
        <w:t>, 42–51.</w:t>
      </w:r>
    </w:p>
    <w:p w14:paraId="7760C02F"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Sharkey TD, Bernacchi CJ, Farquhar GD, Singsaas EL</w:t>
      </w:r>
      <w:r w:rsidRPr="002B4FD9">
        <w:rPr>
          <w:rFonts w:ascii="Cambria" w:hAnsi="Cambria"/>
          <w:noProof/>
          <w:lang w:val="en-US"/>
        </w:rPr>
        <w:t>. 2007. Fitting photosynthetic carbon dioxide response curves for C</w:t>
      </w:r>
      <w:r w:rsidRPr="00547041">
        <w:rPr>
          <w:rFonts w:ascii="Cambria" w:hAnsi="Cambria"/>
          <w:noProof/>
          <w:vertAlign w:val="subscript"/>
          <w:lang w:val="en-US"/>
        </w:rPr>
        <w:t>3</w:t>
      </w:r>
      <w:r w:rsidRPr="002B4FD9">
        <w:rPr>
          <w:rFonts w:ascii="Cambria" w:hAnsi="Cambria"/>
          <w:noProof/>
          <w:lang w:val="en-US"/>
        </w:rPr>
        <w:t xml:space="preserve"> leaves. Plant, Cell &amp; Environment </w:t>
      </w:r>
      <w:r w:rsidRPr="002B4FD9">
        <w:rPr>
          <w:rFonts w:ascii="Cambria" w:hAnsi="Cambria"/>
          <w:b/>
          <w:bCs/>
          <w:noProof/>
          <w:lang w:val="en-US"/>
        </w:rPr>
        <w:t>30</w:t>
      </w:r>
      <w:r w:rsidRPr="002B4FD9">
        <w:rPr>
          <w:rFonts w:ascii="Cambria" w:hAnsi="Cambria"/>
          <w:noProof/>
          <w:lang w:val="en-US"/>
        </w:rPr>
        <w:t>, 1035–40.</w:t>
      </w:r>
    </w:p>
    <w:p w14:paraId="55B9CF8C"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Sheen J</w:t>
      </w:r>
      <w:r w:rsidRPr="002B4FD9">
        <w:rPr>
          <w:rFonts w:ascii="Cambria" w:hAnsi="Cambria"/>
          <w:noProof/>
          <w:lang w:val="en-US"/>
        </w:rPr>
        <w:t xml:space="preserve">. 1990. Metabolic Repression of Transcription in Higher Plants. The Plant Cell </w:t>
      </w:r>
      <w:r w:rsidRPr="002B4FD9">
        <w:rPr>
          <w:rFonts w:ascii="Cambria" w:hAnsi="Cambria"/>
          <w:b/>
          <w:bCs/>
          <w:noProof/>
          <w:lang w:val="en-US"/>
        </w:rPr>
        <w:t>2</w:t>
      </w:r>
      <w:r w:rsidRPr="002B4FD9">
        <w:rPr>
          <w:rFonts w:ascii="Cambria" w:hAnsi="Cambria"/>
          <w:noProof/>
          <w:lang w:val="en-US"/>
        </w:rPr>
        <w:t>, 1027–1038.</w:t>
      </w:r>
    </w:p>
    <w:p w14:paraId="545C0D18"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Shewry PR</w:t>
      </w:r>
      <w:r w:rsidRPr="002B4FD9">
        <w:rPr>
          <w:rFonts w:ascii="Cambria" w:hAnsi="Cambria"/>
          <w:noProof/>
          <w:lang w:val="en-US"/>
        </w:rPr>
        <w:t xml:space="preserve">. 1995. Plant storage proteins. Biological Reviews of the Cambridge Philosophical Society </w:t>
      </w:r>
      <w:r w:rsidRPr="002B4FD9">
        <w:rPr>
          <w:rFonts w:ascii="Cambria" w:hAnsi="Cambria"/>
          <w:b/>
          <w:bCs/>
          <w:noProof/>
          <w:lang w:val="en-US"/>
        </w:rPr>
        <w:t>70</w:t>
      </w:r>
      <w:r w:rsidRPr="002B4FD9">
        <w:rPr>
          <w:rFonts w:ascii="Cambria" w:hAnsi="Cambria"/>
          <w:noProof/>
          <w:lang w:val="en-US"/>
        </w:rPr>
        <w:t>, 375–426.</w:t>
      </w:r>
    </w:p>
    <w:p w14:paraId="6A6F2663"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Shishkova S, Rost TL, Dubrovsky JG</w:t>
      </w:r>
      <w:r w:rsidRPr="002B4FD9">
        <w:rPr>
          <w:rFonts w:ascii="Cambria" w:hAnsi="Cambria"/>
          <w:noProof/>
          <w:lang w:val="en-US"/>
        </w:rPr>
        <w:t xml:space="preserve">. 2008. Determinate root growth and meristem maintenance in angiosperms. Annals of Botany </w:t>
      </w:r>
      <w:r w:rsidRPr="002B4FD9">
        <w:rPr>
          <w:rFonts w:ascii="Cambria" w:hAnsi="Cambria"/>
          <w:b/>
          <w:bCs/>
          <w:noProof/>
          <w:lang w:val="en-US"/>
        </w:rPr>
        <w:t>101</w:t>
      </w:r>
      <w:r w:rsidRPr="002B4FD9">
        <w:rPr>
          <w:rFonts w:ascii="Cambria" w:hAnsi="Cambria"/>
          <w:noProof/>
          <w:lang w:val="en-US"/>
        </w:rPr>
        <w:t>, 319–40.</w:t>
      </w:r>
    </w:p>
    <w:p w14:paraId="4520878B"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 xml:space="preserve">Sitch S, Smith B, Prentice IC, </w:t>
      </w:r>
      <w:r w:rsidRPr="002B4FD9">
        <w:rPr>
          <w:rFonts w:ascii="Cambria" w:hAnsi="Cambria"/>
          <w:b/>
          <w:bCs/>
          <w:i/>
          <w:iCs/>
          <w:noProof/>
          <w:lang w:val="en-US"/>
        </w:rPr>
        <w:t>et al.</w:t>
      </w:r>
      <w:r w:rsidRPr="002B4FD9">
        <w:rPr>
          <w:rFonts w:ascii="Cambria" w:hAnsi="Cambria"/>
          <w:noProof/>
          <w:lang w:val="en-US"/>
        </w:rPr>
        <w:t xml:space="preserve"> 2003. Evaluation of ecosystem dynamics, plant geography and terrestrial carbon cycling in the LPJ dynamic global vegetation model. Global Change Biology </w:t>
      </w:r>
      <w:r w:rsidRPr="002B4FD9">
        <w:rPr>
          <w:rFonts w:ascii="Cambria" w:hAnsi="Cambria"/>
          <w:b/>
          <w:bCs/>
          <w:noProof/>
          <w:lang w:val="en-US"/>
        </w:rPr>
        <w:t>9</w:t>
      </w:r>
      <w:r w:rsidRPr="002B4FD9">
        <w:rPr>
          <w:rFonts w:ascii="Cambria" w:hAnsi="Cambria"/>
          <w:noProof/>
          <w:lang w:val="en-US"/>
        </w:rPr>
        <w:t>, 161–185.</w:t>
      </w:r>
    </w:p>
    <w:p w14:paraId="0BFCC8B3" w14:textId="77777777" w:rsid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Slewinski TL</w:t>
      </w:r>
      <w:r w:rsidRPr="002B4FD9">
        <w:rPr>
          <w:rFonts w:ascii="Cambria" w:hAnsi="Cambria"/>
          <w:noProof/>
          <w:lang w:val="en-US"/>
        </w:rPr>
        <w:t xml:space="preserve">. 2012. Non-structural carbohydrate partitioning in grass stems: a target to increase yield stability, stress tolerance, and biofuel production. Journal of Experimental Botany </w:t>
      </w:r>
      <w:r w:rsidRPr="002B4FD9">
        <w:rPr>
          <w:rFonts w:ascii="Cambria" w:hAnsi="Cambria"/>
          <w:b/>
          <w:bCs/>
          <w:noProof/>
          <w:lang w:val="en-US"/>
        </w:rPr>
        <w:t>63</w:t>
      </w:r>
      <w:r w:rsidRPr="002B4FD9">
        <w:rPr>
          <w:rFonts w:ascii="Cambria" w:hAnsi="Cambria"/>
          <w:noProof/>
          <w:lang w:val="en-US"/>
        </w:rPr>
        <w:t>, 4647–70.</w:t>
      </w:r>
    </w:p>
    <w:p w14:paraId="0A655A96" w14:textId="507C77FC" w:rsidR="00212DAC" w:rsidRDefault="00212DAC" w:rsidP="002D6D6A">
      <w:pPr>
        <w:widowControl w:val="0"/>
        <w:autoSpaceDE w:val="0"/>
        <w:autoSpaceDN w:val="0"/>
        <w:adjustRightInd w:val="0"/>
        <w:spacing w:line="276" w:lineRule="auto"/>
        <w:jc w:val="both"/>
        <w:rPr>
          <w:rFonts w:ascii="Cambria" w:hAnsi="Cambria"/>
          <w:noProof/>
          <w:lang w:val="en-US"/>
        </w:rPr>
      </w:pPr>
      <w:r w:rsidRPr="001D1494">
        <w:rPr>
          <w:rFonts w:ascii="Cambria" w:hAnsi="Cambria"/>
          <w:b/>
          <w:bCs/>
          <w:noProof/>
          <w:lang w:val="en-US"/>
        </w:rPr>
        <w:t>Smeekens S, Ma J, Hanson J, Rolland F</w:t>
      </w:r>
      <w:r w:rsidRPr="001D1494">
        <w:rPr>
          <w:rFonts w:ascii="Cambria" w:hAnsi="Cambria"/>
          <w:noProof/>
          <w:lang w:val="en-US"/>
        </w:rPr>
        <w:t xml:space="preserve">. 2010. Sugar signals and molecular networks controlling plant growth. Current Opinion in Plant Biology </w:t>
      </w:r>
      <w:r w:rsidRPr="001D1494">
        <w:rPr>
          <w:rFonts w:ascii="Cambria" w:hAnsi="Cambria"/>
          <w:b/>
          <w:bCs/>
          <w:noProof/>
          <w:lang w:val="en-US"/>
        </w:rPr>
        <w:t>13</w:t>
      </w:r>
      <w:r w:rsidRPr="001D1494">
        <w:rPr>
          <w:rFonts w:ascii="Cambria" w:hAnsi="Cambria"/>
          <w:noProof/>
          <w:lang w:val="en-US"/>
        </w:rPr>
        <w:t>, 274–9.</w:t>
      </w:r>
    </w:p>
    <w:p w14:paraId="5213D5FD" w14:textId="77777777" w:rsidR="00212DAC" w:rsidRPr="00212DAC" w:rsidRDefault="00212DAC" w:rsidP="002D6D6A">
      <w:pPr>
        <w:widowControl w:val="0"/>
        <w:autoSpaceDE w:val="0"/>
        <w:autoSpaceDN w:val="0"/>
        <w:adjustRightInd w:val="0"/>
        <w:spacing w:line="276" w:lineRule="auto"/>
        <w:jc w:val="both"/>
        <w:rPr>
          <w:rFonts w:ascii="Cambria" w:hAnsi="Cambria"/>
          <w:noProof/>
          <w:sz w:val="16"/>
          <w:szCs w:val="16"/>
          <w:lang w:val="en-US"/>
        </w:rPr>
      </w:pPr>
    </w:p>
    <w:p w14:paraId="7BAC2F66"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Smith AM</w:t>
      </w:r>
      <w:r w:rsidRPr="002B4FD9">
        <w:rPr>
          <w:rFonts w:ascii="Cambria" w:hAnsi="Cambria"/>
          <w:noProof/>
          <w:lang w:val="en-US"/>
        </w:rPr>
        <w:t xml:space="preserve">. 2012. Starch in the </w:t>
      </w:r>
      <w:r w:rsidRPr="002D6D6A">
        <w:rPr>
          <w:rFonts w:ascii="Cambria" w:hAnsi="Cambria"/>
          <w:i/>
          <w:noProof/>
          <w:lang w:val="en-US"/>
        </w:rPr>
        <w:t>Arabidopsis</w:t>
      </w:r>
      <w:r w:rsidRPr="002B4FD9">
        <w:rPr>
          <w:rFonts w:ascii="Cambria" w:hAnsi="Cambria"/>
          <w:noProof/>
          <w:lang w:val="en-US"/>
        </w:rPr>
        <w:t xml:space="preserve"> plant. Starch/Stärke </w:t>
      </w:r>
      <w:r w:rsidRPr="002B4FD9">
        <w:rPr>
          <w:rFonts w:ascii="Cambria" w:hAnsi="Cambria"/>
          <w:b/>
          <w:bCs/>
          <w:noProof/>
          <w:lang w:val="en-US"/>
        </w:rPr>
        <w:t>64</w:t>
      </w:r>
      <w:r w:rsidRPr="002B4FD9">
        <w:rPr>
          <w:rFonts w:ascii="Cambria" w:hAnsi="Cambria"/>
          <w:noProof/>
          <w:lang w:val="en-US"/>
        </w:rPr>
        <w:t>, 421–434.</w:t>
      </w:r>
    </w:p>
    <w:p w14:paraId="17A35AFC"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Smith AM, Stitt M</w:t>
      </w:r>
      <w:r w:rsidRPr="002B4FD9">
        <w:rPr>
          <w:rFonts w:ascii="Cambria" w:hAnsi="Cambria"/>
          <w:noProof/>
          <w:lang w:val="en-US"/>
        </w:rPr>
        <w:t xml:space="preserve">. 2007. Coordination of carbon supply and plant growth. Plant, Cell &amp; Environment </w:t>
      </w:r>
      <w:r w:rsidRPr="002B4FD9">
        <w:rPr>
          <w:rFonts w:ascii="Cambria" w:hAnsi="Cambria"/>
          <w:b/>
          <w:bCs/>
          <w:noProof/>
          <w:lang w:val="en-US"/>
        </w:rPr>
        <w:t>30</w:t>
      </w:r>
      <w:r w:rsidRPr="002B4FD9">
        <w:rPr>
          <w:rFonts w:ascii="Cambria" w:hAnsi="Cambria"/>
          <w:noProof/>
          <w:lang w:val="en-US"/>
        </w:rPr>
        <w:t>, 1126–49.</w:t>
      </w:r>
    </w:p>
    <w:p w14:paraId="70E643FE"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Spreitzer RJ, Salvucci ME</w:t>
      </w:r>
      <w:r w:rsidRPr="002B4FD9">
        <w:rPr>
          <w:rFonts w:ascii="Cambria" w:hAnsi="Cambria"/>
          <w:noProof/>
          <w:lang w:val="en-US"/>
        </w:rPr>
        <w:t xml:space="preserve">. 2002. Rubisco: structure, regulatory interactions, and possibilities for a better enzyme. Annual Review of Plant Biology </w:t>
      </w:r>
      <w:r w:rsidRPr="002B4FD9">
        <w:rPr>
          <w:rFonts w:ascii="Cambria" w:hAnsi="Cambria"/>
          <w:b/>
          <w:bCs/>
          <w:noProof/>
          <w:lang w:val="en-US"/>
        </w:rPr>
        <w:t>53</w:t>
      </w:r>
      <w:r w:rsidRPr="002B4FD9">
        <w:rPr>
          <w:rFonts w:ascii="Cambria" w:hAnsi="Cambria"/>
          <w:noProof/>
          <w:lang w:val="en-US"/>
        </w:rPr>
        <w:t>, 449–75.</w:t>
      </w:r>
    </w:p>
    <w:p w14:paraId="4CCB6E4B"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Sreenivasulu N, Schnurbusch T</w:t>
      </w:r>
      <w:r w:rsidRPr="002B4FD9">
        <w:rPr>
          <w:rFonts w:ascii="Cambria" w:hAnsi="Cambria"/>
          <w:noProof/>
          <w:lang w:val="en-US"/>
        </w:rPr>
        <w:t xml:space="preserve">. 2012. A genetic playground for enhancing grain number in cereals. Trends in Plant Science </w:t>
      </w:r>
      <w:r w:rsidRPr="002B4FD9">
        <w:rPr>
          <w:rFonts w:ascii="Cambria" w:hAnsi="Cambria"/>
          <w:b/>
          <w:bCs/>
          <w:noProof/>
          <w:lang w:val="en-US"/>
        </w:rPr>
        <w:t>17</w:t>
      </w:r>
      <w:r w:rsidRPr="002B4FD9">
        <w:rPr>
          <w:rFonts w:ascii="Cambria" w:hAnsi="Cambria"/>
          <w:noProof/>
          <w:lang w:val="en-US"/>
        </w:rPr>
        <w:t>, 91–101.</w:t>
      </w:r>
    </w:p>
    <w:p w14:paraId="33531960"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Staswick PE</w:t>
      </w:r>
      <w:r w:rsidRPr="002B4FD9">
        <w:rPr>
          <w:rFonts w:ascii="Cambria" w:hAnsi="Cambria"/>
          <w:noProof/>
          <w:lang w:val="en-US"/>
        </w:rPr>
        <w:t xml:space="preserve">. 1990. Novel Regulation of Vegetative Storage Protein Genes. The Plant Cell </w:t>
      </w:r>
      <w:r w:rsidRPr="002B4FD9">
        <w:rPr>
          <w:rFonts w:ascii="Cambria" w:hAnsi="Cambria"/>
          <w:b/>
          <w:bCs/>
          <w:noProof/>
          <w:lang w:val="en-US"/>
        </w:rPr>
        <w:t>2</w:t>
      </w:r>
      <w:r w:rsidRPr="002B4FD9">
        <w:rPr>
          <w:rFonts w:ascii="Cambria" w:hAnsi="Cambria"/>
          <w:noProof/>
          <w:lang w:val="en-US"/>
        </w:rPr>
        <w:t>, 1–6.</w:t>
      </w:r>
    </w:p>
    <w:p w14:paraId="16014175"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Stitt M</w:t>
      </w:r>
      <w:r w:rsidRPr="002B4FD9">
        <w:rPr>
          <w:rFonts w:ascii="Cambria" w:hAnsi="Cambria"/>
          <w:noProof/>
          <w:lang w:val="en-US"/>
        </w:rPr>
        <w:t>. 1991. Rising CO</w:t>
      </w:r>
      <w:r w:rsidRPr="002D6D6A">
        <w:rPr>
          <w:rFonts w:ascii="Cambria" w:hAnsi="Cambria"/>
          <w:noProof/>
          <w:vertAlign w:val="subscript"/>
          <w:lang w:val="en-US"/>
        </w:rPr>
        <w:t>2</w:t>
      </w:r>
      <w:r w:rsidRPr="002B4FD9">
        <w:rPr>
          <w:rFonts w:ascii="Cambria" w:hAnsi="Cambria"/>
          <w:noProof/>
          <w:lang w:val="en-US"/>
        </w:rPr>
        <w:t xml:space="preserve"> levels and their potential significance for carbon flow in photosynthetic cells. Plant, Cell and Environment, 741–762.</w:t>
      </w:r>
    </w:p>
    <w:p w14:paraId="4938E737"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Stitt M, Krapp A</w:t>
      </w:r>
      <w:r w:rsidRPr="002B4FD9">
        <w:rPr>
          <w:rFonts w:ascii="Cambria" w:hAnsi="Cambria"/>
          <w:noProof/>
          <w:lang w:val="en-US"/>
        </w:rPr>
        <w:t xml:space="preserve">. 1999. The interaction between elevated carbon dioxide and nitrogen nutrition: the physiological and molecular background. Plant, Cell &amp; Environment </w:t>
      </w:r>
      <w:r w:rsidRPr="002B4FD9">
        <w:rPr>
          <w:rFonts w:ascii="Cambria" w:hAnsi="Cambria"/>
          <w:b/>
          <w:bCs/>
          <w:noProof/>
          <w:lang w:val="en-US"/>
        </w:rPr>
        <w:t>22</w:t>
      </w:r>
      <w:r w:rsidRPr="002B4FD9">
        <w:rPr>
          <w:rFonts w:ascii="Cambria" w:hAnsi="Cambria"/>
          <w:noProof/>
          <w:lang w:val="en-US"/>
        </w:rPr>
        <w:t>, 583–621.</w:t>
      </w:r>
    </w:p>
    <w:p w14:paraId="270B0E49"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Stitt M, Zeeman SC</w:t>
      </w:r>
      <w:r w:rsidRPr="002B4FD9">
        <w:rPr>
          <w:rFonts w:ascii="Cambria" w:hAnsi="Cambria"/>
          <w:noProof/>
          <w:lang w:val="en-US"/>
        </w:rPr>
        <w:t xml:space="preserve">. 2012. Starch turnover: pathways, regulation and role in growth. Current Opinion in Plant Biology </w:t>
      </w:r>
      <w:r w:rsidRPr="002B4FD9">
        <w:rPr>
          <w:rFonts w:ascii="Cambria" w:hAnsi="Cambria"/>
          <w:b/>
          <w:bCs/>
          <w:noProof/>
          <w:lang w:val="en-US"/>
        </w:rPr>
        <w:t>15</w:t>
      </w:r>
      <w:r w:rsidRPr="002B4FD9">
        <w:rPr>
          <w:rFonts w:ascii="Cambria" w:hAnsi="Cambria"/>
          <w:noProof/>
          <w:lang w:val="en-US"/>
        </w:rPr>
        <w:t>, 282–92.</w:t>
      </w:r>
    </w:p>
    <w:p w14:paraId="6E2FD02C"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Stokes ME, Chattopadhyay A, Wilkins O, Nambara E, Campbell MM</w:t>
      </w:r>
      <w:r w:rsidRPr="002B4FD9">
        <w:rPr>
          <w:rFonts w:ascii="Cambria" w:hAnsi="Cambria"/>
          <w:noProof/>
          <w:lang w:val="en-US"/>
        </w:rPr>
        <w:t xml:space="preserve">. 2013. Interplay between sucrose and folate modulates auxin signalling in </w:t>
      </w:r>
      <w:r w:rsidRPr="002D6D6A">
        <w:rPr>
          <w:rFonts w:ascii="Cambria" w:hAnsi="Cambria"/>
          <w:i/>
          <w:noProof/>
          <w:lang w:val="en-US"/>
        </w:rPr>
        <w:t>Arabidopsis</w:t>
      </w:r>
      <w:r w:rsidRPr="002B4FD9">
        <w:rPr>
          <w:rFonts w:ascii="Cambria" w:hAnsi="Cambria"/>
          <w:noProof/>
          <w:lang w:val="en-US"/>
        </w:rPr>
        <w:t xml:space="preserve">. Plant Physiology </w:t>
      </w:r>
      <w:r w:rsidRPr="002B4FD9">
        <w:rPr>
          <w:rFonts w:ascii="Cambria" w:hAnsi="Cambria"/>
          <w:b/>
          <w:bCs/>
          <w:noProof/>
          <w:lang w:val="en-US"/>
        </w:rPr>
        <w:t>162</w:t>
      </w:r>
      <w:r w:rsidRPr="002B4FD9">
        <w:rPr>
          <w:rFonts w:ascii="Cambria" w:hAnsi="Cambria"/>
          <w:noProof/>
          <w:lang w:val="en-US"/>
        </w:rPr>
        <w:t>, 1552–1565.</w:t>
      </w:r>
    </w:p>
    <w:p w14:paraId="3B521707"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Su Y-H, Liu Y-B, Zhang X-S</w:t>
      </w:r>
      <w:r w:rsidRPr="002B4FD9">
        <w:rPr>
          <w:rFonts w:ascii="Cambria" w:hAnsi="Cambria"/>
          <w:noProof/>
          <w:lang w:val="en-US"/>
        </w:rPr>
        <w:t xml:space="preserve">. 2011. Auxin-cytokinin interaction regulates meristem development. Molecular Plant </w:t>
      </w:r>
      <w:r w:rsidRPr="002B4FD9">
        <w:rPr>
          <w:rFonts w:ascii="Cambria" w:hAnsi="Cambria"/>
          <w:b/>
          <w:bCs/>
          <w:noProof/>
          <w:lang w:val="en-US"/>
        </w:rPr>
        <w:t>4</w:t>
      </w:r>
      <w:r w:rsidRPr="002B4FD9">
        <w:rPr>
          <w:rFonts w:ascii="Cambria" w:hAnsi="Cambria"/>
          <w:noProof/>
          <w:lang w:val="en-US"/>
        </w:rPr>
        <w:t>, 616–25.</w:t>
      </w:r>
    </w:p>
    <w:p w14:paraId="574A48E0"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Sulpice R, Pyl E, Ishihara H, Trenkamp S, Steinfath M, Witucka-wall H, Korff M Von, Caroline M, Gibon Y, Stitt M</w:t>
      </w:r>
      <w:r w:rsidRPr="002B4FD9">
        <w:rPr>
          <w:rFonts w:ascii="Cambria" w:hAnsi="Cambria"/>
          <w:noProof/>
          <w:lang w:val="en-US"/>
        </w:rPr>
        <w:t xml:space="preserve">. 2009. Starch as a major integrator in the regulation of plant growth. Proceedings of the National Academy of Sciences of the United States of America </w:t>
      </w:r>
      <w:r w:rsidRPr="002B4FD9">
        <w:rPr>
          <w:rFonts w:ascii="Cambria" w:hAnsi="Cambria"/>
          <w:b/>
          <w:bCs/>
          <w:noProof/>
          <w:lang w:val="en-US"/>
        </w:rPr>
        <w:t>106</w:t>
      </w:r>
      <w:r w:rsidRPr="002B4FD9">
        <w:rPr>
          <w:rFonts w:ascii="Cambria" w:hAnsi="Cambria"/>
          <w:noProof/>
          <w:lang w:val="en-US"/>
        </w:rPr>
        <w:t>, 10348–10353.</w:t>
      </w:r>
    </w:p>
    <w:p w14:paraId="57DA9157"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Syngenta Crop Protection</w:t>
      </w:r>
      <w:r w:rsidRPr="002B4FD9">
        <w:rPr>
          <w:rFonts w:ascii="Cambria" w:hAnsi="Cambria"/>
          <w:noProof/>
          <w:lang w:val="en-US"/>
        </w:rPr>
        <w:t xml:space="preserve">. 2011. </w:t>
      </w:r>
      <w:r w:rsidRPr="002B4FD9">
        <w:rPr>
          <w:rFonts w:ascii="Cambria" w:hAnsi="Cambria"/>
          <w:i/>
          <w:iCs/>
          <w:noProof/>
          <w:lang w:val="en-US"/>
        </w:rPr>
        <w:t>NFC Tipple</w:t>
      </w:r>
      <w:r w:rsidRPr="002B4FD9">
        <w:rPr>
          <w:rFonts w:ascii="Cambria" w:hAnsi="Cambria"/>
          <w:noProof/>
          <w:lang w:val="en-US"/>
        </w:rPr>
        <w:t>.</w:t>
      </w:r>
    </w:p>
    <w:p w14:paraId="770699E2"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Taulemesse F, Le Gouis J, Gouache D, Gibon Y, Allard V</w:t>
      </w:r>
      <w:r w:rsidRPr="002B4FD9">
        <w:rPr>
          <w:rFonts w:ascii="Cambria" w:hAnsi="Cambria"/>
          <w:noProof/>
          <w:lang w:val="en-US"/>
        </w:rPr>
        <w:t xml:space="preserve">. 2015. Post-flowering nitrate uptake in wheat is controlled by N Status at Flowering, with a putative major role of root nitrate transporter NRT2.1. PLoS ONE </w:t>
      </w:r>
      <w:r w:rsidRPr="002B4FD9">
        <w:rPr>
          <w:rFonts w:ascii="Cambria" w:hAnsi="Cambria"/>
          <w:b/>
          <w:bCs/>
          <w:noProof/>
          <w:lang w:val="en-US"/>
        </w:rPr>
        <w:t>10</w:t>
      </w:r>
      <w:r w:rsidRPr="002B4FD9">
        <w:rPr>
          <w:rFonts w:ascii="Cambria" w:hAnsi="Cambria"/>
          <w:noProof/>
          <w:lang w:val="en-US"/>
        </w:rPr>
        <w:t>, 1–23.</w:t>
      </w:r>
    </w:p>
    <w:p w14:paraId="534A66CA"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Taylor G, Ranasinghe S, Bosac C, Gardner SDL, Ferris R</w:t>
      </w:r>
      <w:r w:rsidRPr="002B4FD9">
        <w:rPr>
          <w:rFonts w:ascii="Cambria" w:hAnsi="Cambria"/>
          <w:noProof/>
          <w:lang w:val="en-US"/>
        </w:rPr>
        <w:t>. 1994. Elevated CO</w:t>
      </w:r>
      <w:r w:rsidRPr="002D6D6A">
        <w:rPr>
          <w:rFonts w:ascii="Cambria" w:hAnsi="Cambria"/>
          <w:noProof/>
          <w:vertAlign w:val="subscript"/>
          <w:lang w:val="en-US"/>
        </w:rPr>
        <w:t>2</w:t>
      </w:r>
      <w:r w:rsidRPr="002B4FD9">
        <w:rPr>
          <w:rFonts w:ascii="Cambria" w:hAnsi="Cambria"/>
          <w:noProof/>
          <w:lang w:val="en-US"/>
        </w:rPr>
        <w:t xml:space="preserve"> and plant growth : cellular mechanisms and responses of whole plants. Journal of Experimental Botany </w:t>
      </w:r>
      <w:r w:rsidRPr="002B4FD9">
        <w:rPr>
          <w:rFonts w:ascii="Cambria" w:hAnsi="Cambria"/>
          <w:b/>
          <w:bCs/>
          <w:noProof/>
          <w:lang w:val="en-US"/>
        </w:rPr>
        <w:t>45</w:t>
      </w:r>
      <w:r w:rsidRPr="002B4FD9">
        <w:rPr>
          <w:rFonts w:ascii="Cambria" w:hAnsi="Cambria"/>
          <w:noProof/>
          <w:lang w:val="en-US"/>
        </w:rPr>
        <w:t>, 1761–1774.</w:t>
      </w:r>
    </w:p>
    <w:p w14:paraId="68563E9A" w14:textId="77777777" w:rsid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Teng S, Rognoni S, Bentsink L, Smeekens S</w:t>
      </w:r>
      <w:r w:rsidRPr="002B4FD9">
        <w:rPr>
          <w:rFonts w:ascii="Cambria" w:hAnsi="Cambria"/>
          <w:noProof/>
          <w:lang w:val="en-US"/>
        </w:rPr>
        <w:t xml:space="preserve">. 2008. The </w:t>
      </w:r>
      <w:r w:rsidRPr="002D6D6A">
        <w:rPr>
          <w:rFonts w:ascii="Cambria" w:hAnsi="Cambria"/>
          <w:i/>
          <w:noProof/>
          <w:lang w:val="en-US"/>
        </w:rPr>
        <w:t>Arabidopsis</w:t>
      </w:r>
      <w:r w:rsidRPr="002B4FD9">
        <w:rPr>
          <w:rFonts w:ascii="Cambria" w:hAnsi="Cambria"/>
          <w:noProof/>
          <w:lang w:val="en-US"/>
        </w:rPr>
        <w:t xml:space="preserve"> GSQ5/DOG1 Cvi allele is induced by the ABA-mediated sugar signalling pathway, and enhances sugar sensitivity by stimulating ABI4 expression. The Plant Journal </w:t>
      </w:r>
      <w:r w:rsidRPr="002B4FD9">
        <w:rPr>
          <w:rFonts w:ascii="Cambria" w:hAnsi="Cambria"/>
          <w:b/>
          <w:bCs/>
          <w:noProof/>
          <w:lang w:val="en-US"/>
        </w:rPr>
        <w:t>55</w:t>
      </w:r>
      <w:r w:rsidRPr="002B4FD9">
        <w:rPr>
          <w:rFonts w:ascii="Cambria" w:hAnsi="Cambria"/>
          <w:noProof/>
          <w:lang w:val="en-US"/>
        </w:rPr>
        <w:t>, 372–81.</w:t>
      </w:r>
    </w:p>
    <w:p w14:paraId="05ACC70D" w14:textId="16259FA7" w:rsidR="00212DAC" w:rsidRDefault="00212DAC" w:rsidP="002D6D6A">
      <w:pPr>
        <w:widowControl w:val="0"/>
        <w:autoSpaceDE w:val="0"/>
        <w:autoSpaceDN w:val="0"/>
        <w:adjustRightInd w:val="0"/>
        <w:spacing w:line="276" w:lineRule="auto"/>
        <w:jc w:val="both"/>
        <w:rPr>
          <w:rFonts w:ascii="Cambria" w:hAnsi="Cambria"/>
          <w:noProof/>
          <w:lang w:val="en-US"/>
        </w:rPr>
      </w:pPr>
      <w:r w:rsidRPr="001D1494">
        <w:rPr>
          <w:rFonts w:ascii="Cambria" w:hAnsi="Cambria"/>
          <w:b/>
          <w:bCs/>
          <w:noProof/>
          <w:lang w:val="en-US"/>
        </w:rPr>
        <w:t>Thomas H</w:t>
      </w:r>
      <w:r w:rsidRPr="001D1494">
        <w:rPr>
          <w:rFonts w:ascii="Cambria" w:hAnsi="Cambria"/>
          <w:noProof/>
          <w:lang w:val="en-US"/>
        </w:rPr>
        <w:t xml:space="preserve">. 2013. Senescence, ageing and death of the whole plant. New Phytologist </w:t>
      </w:r>
      <w:r w:rsidRPr="001D1494">
        <w:rPr>
          <w:rFonts w:ascii="Cambria" w:hAnsi="Cambria"/>
          <w:b/>
          <w:bCs/>
          <w:noProof/>
          <w:lang w:val="en-US"/>
        </w:rPr>
        <w:t>197</w:t>
      </w:r>
      <w:r w:rsidRPr="001D1494">
        <w:rPr>
          <w:rFonts w:ascii="Cambria" w:hAnsi="Cambria"/>
          <w:noProof/>
          <w:lang w:val="en-US"/>
        </w:rPr>
        <w:t>, 696–711.</w:t>
      </w:r>
    </w:p>
    <w:p w14:paraId="3C6A94F9" w14:textId="77777777" w:rsidR="00212DAC" w:rsidRPr="00212DAC" w:rsidRDefault="00212DAC" w:rsidP="002D6D6A">
      <w:pPr>
        <w:widowControl w:val="0"/>
        <w:autoSpaceDE w:val="0"/>
        <w:autoSpaceDN w:val="0"/>
        <w:adjustRightInd w:val="0"/>
        <w:spacing w:line="276" w:lineRule="auto"/>
        <w:jc w:val="both"/>
        <w:rPr>
          <w:rFonts w:ascii="Cambria" w:hAnsi="Cambria"/>
          <w:noProof/>
          <w:sz w:val="16"/>
          <w:szCs w:val="16"/>
          <w:lang w:val="en-US"/>
        </w:rPr>
      </w:pPr>
    </w:p>
    <w:p w14:paraId="4FAC9760"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Tschoep H, Gibon Y, Carillo P, Armengaud P, Szecowka M, Nunes-Nesi A, Fernie AR, Koehl K, Stitt M</w:t>
      </w:r>
      <w:r w:rsidRPr="002B4FD9">
        <w:rPr>
          <w:rFonts w:ascii="Cambria" w:hAnsi="Cambria"/>
          <w:noProof/>
          <w:lang w:val="en-US"/>
        </w:rPr>
        <w:t xml:space="preserve">. 2009. Adjustment of growth and central metabolism to a mild but sustained nitrogen-limitation in </w:t>
      </w:r>
      <w:r w:rsidRPr="002D6D6A">
        <w:rPr>
          <w:rFonts w:ascii="Cambria" w:hAnsi="Cambria"/>
          <w:i/>
          <w:noProof/>
          <w:lang w:val="en-US"/>
        </w:rPr>
        <w:t>Arabidopsis</w:t>
      </w:r>
      <w:r w:rsidRPr="002B4FD9">
        <w:rPr>
          <w:rFonts w:ascii="Cambria" w:hAnsi="Cambria"/>
          <w:noProof/>
          <w:lang w:val="en-US"/>
        </w:rPr>
        <w:t xml:space="preserve">. Plant, Cell and Environment </w:t>
      </w:r>
      <w:r w:rsidRPr="002B4FD9">
        <w:rPr>
          <w:rFonts w:ascii="Cambria" w:hAnsi="Cambria"/>
          <w:b/>
          <w:bCs/>
          <w:noProof/>
          <w:lang w:val="en-US"/>
        </w:rPr>
        <w:t>32</w:t>
      </w:r>
      <w:r w:rsidRPr="002B4FD9">
        <w:rPr>
          <w:rFonts w:ascii="Cambria" w:hAnsi="Cambria"/>
          <w:noProof/>
          <w:lang w:val="en-US"/>
        </w:rPr>
        <w:t>, 300–318.</w:t>
      </w:r>
    </w:p>
    <w:p w14:paraId="2B381A43"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 xml:space="preserve">Turnbull LA, Philipson CD, Purves DW, </w:t>
      </w:r>
      <w:r w:rsidRPr="002B4FD9">
        <w:rPr>
          <w:rFonts w:ascii="Cambria" w:hAnsi="Cambria"/>
          <w:b/>
          <w:bCs/>
          <w:i/>
          <w:iCs/>
          <w:noProof/>
          <w:lang w:val="en-US"/>
        </w:rPr>
        <w:t>et al.</w:t>
      </w:r>
      <w:r w:rsidRPr="002B4FD9">
        <w:rPr>
          <w:rFonts w:ascii="Cambria" w:hAnsi="Cambria"/>
          <w:noProof/>
          <w:lang w:val="en-US"/>
        </w:rPr>
        <w:t xml:space="preserve"> 2012. Plant growth rates and seed size: a re-evaluation. Ecology </w:t>
      </w:r>
      <w:r w:rsidRPr="002B4FD9">
        <w:rPr>
          <w:rFonts w:ascii="Cambria" w:hAnsi="Cambria"/>
          <w:b/>
          <w:bCs/>
          <w:noProof/>
          <w:lang w:val="en-US"/>
        </w:rPr>
        <w:t>93</w:t>
      </w:r>
      <w:r w:rsidRPr="002B4FD9">
        <w:rPr>
          <w:rFonts w:ascii="Cambria" w:hAnsi="Cambria"/>
          <w:noProof/>
          <w:lang w:val="en-US"/>
        </w:rPr>
        <w:t>, 1283–1289.</w:t>
      </w:r>
    </w:p>
    <w:p w14:paraId="225454C2" w14:textId="77777777" w:rsid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USDA-FAS</w:t>
      </w:r>
      <w:r w:rsidRPr="002B4FD9">
        <w:rPr>
          <w:rFonts w:ascii="Cambria" w:hAnsi="Cambria"/>
          <w:noProof/>
          <w:lang w:val="en-US"/>
        </w:rPr>
        <w:t>. 2016. World Agricultural Production.</w:t>
      </w:r>
    </w:p>
    <w:p w14:paraId="305135CE" w14:textId="26DC8602" w:rsidR="00212DAC" w:rsidRDefault="00212DAC" w:rsidP="00D66EDB">
      <w:pPr>
        <w:widowControl w:val="0"/>
        <w:autoSpaceDE w:val="0"/>
        <w:autoSpaceDN w:val="0"/>
        <w:adjustRightInd w:val="0"/>
        <w:spacing w:line="276" w:lineRule="auto"/>
        <w:jc w:val="both"/>
        <w:rPr>
          <w:rFonts w:ascii="Cambria" w:hAnsi="Cambria"/>
          <w:noProof/>
          <w:lang w:val="en-US"/>
        </w:rPr>
      </w:pPr>
      <w:r w:rsidRPr="001D1494">
        <w:rPr>
          <w:rFonts w:ascii="Cambria" w:hAnsi="Cambria"/>
          <w:b/>
          <w:bCs/>
          <w:noProof/>
          <w:lang w:val="en-US"/>
        </w:rPr>
        <w:t>Vaughn MW, Harrington GN, Bush DR</w:t>
      </w:r>
      <w:r w:rsidRPr="001D1494">
        <w:rPr>
          <w:rFonts w:ascii="Cambria" w:hAnsi="Cambria"/>
          <w:noProof/>
          <w:lang w:val="en-US"/>
        </w:rPr>
        <w:t xml:space="preserve">. 2002. Sucrose-mediated transcriptional regulation of sucrose symporter activity in the phloem. Proceedings of the National Academy of Sciences of the United States of America </w:t>
      </w:r>
      <w:r w:rsidRPr="001D1494">
        <w:rPr>
          <w:rFonts w:ascii="Cambria" w:hAnsi="Cambria"/>
          <w:b/>
          <w:bCs/>
          <w:noProof/>
          <w:lang w:val="en-US"/>
        </w:rPr>
        <w:t>99</w:t>
      </w:r>
      <w:r w:rsidRPr="001D1494">
        <w:rPr>
          <w:rFonts w:ascii="Cambria" w:hAnsi="Cambria"/>
          <w:noProof/>
          <w:lang w:val="en-US"/>
        </w:rPr>
        <w:t>, 10876–80.</w:t>
      </w:r>
    </w:p>
    <w:p w14:paraId="750DBEAF" w14:textId="77777777" w:rsidR="00D66EDB" w:rsidRPr="00D66EDB" w:rsidRDefault="00D66EDB" w:rsidP="00D66EDB">
      <w:pPr>
        <w:widowControl w:val="0"/>
        <w:autoSpaceDE w:val="0"/>
        <w:autoSpaceDN w:val="0"/>
        <w:adjustRightInd w:val="0"/>
        <w:spacing w:line="276" w:lineRule="auto"/>
        <w:jc w:val="both"/>
        <w:rPr>
          <w:rFonts w:ascii="Cambria" w:hAnsi="Cambria"/>
          <w:noProof/>
          <w:sz w:val="16"/>
          <w:szCs w:val="16"/>
          <w:lang w:val="en-US"/>
        </w:rPr>
      </w:pPr>
    </w:p>
    <w:p w14:paraId="184456D8"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Vos J, Evers JB, Buck-Sorlin GH, Andrieu B, Chelle M, De Visser PHB</w:t>
      </w:r>
      <w:r w:rsidRPr="002B4FD9">
        <w:rPr>
          <w:rFonts w:ascii="Cambria" w:hAnsi="Cambria"/>
          <w:noProof/>
          <w:lang w:val="en-US"/>
        </w:rPr>
        <w:t xml:space="preserve">. 2010. Functional-structural plant modelling: A new versatile tool in crop science. Journal of Experimental Botany </w:t>
      </w:r>
      <w:r w:rsidRPr="002B4FD9">
        <w:rPr>
          <w:rFonts w:ascii="Cambria" w:hAnsi="Cambria"/>
          <w:b/>
          <w:bCs/>
          <w:noProof/>
          <w:lang w:val="en-US"/>
        </w:rPr>
        <w:t>61</w:t>
      </w:r>
      <w:r w:rsidRPr="002B4FD9">
        <w:rPr>
          <w:rFonts w:ascii="Cambria" w:hAnsi="Cambria"/>
          <w:noProof/>
          <w:lang w:val="en-US"/>
        </w:rPr>
        <w:t>, 2101–2115.</w:t>
      </w:r>
    </w:p>
    <w:p w14:paraId="10C45112"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 xml:space="preserve">Weichert N, Saalbach I, Weichert H, </w:t>
      </w:r>
      <w:r w:rsidRPr="002B4FD9">
        <w:rPr>
          <w:rFonts w:ascii="Cambria" w:hAnsi="Cambria"/>
          <w:b/>
          <w:bCs/>
          <w:i/>
          <w:iCs/>
          <w:noProof/>
          <w:lang w:val="en-US"/>
        </w:rPr>
        <w:t>et al.</w:t>
      </w:r>
      <w:r w:rsidRPr="002B4FD9">
        <w:rPr>
          <w:rFonts w:ascii="Cambria" w:hAnsi="Cambria"/>
          <w:noProof/>
          <w:lang w:val="en-US"/>
        </w:rPr>
        <w:t xml:space="preserve"> 2010. Increasing sucrose uptake capacity of wheat grains stimulates storage protein synthesis. Plant Physiology </w:t>
      </w:r>
      <w:r w:rsidRPr="002B4FD9">
        <w:rPr>
          <w:rFonts w:ascii="Cambria" w:hAnsi="Cambria"/>
          <w:b/>
          <w:bCs/>
          <w:noProof/>
          <w:lang w:val="en-US"/>
        </w:rPr>
        <w:t>152</w:t>
      </w:r>
      <w:r w:rsidRPr="002B4FD9">
        <w:rPr>
          <w:rFonts w:ascii="Cambria" w:hAnsi="Cambria"/>
          <w:noProof/>
          <w:lang w:val="en-US"/>
        </w:rPr>
        <w:t>, 698–710.</w:t>
      </w:r>
    </w:p>
    <w:p w14:paraId="5666E6A5"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Weir AH, Bragg PL, Porter JR, Rayner JH</w:t>
      </w:r>
      <w:r w:rsidRPr="002B4FD9">
        <w:rPr>
          <w:rFonts w:ascii="Cambria" w:hAnsi="Cambria"/>
          <w:noProof/>
          <w:lang w:val="en-US"/>
        </w:rPr>
        <w:t xml:space="preserve">. 1984. A winter wheat crop simulation model without water or nutrient limitations. Journal of Agricultural Science </w:t>
      </w:r>
      <w:r w:rsidRPr="002B4FD9">
        <w:rPr>
          <w:rFonts w:ascii="Cambria" w:hAnsi="Cambria"/>
          <w:b/>
          <w:bCs/>
          <w:noProof/>
          <w:lang w:val="en-US"/>
        </w:rPr>
        <w:t>102</w:t>
      </w:r>
      <w:r w:rsidRPr="002B4FD9">
        <w:rPr>
          <w:rFonts w:ascii="Cambria" w:hAnsi="Cambria"/>
          <w:noProof/>
          <w:lang w:val="en-US"/>
        </w:rPr>
        <w:t>, 371–382.</w:t>
      </w:r>
    </w:p>
    <w:p w14:paraId="44AB303E"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White AC, Rogers A, Rees M, Osborne CP</w:t>
      </w:r>
      <w:r w:rsidRPr="002B4FD9">
        <w:rPr>
          <w:rFonts w:ascii="Cambria" w:hAnsi="Cambria"/>
          <w:noProof/>
          <w:lang w:val="en-US"/>
        </w:rPr>
        <w:t xml:space="preserve">. 2016. How can we make plants grow faster? A source–sink perspective on growth rate. Journal of Experimental Botany </w:t>
      </w:r>
      <w:r w:rsidRPr="002B4FD9">
        <w:rPr>
          <w:rFonts w:ascii="Cambria" w:hAnsi="Cambria"/>
          <w:b/>
          <w:bCs/>
          <w:noProof/>
          <w:lang w:val="en-US"/>
        </w:rPr>
        <w:t>67</w:t>
      </w:r>
      <w:r w:rsidRPr="002B4FD9">
        <w:rPr>
          <w:rFonts w:ascii="Cambria" w:hAnsi="Cambria"/>
          <w:noProof/>
          <w:lang w:val="en-US"/>
        </w:rPr>
        <w:t>, 31–45.</w:t>
      </w:r>
    </w:p>
    <w:p w14:paraId="76668E5D"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Woodrow IE</w:t>
      </w:r>
      <w:r w:rsidRPr="002B4FD9">
        <w:rPr>
          <w:rFonts w:ascii="Cambria" w:hAnsi="Cambria"/>
          <w:noProof/>
          <w:lang w:val="en-US"/>
        </w:rPr>
        <w:t>. 1994. Optimal acclimation of the C</w:t>
      </w:r>
      <w:r w:rsidRPr="002D6D6A">
        <w:rPr>
          <w:rFonts w:ascii="Cambria" w:hAnsi="Cambria"/>
          <w:noProof/>
          <w:vertAlign w:val="subscript"/>
          <w:lang w:val="en-US"/>
        </w:rPr>
        <w:t>3</w:t>
      </w:r>
      <w:r w:rsidRPr="002B4FD9">
        <w:rPr>
          <w:rFonts w:ascii="Cambria" w:hAnsi="Cambria"/>
          <w:noProof/>
          <w:lang w:val="en-US"/>
        </w:rPr>
        <w:t xml:space="preserve"> photosynthetic system under enhanced CO</w:t>
      </w:r>
      <w:r w:rsidRPr="002D6D6A">
        <w:rPr>
          <w:rFonts w:ascii="Cambria" w:hAnsi="Cambria"/>
          <w:noProof/>
          <w:vertAlign w:val="subscript"/>
          <w:lang w:val="en-US"/>
        </w:rPr>
        <w:t>2</w:t>
      </w:r>
      <w:r w:rsidRPr="002B4FD9">
        <w:rPr>
          <w:rFonts w:ascii="Cambria" w:hAnsi="Cambria"/>
          <w:noProof/>
          <w:lang w:val="en-US"/>
        </w:rPr>
        <w:t xml:space="preserve">. Photosynthesis Research </w:t>
      </w:r>
      <w:r w:rsidRPr="002B4FD9">
        <w:rPr>
          <w:rFonts w:ascii="Cambria" w:hAnsi="Cambria"/>
          <w:b/>
          <w:bCs/>
          <w:noProof/>
          <w:lang w:val="en-US"/>
        </w:rPr>
        <w:t>39</w:t>
      </w:r>
      <w:r w:rsidRPr="002B4FD9">
        <w:rPr>
          <w:rFonts w:ascii="Cambria" w:hAnsi="Cambria"/>
          <w:noProof/>
          <w:lang w:val="en-US"/>
        </w:rPr>
        <w:t>, 401–412.</w:t>
      </w:r>
    </w:p>
    <w:p w14:paraId="57708FCD"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 xml:space="preserve">Wright SJ, Kitajima K, Kraft NJB, </w:t>
      </w:r>
      <w:r w:rsidRPr="002B4FD9">
        <w:rPr>
          <w:rFonts w:ascii="Cambria" w:hAnsi="Cambria"/>
          <w:b/>
          <w:bCs/>
          <w:i/>
          <w:iCs/>
          <w:noProof/>
          <w:lang w:val="en-US"/>
        </w:rPr>
        <w:t>et al.</w:t>
      </w:r>
      <w:r w:rsidRPr="002B4FD9">
        <w:rPr>
          <w:rFonts w:ascii="Cambria" w:hAnsi="Cambria"/>
          <w:noProof/>
          <w:lang w:val="en-US"/>
        </w:rPr>
        <w:t xml:space="preserve"> 2010. Functional traits and the growth-mortality trade-off in tropical trees. Ecology </w:t>
      </w:r>
      <w:r w:rsidRPr="002B4FD9">
        <w:rPr>
          <w:rFonts w:ascii="Cambria" w:hAnsi="Cambria"/>
          <w:b/>
          <w:bCs/>
          <w:noProof/>
          <w:lang w:val="en-US"/>
        </w:rPr>
        <w:t>91</w:t>
      </w:r>
      <w:r w:rsidRPr="002B4FD9">
        <w:rPr>
          <w:rFonts w:ascii="Cambria" w:hAnsi="Cambria"/>
          <w:noProof/>
          <w:lang w:val="en-US"/>
        </w:rPr>
        <w:t>, 3664–74.</w:t>
      </w:r>
    </w:p>
    <w:p w14:paraId="14499BCB" w14:textId="77777777" w:rsid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 xml:space="preserve">Wright IJ, Reich PB, Westoby M, </w:t>
      </w:r>
      <w:r w:rsidRPr="002B4FD9">
        <w:rPr>
          <w:rFonts w:ascii="Cambria" w:hAnsi="Cambria"/>
          <w:b/>
          <w:bCs/>
          <w:i/>
          <w:iCs/>
          <w:noProof/>
          <w:lang w:val="en-US"/>
        </w:rPr>
        <w:t>et al.</w:t>
      </w:r>
      <w:r w:rsidRPr="002B4FD9">
        <w:rPr>
          <w:rFonts w:ascii="Cambria" w:hAnsi="Cambria"/>
          <w:noProof/>
          <w:lang w:val="en-US"/>
        </w:rPr>
        <w:t xml:space="preserve"> 2004. The worldwide leaf economics spectrum. Nature </w:t>
      </w:r>
      <w:r w:rsidRPr="002B4FD9">
        <w:rPr>
          <w:rFonts w:ascii="Cambria" w:hAnsi="Cambria"/>
          <w:b/>
          <w:bCs/>
          <w:noProof/>
          <w:lang w:val="en-US"/>
        </w:rPr>
        <w:t>428</w:t>
      </w:r>
      <w:r w:rsidRPr="002B4FD9">
        <w:rPr>
          <w:rFonts w:ascii="Cambria" w:hAnsi="Cambria"/>
          <w:noProof/>
          <w:lang w:val="en-US"/>
        </w:rPr>
        <w:t>, 821–827.</w:t>
      </w:r>
    </w:p>
    <w:p w14:paraId="5873D5C2" w14:textId="77777777" w:rsidR="00212DAC" w:rsidRDefault="00212DAC" w:rsidP="002D6D6A">
      <w:pPr>
        <w:widowControl w:val="0"/>
        <w:autoSpaceDE w:val="0"/>
        <w:autoSpaceDN w:val="0"/>
        <w:adjustRightInd w:val="0"/>
        <w:spacing w:line="276" w:lineRule="auto"/>
        <w:jc w:val="both"/>
        <w:rPr>
          <w:rFonts w:ascii="Cambria" w:hAnsi="Cambria"/>
          <w:noProof/>
          <w:lang w:val="en-US"/>
        </w:rPr>
      </w:pPr>
      <w:r w:rsidRPr="001D1494">
        <w:rPr>
          <w:rFonts w:ascii="Cambria" w:hAnsi="Cambria"/>
          <w:b/>
          <w:bCs/>
          <w:noProof/>
          <w:lang w:val="en-US"/>
        </w:rPr>
        <w:t>Vaughn MW, Harrington GN, Bush DR</w:t>
      </w:r>
      <w:r w:rsidRPr="001D1494">
        <w:rPr>
          <w:rFonts w:ascii="Cambria" w:hAnsi="Cambria"/>
          <w:noProof/>
          <w:lang w:val="en-US"/>
        </w:rPr>
        <w:t xml:space="preserve">. 2002. Sucrose-mediated transcriptional regulation of sucrose symporter activity in the phloem. Proceedings of the National Academy of Sciences of the United States of America </w:t>
      </w:r>
      <w:r w:rsidRPr="001D1494">
        <w:rPr>
          <w:rFonts w:ascii="Cambria" w:hAnsi="Cambria"/>
          <w:b/>
          <w:bCs/>
          <w:noProof/>
          <w:lang w:val="en-US"/>
        </w:rPr>
        <w:t>99</w:t>
      </w:r>
      <w:r w:rsidRPr="001D1494">
        <w:rPr>
          <w:rFonts w:ascii="Cambria" w:hAnsi="Cambria"/>
          <w:noProof/>
          <w:lang w:val="en-US"/>
        </w:rPr>
        <w:t>, 10876–80.</w:t>
      </w:r>
    </w:p>
    <w:p w14:paraId="49B828FE" w14:textId="77777777" w:rsidR="00212DAC" w:rsidRPr="00212DAC" w:rsidRDefault="00212DAC" w:rsidP="002D6D6A">
      <w:pPr>
        <w:widowControl w:val="0"/>
        <w:autoSpaceDE w:val="0"/>
        <w:autoSpaceDN w:val="0"/>
        <w:adjustRightInd w:val="0"/>
        <w:spacing w:line="276" w:lineRule="auto"/>
        <w:jc w:val="both"/>
        <w:rPr>
          <w:rFonts w:ascii="Cambria" w:hAnsi="Cambria"/>
          <w:noProof/>
          <w:sz w:val="16"/>
          <w:szCs w:val="16"/>
          <w:lang w:val="en-US"/>
        </w:rPr>
      </w:pPr>
    </w:p>
    <w:p w14:paraId="630BD83F" w14:textId="2B59361D" w:rsidR="00212DAC" w:rsidRDefault="00212DAC" w:rsidP="00D66EDB">
      <w:pPr>
        <w:widowControl w:val="0"/>
        <w:autoSpaceDE w:val="0"/>
        <w:autoSpaceDN w:val="0"/>
        <w:adjustRightInd w:val="0"/>
        <w:spacing w:line="276" w:lineRule="auto"/>
        <w:jc w:val="both"/>
        <w:rPr>
          <w:rFonts w:ascii="Cambria" w:hAnsi="Cambria"/>
          <w:noProof/>
        </w:rPr>
      </w:pPr>
      <w:r w:rsidRPr="001D1494">
        <w:rPr>
          <w:rFonts w:ascii="Cambria" w:hAnsi="Cambria"/>
          <w:b/>
          <w:bCs/>
          <w:noProof/>
          <w:lang w:val="en-US"/>
        </w:rPr>
        <w:t>Xiong Y, McCormack M, Li L, Hall Q, Xiang C, Sheen J</w:t>
      </w:r>
      <w:r w:rsidRPr="001D1494">
        <w:rPr>
          <w:rFonts w:ascii="Cambria" w:hAnsi="Cambria"/>
          <w:noProof/>
          <w:lang w:val="en-US"/>
        </w:rPr>
        <w:t xml:space="preserve">. 2013. Glucose-TOR signalling reprograms the transcriptome and activates meristems. Nature </w:t>
      </w:r>
      <w:r w:rsidRPr="001D1494">
        <w:rPr>
          <w:rFonts w:ascii="Cambria" w:hAnsi="Cambria"/>
          <w:b/>
          <w:bCs/>
          <w:noProof/>
          <w:lang w:val="en-US"/>
        </w:rPr>
        <w:t>496</w:t>
      </w:r>
      <w:r w:rsidRPr="001D1494">
        <w:rPr>
          <w:rFonts w:ascii="Cambria" w:hAnsi="Cambria"/>
          <w:noProof/>
          <w:lang w:val="en-US"/>
        </w:rPr>
        <w:t>, 181–6.</w:t>
      </w:r>
    </w:p>
    <w:p w14:paraId="187DB7CD" w14:textId="77777777" w:rsidR="00D66EDB" w:rsidRPr="00D66EDB" w:rsidRDefault="00D66EDB" w:rsidP="00D66EDB">
      <w:pPr>
        <w:widowControl w:val="0"/>
        <w:autoSpaceDE w:val="0"/>
        <w:autoSpaceDN w:val="0"/>
        <w:adjustRightInd w:val="0"/>
        <w:spacing w:line="276" w:lineRule="auto"/>
        <w:jc w:val="both"/>
        <w:rPr>
          <w:rFonts w:ascii="Cambria" w:hAnsi="Cambria"/>
          <w:noProof/>
          <w:sz w:val="16"/>
          <w:szCs w:val="16"/>
        </w:rPr>
      </w:pPr>
    </w:p>
    <w:p w14:paraId="66EA78EF"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Xu G, Fan X, Miller AJ</w:t>
      </w:r>
      <w:r w:rsidRPr="002B4FD9">
        <w:rPr>
          <w:rFonts w:ascii="Cambria" w:hAnsi="Cambria"/>
          <w:noProof/>
          <w:lang w:val="en-US"/>
        </w:rPr>
        <w:t xml:space="preserve">. 2012. Plant nitrogen assimilation and use efficiency. Annual Review of Plant Biology </w:t>
      </w:r>
      <w:r w:rsidRPr="002B4FD9">
        <w:rPr>
          <w:rFonts w:ascii="Cambria" w:hAnsi="Cambria"/>
          <w:b/>
          <w:bCs/>
          <w:noProof/>
          <w:lang w:val="en-US"/>
        </w:rPr>
        <w:t>63</w:t>
      </w:r>
      <w:r w:rsidRPr="002B4FD9">
        <w:rPr>
          <w:rFonts w:ascii="Cambria" w:hAnsi="Cambria"/>
          <w:noProof/>
          <w:lang w:val="en-US"/>
        </w:rPr>
        <w:t>, 153–82.</w:t>
      </w:r>
    </w:p>
    <w:p w14:paraId="4C2E5FE3"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Yamori W, Kondo E, Sugiura D, Terashima I, Suzuki Y, Makino A</w:t>
      </w:r>
      <w:r w:rsidRPr="002B4FD9">
        <w:rPr>
          <w:rFonts w:ascii="Cambria" w:hAnsi="Cambria"/>
          <w:noProof/>
          <w:lang w:val="en-US"/>
        </w:rPr>
        <w:t xml:space="preserve">. 2016. Enhanced leaf photosynthesis as a target to increase grain yield: Insights from transgenic rice lines with variable Rieske FeS protein content in the Cytochrome b6/f complex. Plant, Cell &amp; Environment </w:t>
      </w:r>
      <w:r w:rsidRPr="002B4FD9">
        <w:rPr>
          <w:rFonts w:ascii="Cambria" w:hAnsi="Cambria"/>
          <w:b/>
          <w:bCs/>
          <w:noProof/>
          <w:lang w:val="en-US"/>
        </w:rPr>
        <w:t>39</w:t>
      </w:r>
      <w:r w:rsidRPr="002B4FD9">
        <w:rPr>
          <w:rFonts w:ascii="Cambria" w:hAnsi="Cambria"/>
          <w:noProof/>
          <w:lang w:val="en-US"/>
        </w:rPr>
        <w:t>, 80–87.</w:t>
      </w:r>
    </w:p>
    <w:p w14:paraId="2A2152FF"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Yang Z, Midmore DJ</w:t>
      </w:r>
      <w:r w:rsidRPr="002B4FD9">
        <w:rPr>
          <w:rFonts w:ascii="Cambria" w:hAnsi="Cambria"/>
          <w:noProof/>
          <w:lang w:val="en-US"/>
        </w:rPr>
        <w:t xml:space="preserve">. 2005. Modelling plant resource allocation and growth partitioning in response to environmental heterogeneity. Ecological Modelling </w:t>
      </w:r>
      <w:r w:rsidRPr="002B4FD9">
        <w:rPr>
          <w:rFonts w:ascii="Cambria" w:hAnsi="Cambria"/>
          <w:b/>
          <w:bCs/>
          <w:noProof/>
          <w:lang w:val="en-US"/>
        </w:rPr>
        <w:t>181</w:t>
      </w:r>
      <w:r w:rsidRPr="002B4FD9">
        <w:rPr>
          <w:rFonts w:ascii="Cambria" w:hAnsi="Cambria"/>
          <w:noProof/>
          <w:lang w:val="en-US"/>
        </w:rPr>
        <w:t>, 59–77.</w:t>
      </w:r>
    </w:p>
    <w:p w14:paraId="5B79B7B5"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Zaehle S, Friend AD</w:t>
      </w:r>
      <w:r w:rsidRPr="002B4FD9">
        <w:rPr>
          <w:rFonts w:ascii="Cambria" w:hAnsi="Cambria"/>
          <w:noProof/>
          <w:lang w:val="en-US"/>
        </w:rPr>
        <w:t xml:space="preserve">. 2010. Carbon and nitrogen cycle dynamics in the O-CN land surface model: 1. Model description, site-scale evaluation, and sensitivity to parameter estimates. Global Biogeochemical Cycles </w:t>
      </w:r>
      <w:r w:rsidRPr="002B4FD9">
        <w:rPr>
          <w:rFonts w:ascii="Cambria" w:hAnsi="Cambria"/>
          <w:b/>
          <w:bCs/>
          <w:noProof/>
          <w:lang w:val="en-US"/>
        </w:rPr>
        <w:t>24</w:t>
      </w:r>
      <w:r w:rsidRPr="002B4FD9">
        <w:rPr>
          <w:rFonts w:ascii="Cambria" w:hAnsi="Cambria"/>
          <w:noProof/>
          <w:lang w:val="en-US"/>
        </w:rPr>
        <w:t>, DOI: 10.1029/2009GB003522.</w:t>
      </w:r>
    </w:p>
    <w:p w14:paraId="678987FF"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Zeeman SC, Kossmann J, Smith AM</w:t>
      </w:r>
      <w:r w:rsidRPr="002B4FD9">
        <w:rPr>
          <w:rFonts w:ascii="Cambria" w:hAnsi="Cambria"/>
          <w:noProof/>
          <w:lang w:val="en-US"/>
        </w:rPr>
        <w:t xml:space="preserve">. 2010. Starch: its metabolism, evolution, and biotechnological modification in plants. Annual Review of Plant Biology </w:t>
      </w:r>
      <w:r w:rsidRPr="002B4FD9">
        <w:rPr>
          <w:rFonts w:ascii="Cambria" w:hAnsi="Cambria"/>
          <w:b/>
          <w:bCs/>
          <w:noProof/>
          <w:lang w:val="en-US"/>
        </w:rPr>
        <w:t>61</w:t>
      </w:r>
      <w:r w:rsidRPr="002B4FD9">
        <w:rPr>
          <w:rFonts w:ascii="Cambria" w:hAnsi="Cambria"/>
          <w:noProof/>
          <w:lang w:val="en-US"/>
        </w:rPr>
        <w:t>, 209–34.</w:t>
      </w:r>
    </w:p>
    <w:p w14:paraId="22333B66"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Zhu X-G, Lynch JP, LeBauer DS, Millar AJ, Stitt M, Long SP</w:t>
      </w:r>
      <w:r w:rsidRPr="002B4FD9">
        <w:rPr>
          <w:rFonts w:ascii="Cambria" w:hAnsi="Cambria"/>
          <w:noProof/>
          <w:lang w:val="en-US"/>
        </w:rPr>
        <w:t xml:space="preserve">. 2016. Plants in silico: why, why now and what? - an integrative platform for plant systems biology research. Plant, Cell and Environment </w:t>
      </w:r>
      <w:r w:rsidRPr="002B4FD9">
        <w:rPr>
          <w:rFonts w:ascii="Cambria" w:hAnsi="Cambria"/>
          <w:b/>
          <w:bCs/>
          <w:noProof/>
          <w:lang w:val="en-US"/>
        </w:rPr>
        <w:t>39</w:t>
      </w:r>
      <w:r w:rsidRPr="002B4FD9">
        <w:rPr>
          <w:rFonts w:ascii="Cambria" w:hAnsi="Cambria"/>
          <w:noProof/>
          <w:lang w:val="en-US"/>
        </w:rPr>
        <w:t>, 1049–1057.</w:t>
      </w:r>
    </w:p>
    <w:p w14:paraId="227A71E7" w14:textId="77777777" w:rsidR="002B4FD9" w:rsidRPr="002B4FD9" w:rsidRDefault="002B4FD9" w:rsidP="002D6D6A">
      <w:pPr>
        <w:widowControl w:val="0"/>
        <w:autoSpaceDE w:val="0"/>
        <w:autoSpaceDN w:val="0"/>
        <w:adjustRightInd w:val="0"/>
        <w:spacing w:after="140" w:line="288" w:lineRule="auto"/>
        <w:jc w:val="both"/>
        <w:rPr>
          <w:rFonts w:ascii="Cambria" w:hAnsi="Cambria"/>
          <w:noProof/>
          <w:lang w:val="en-US"/>
        </w:rPr>
      </w:pPr>
      <w:r w:rsidRPr="002B4FD9">
        <w:rPr>
          <w:rFonts w:ascii="Cambria" w:hAnsi="Cambria"/>
          <w:b/>
          <w:bCs/>
          <w:noProof/>
          <w:lang w:val="en-US"/>
        </w:rPr>
        <w:t>Zhu X-G, de Sturler E, Long SP</w:t>
      </w:r>
      <w:r w:rsidRPr="002B4FD9">
        <w:rPr>
          <w:rFonts w:ascii="Cambria" w:hAnsi="Cambria"/>
          <w:noProof/>
          <w:lang w:val="en-US"/>
        </w:rPr>
        <w:t xml:space="preserve">. 2007. Optimizing the distribution of resources between enzymes of carbon metabolism can dramatically increase photosynthetic rate: a numerical simulation using an evolutionary algorithm. Plant Physiology </w:t>
      </w:r>
      <w:r w:rsidRPr="002B4FD9">
        <w:rPr>
          <w:rFonts w:ascii="Cambria" w:hAnsi="Cambria"/>
          <w:b/>
          <w:bCs/>
          <w:noProof/>
          <w:lang w:val="en-US"/>
        </w:rPr>
        <w:t>145</w:t>
      </w:r>
      <w:r w:rsidRPr="002B4FD9">
        <w:rPr>
          <w:rFonts w:ascii="Cambria" w:hAnsi="Cambria"/>
          <w:noProof/>
          <w:lang w:val="en-US"/>
        </w:rPr>
        <w:t>, 513–526.</w:t>
      </w:r>
    </w:p>
    <w:p w14:paraId="4E706716" w14:textId="77777777" w:rsidR="002B4FD9" w:rsidRPr="002B4FD9" w:rsidRDefault="002B4FD9" w:rsidP="002D6D6A">
      <w:pPr>
        <w:widowControl w:val="0"/>
        <w:autoSpaceDE w:val="0"/>
        <w:autoSpaceDN w:val="0"/>
        <w:adjustRightInd w:val="0"/>
        <w:spacing w:after="140" w:line="288" w:lineRule="auto"/>
        <w:jc w:val="both"/>
        <w:rPr>
          <w:rFonts w:ascii="Cambria" w:hAnsi="Cambria"/>
          <w:noProof/>
        </w:rPr>
      </w:pPr>
      <w:r w:rsidRPr="002B4FD9">
        <w:rPr>
          <w:rFonts w:ascii="Cambria" w:hAnsi="Cambria"/>
          <w:b/>
          <w:bCs/>
          <w:noProof/>
          <w:lang w:val="en-US"/>
        </w:rPr>
        <w:t>Zuther E, Hoermiller II, Heyer AG</w:t>
      </w:r>
      <w:r w:rsidRPr="002B4FD9">
        <w:rPr>
          <w:rFonts w:ascii="Cambria" w:hAnsi="Cambria"/>
          <w:noProof/>
          <w:lang w:val="en-US"/>
        </w:rPr>
        <w:t xml:space="preserve">. 2011. Evidence against sink limitation by the sucrose-to-starch route in potato plants expressing fructosyltransferases. Physiologia Plantarum </w:t>
      </w:r>
      <w:r w:rsidRPr="002B4FD9">
        <w:rPr>
          <w:rFonts w:ascii="Cambria" w:hAnsi="Cambria"/>
          <w:b/>
          <w:bCs/>
          <w:noProof/>
          <w:lang w:val="en-US"/>
        </w:rPr>
        <w:t>143</w:t>
      </w:r>
      <w:r w:rsidRPr="002B4FD9">
        <w:rPr>
          <w:rFonts w:ascii="Cambria" w:hAnsi="Cambria"/>
          <w:noProof/>
          <w:lang w:val="en-US"/>
        </w:rPr>
        <w:t>, 115–25.</w:t>
      </w:r>
    </w:p>
    <w:p w14:paraId="4B0435AA" w14:textId="42B34059" w:rsidR="00DF4522" w:rsidRDefault="00DF4522" w:rsidP="002D6D6A">
      <w:pPr>
        <w:widowControl w:val="0"/>
        <w:autoSpaceDE w:val="0"/>
        <w:autoSpaceDN w:val="0"/>
        <w:adjustRightInd w:val="0"/>
        <w:jc w:val="both"/>
        <w:rPr>
          <w:rFonts w:ascii="Cambria" w:hAnsi="Cambria"/>
        </w:rPr>
      </w:pPr>
      <w:r w:rsidRPr="00650AA2">
        <w:rPr>
          <w:rFonts w:ascii="Cambria" w:hAnsi="Cambria"/>
        </w:rPr>
        <w:fldChar w:fldCharType="end"/>
      </w:r>
    </w:p>
    <w:p w14:paraId="7B8B8D40" w14:textId="77777777" w:rsidR="00DF4522" w:rsidRDefault="00DF4522" w:rsidP="00DF4522">
      <w:pPr>
        <w:pStyle w:val="Heading1"/>
        <w:rPr>
          <w:rFonts w:ascii="Cambria" w:hAnsi="Cambria"/>
          <w:color w:val="auto"/>
        </w:rPr>
      </w:pPr>
    </w:p>
    <w:p w14:paraId="33B6CFEE" w14:textId="77777777" w:rsidR="00DF4522" w:rsidRDefault="00DF4522" w:rsidP="00DF4522">
      <w:pPr>
        <w:pStyle w:val="Heading1"/>
        <w:rPr>
          <w:rFonts w:ascii="Cambria" w:hAnsi="Cambria"/>
          <w:color w:val="auto"/>
        </w:rPr>
      </w:pPr>
    </w:p>
    <w:p w14:paraId="0753A4B9" w14:textId="77777777" w:rsidR="00DF4522" w:rsidRDefault="00DF4522" w:rsidP="00DF4522">
      <w:pPr>
        <w:pStyle w:val="Heading1"/>
        <w:rPr>
          <w:rFonts w:ascii="Cambria" w:hAnsi="Cambria"/>
          <w:color w:val="auto"/>
        </w:rPr>
      </w:pPr>
    </w:p>
    <w:p w14:paraId="2EE2F6B8" w14:textId="77777777" w:rsidR="00DF4522" w:rsidRDefault="00DF4522" w:rsidP="00DF4522">
      <w:pPr>
        <w:pStyle w:val="Heading1"/>
        <w:rPr>
          <w:rFonts w:ascii="Cambria" w:hAnsi="Cambria"/>
          <w:color w:val="auto"/>
        </w:rPr>
      </w:pPr>
    </w:p>
    <w:p w14:paraId="4267E4A8" w14:textId="77777777" w:rsidR="00E90DA6" w:rsidRDefault="00E90DA6" w:rsidP="00DF4522">
      <w:pPr>
        <w:pStyle w:val="Heading1"/>
        <w:rPr>
          <w:rFonts w:ascii="Cambria" w:hAnsi="Cambria"/>
          <w:color w:val="auto"/>
        </w:rPr>
      </w:pPr>
    </w:p>
    <w:p w14:paraId="123CA372" w14:textId="77777777" w:rsidR="00E90DA6" w:rsidRDefault="00E90DA6" w:rsidP="00E90DA6"/>
    <w:p w14:paraId="3B570775" w14:textId="77777777" w:rsidR="00E90DA6" w:rsidRDefault="00E90DA6" w:rsidP="00E90DA6"/>
    <w:p w14:paraId="243CA037" w14:textId="77777777" w:rsidR="00E90DA6" w:rsidRDefault="00E90DA6" w:rsidP="00E90DA6"/>
    <w:p w14:paraId="44DB2649" w14:textId="77777777" w:rsidR="00E90DA6" w:rsidRPr="00E90DA6" w:rsidRDefault="00E90DA6" w:rsidP="00E90DA6"/>
    <w:p w14:paraId="7E33D582" w14:textId="77777777" w:rsidR="000776AD" w:rsidRDefault="000776AD" w:rsidP="000776AD">
      <w:pPr>
        <w:jc w:val="both"/>
        <w:rPr>
          <w:b/>
        </w:rPr>
      </w:pPr>
      <w:r>
        <w:rPr>
          <w:b/>
        </w:rPr>
        <w:br w:type="page"/>
      </w:r>
    </w:p>
    <w:p w14:paraId="11E9CEB4" w14:textId="77777777" w:rsidR="000776AD" w:rsidRDefault="000776AD" w:rsidP="000776AD">
      <w:pPr>
        <w:pStyle w:val="Heading1"/>
        <w:rPr>
          <w:rFonts w:ascii="Cambria" w:hAnsi="Cambria"/>
          <w:color w:val="auto"/>
        </w:rPr>
      </w:pPr>
    </w:p>
    <w:p w14:paraId="2592E75F" w14:textId="43B1AA94" w:rsidR="000776AD" w:rsidRPr="00041DB1" w:rsidRDefault="000776AD" w:rsidP="000776AD">
      <w:pPr>
        <w:pStyle w:val="Heading1"/>
        <w:rPr>
          <w:rFonts w:ascii="Cambria" w:hAnsi="Cambria"/>
          <w:color w:val="auto"/>
        </w:rPr>
      </w:pPr>
      <w:bookmarkStart w:id="141" w:name="_Toc331253035"/>
      <w:r>
        <w:rPr>
          <w:rFonts w:ascii="Cambria" w:hAnsi="Cambria"/>
          <w:color w:val="auto"/>
        </w:rPr>
        <w:t>Appendix I: Relative Growth Rate</w:t>
      </w:r>
      <w:bookmarkEnd w:id="141"/>
    </w:p>
    <w:p w14:paraId="780E80E8" w14:textId="77777777" w:rsidR="000776AD" w:rsidRDefault="000776AD" w:rsidP="000776AD">
      <w:pPr>
        <w:jc w:val="both"/>
      </w:pPr>
    </w:p>
    <w:p w14:paraId="527FB2E2" w14:textId="77777777" w:rsidR="00E8405C" w:rsidRDefault="00E8405C" w:rsidP="000776AD">
      <w:pPr>
        <w:jc w:val="both"/>
      </w:pPr>
    </w:p>
    <w:p w14:paraId="5F742C0E" w14:textId="349B9837" w:rsidR="000776AD" w:rsidRPr="00BB68B6" w:rsidRDefault="000776AD" w:rsidP="000776AD">
      <w:pPr>
        <w:jc w:val="both"/>
      </w:pPr>
      <w:r>
        <w:t>For relative growth rate (RGR) at different levels of CO</w:t>
      </w:r>
      <w:r w:rsidRPr="00BB68B6">
        <w:rPr>
          <w:vertAlign w:val="subscript"/>
        </w:rPr>
        <w:t>2</w:t>
      </w:r>
      <w:r>
        <w:t xml:space="preserve"> (presented in Figures 1 and S2 of Chapter 4), a four-parameter logistic model with self-starting routines was fitted to the plant mass data, in accordance with the model discussed by Rees </w:t>
      </w:r>
      <w:r>
        <w:rPr>
          <w:i/>
        </w:rPr>
        <w:t>et al</w:t>
      </w:r>
      <w:r>
        <w:t xml:space="preserve">. </w:t>
      </w:r>
      <w:r>
        <w:fldChar w:fldCharType="begin" w:fldLock="1"/>
      </w:r>
      <w:r w:rsidR="00906E41">
        <w:instrText>ADDIN CSL_CITATION { "citationItems" : [ { "id" : "ITEM-1", "itemData" : { "DOI" : "10.1086/657037", "ISSN" : "1537-5323", "PMID" : "20950150", "abstract" : "Plant growth plays a key role in the functioning of the terrestrial biosphere, and there have been substantial efforts to understand why growth varies among species. To this end, a large number of experimental analyses have been undertaken; however, the emergent patterns between growth rate and its components are often contradictory. We believe that these conflicting results are a consequence of the way growth is measured. Growth is typically characterized by relative growth rate (RGR); however, RGR often declines as organisms get larger, making it difficult to compare species of different sizes. To overcome this problem, we advocate using nonlinear mixed-effects models so that RGR can be calculated at a standard size, and we present easily implemented methods for doing this. We then present new methods for analyzing the traditional components of RGR that explicitly allow for the fact that (log)(RGR) is the sum of its components. These methods provide an exact decomposition of the variance in (log)(RGR). Finally, we use simple analytical and simulation approaches to explore the effect of size variation on growth and its components and show that the relative importance of the components of RGR is influenced by the extent to which analyses standardize for plant size.", "author" : [ { "dropping-particle" : "", "family" : "Rees", "given" : "Mark", "non-dropping-particle" : "", "parse-names" : false, "suffix" : "" }, { "dropping-particle" : "", "family" : "Osborne", "given" : "Colin P", "non-dropping-particle" : "", "parse-names" : false, "suffix" : "" }, { "dropping-particle" : "", "family" : "Woodward", "given" : "F Ian", "non-dropping-particle" : "", "parse-names" : false, "suffix" : "" }, { "dropping-particle" : "", "family" : "Hulme", "given" : "Stephen P", "non-dropping-particle" : "", "parse-names" : false, "suffix" : "" }, { "dropping-particle" : "", "family" : "Turnbull", "given" : "Lindsay a", "non-dropping-particle" : "", "parse-names" : false, "suffix" : "" }, { "dropping-particle" : "", "family" : "Taylor", "given" : "Samuel H", "non-dropping-particle" : "", "parse-names" : false, "suffix" : "" } ], "container-title" : "The American Naturalist", "id" : "ITEM-1", "issue" : "6", "issued" : { "date-parts" : [ [ "2010", "12" ] ] }, "page" : "E152-61", "title" : "Partitioning the components of relative growth rate: how important is plant size variation?", "type" : "article-journal", "volume" : "176" }, "uris" : [ "http://www.mendeley.com/documents/?uuid=1afd3254-5470-4c91-b9e8-8953ae3efc81" ] } ], "mendeley" : { "formattedCitation" : "(Rees &lt;i&gt;et al.&lt;/i&gt;, 2010)", "manualFormatting" : "(2010)", "plainTextFormattedCitation" : "(Rees et al., 2010)", "previouslyFormattedCitation" : "(Rees &lt;i&gt;et al.&lt;/i&gt;, 2010)" }, "properties" : { "noteIndex" : 0 }, "schema" : "https://github.com/citation-style-language/schema/raw/master/csl-citation.json" }</w:instrText>
      </w:r>
      <w:r>
        <w:fldChar w:fldCharType="separate"/>
      </w:r>
      <w:r>
        <w:rPr>
          <w:noProof/>
        </w:rPr>
        <w:t>(</w:t>
      </w:r>
      <w:r w:rsidRPr="004872F6">
        <w:rPr>
          <w:noProof/>
        </w:rPr>
        <w:t>2010)</w:t>
      </w:r>
      <w:r>
        <w:fldChar w:fldCharType="end"/>
      </w:r>
      <w:r>
        <w:t>.  The parameters used are the minimum mass, the asymptotic mass, the time when plant mass is halfway between the minimum and asymptotic mass, and the rate of growth; after plotting these parameters the asymptotic mass and the time at half-size were set to vary with species and CO</w:t>
      </w:r>
      <w:r w:rsidRPr="00F768F4">
        <w:rPr>
          <w:vertAlign w:val="subscript"/>
        </w:rPr>
        <w:t>2</w:t>
      </w:r>
      <w:r>
        <w:t>.</w:t>
      </w:r>
    </w:p>
    <w:p w14:paraId="06CB04F5" w14:textId="77777777" w:rsidR="000776AD" w:rsidRDefault="000776AD" w:rsidP="000776AD">
      <w:pPr>
        <w:jc w:val="both"/>
      </w:pPr>
    </w:p>
    <w:p w14:paraId="3589E5C0" w14:textId="77777777" w:rsidR="000776AD" w:rsidRDefault="000776AD" w:rsidP="000776AD">
      <w:pPr>
        <w:jc w:val="both"/>
      </w:pPr>
      <w:r>
        <w:t xml:space="preserve">For six plants (PM27, PE29, PE30, PE31, PE32 and PE33), the curves did not fit the data well.  To ensure the analysis was robust, these plants were removed from the analysis and the analysis was repeated.  The qualitative findings of the analysis remained the same: </w:t>
      </w:r>
    </w:p>
    <w:p w14:paraId="063FB9D1" w14:textId="77777777" w:rsidR="000776AD" w:rsidRDefault="000776AD" w:rsidP="000776AD">
      <w:pPr>
        <w:pStyle w:val="ListParagraph"/>
        <w:numPr>
          <w:ilvl w:val="0"/>
          <w:numId w:val="29"/>
        </w:numPr>
        <w:jc w:val="both"/>
      </w:pPr>
      <w:r>
        <w:t>RGR peaks earlier at higher levels of CO</w:t>
      </w:r>
      <w:r w:rsidRPr="00AE7B00">
        <w:rPr>
          <w:vertAlign w:val="subscript"/>
        </w:rPr>
        <w:t>2</w:t>
      </w:r>
    </w:p>
    <w:p w14:paraId="55C829D7" w14:textId="77777777" w:rsidR="000776AD" w:rsidRPr="00AE7B00" w:rsidRDefault="000776AD" w:rsidP="000776AD">
      <w:pPr>
        <w:pStyle w:val="ListParagraph"/>
        <w:numPr>
          <w:ilvl w:val="0"/>
          <w:numId w:val="29"/>
        </w:numPr>
        <w:jc w:val="both"/>
      </w:pPr>
      <w:r>
        <w:t xml:space="preserve">The increase in RGR is greater between 180 and 400 </w:t>
      </w:r>
      <w:proofErr w:type="spellStart"/>
      <w:r>
        <w:rPr>
          <w:rFonts w:ascii="Cambria" w:hAnsi="Cambria"/>
        </w:rPr>
        <w:t>μ</w:t>
      </w:r>
      <w:r>
        <w:t>mol</w:t>
      </w:r>
      <w:proofErr w:type="spellEnd"/>
      <w:r>
        <w:t xml:space="preserve"> mol</w:t>
      </w:r>
      <w:r w:rsidRPr="00E27DA2">
        <w:rPr>
          <w:vertAlign w:val="superscript"/>
        </w:rPr>
        <w:t>-</w:t>
      </w:r>
      <w:r>
        <w:rPr>
          <w:vertAlign w:val="superscript"/>
        </w:rPr>
        <w:t xml:space="preserve">1 </w:t>
      </w:r>
      <w:r>
        <w:rPr>
          <w:rFonts w:ascii="Cambria" w:hAnsi="Cambria"/>
        </w:rPr>
        <w:t>CO</w:t>
      </w:r>
      <w:r w:rsidRPr="007B01BF">
        <w:rPr>
          <w:rFonts w:ascii="Cambria" w:hAnsi="Cambria"/>
          <w:vertAlign w:val="subscript"/>
        </w:rPr>
        <w:t>2</w:t>
      </w:r>
      <w:r>
        <w:rPr>
          <w:rFonts w:ascii="Cambria" w:hAnsi="Cambria"/>
          <w:vertAlign w:val="subscript"/>
        </w:rPr>
        <w:t xml:space="preserve"> </w:t>
      </w:r>
      <w:r>
        <w:t xml:space="preserve">than between 400 and 1500 </w:t>
      </w:r>
      <w:proofErr w:type="spellStart"/>
      <w:r>
        <w:rPr>
          <w:rFonts w:ascii="Cambria" w:hAnsi="Cambria"/>
        </w:rPr>
        <w:t>μ</w:t>
      </w:r>
      <w:r>
        <w:t>mol</w:t>
      </w:r>
      <w:proofErr w:type="spellEnd"/>
      <w:r>
        <w:t xml:space="preserve"> mol</w:t>
      </w:r>
      <w:r w:rsidRPr="00E27DA2">
        <w:rPr>
          <w:vertAlign w:val="superscript"/>
        </w:rPr>
        <w:t>-</w:t>
      </w:r>
      <w:r>
        <w:rPr>
          <w:vertAlign w:val="superscript"/>
        </w:rPr>
        <w:t xml:space="preserve">1 </w:t>
      </w:r>
      <w:r>
        <w:rPr>
          <w:rFonts w:ascii="Cambria" w:hAnsi="Cambria"/>
        </w:rPr>
        <w:t>CO</w:t>
      </w:r>
      <w:r w:rsidRPr="007B01BF">
        <w:rPr>
          <w:rFonts w:ascii="Cambria" w:hAnsi="Cambria"/>
          <w:vertAlign w:val="subscript"/>
        </w:rPr>
        <w:t>2</w:t>
      </w:r>
    </w:p>
    <w:p w14:paraId="7AFA0FAB" w14:textId="77777777" w:rsidR="000776AD" w:rsidRDefault="000776AD" w:rsidP="000776AD">
      <w:pPr>
        <w:pStyle w:val="ListParagraph"/>
        <w:numPr>
          <w:ilvl w:val="0"/>
          <w:numId w:val="29"/>
        </w:numPr>
        <w:jc w:val="both"/>
      </w:pPr>
      <w:r>
        <w:t>RGR is higher in the annual than the perennial</w:t>
      </w:r>
    </w:p>
    <w:p w14:paraId="663808E8" w14:textId="77777777" w:rsidR="000776AD" w:rsidRDefault="000776AD" w:rsidP="000776AD">
      <w:pPr>
        <w:jc w:val="both"/>
      </w:pPr>
      <w:r>
        <w:t>and so it was decided to retain these individuals in the analysis.</w:t>
      </w:r>
    </w:p>
    <w:p w14:paraId="0EBA9ACE" w14:textId="77777777" w:rsidR="000776AD" w:rsidRDefault="000776AD" w:rsidP="000776AD">
      <w:pPr>
        <w:jc w:val="both"/>
      </w:pPr>
    </w:p>
    <w:p w14:paraId="27D1813E" w14:textId="1C17083D" w:rsidR="000776AD" w:rsidRDefault="000776AD" w:rsidP="000776AD">
      <w:pPr>
        <w:jc w:val="both"/>
      </w:pPr>
      <w:r>
        <w:t xml:space="preserve">RGR was then obtained using the equation of Rees </w:t>
      </w:r>
      <w:r>
        <w:rPr>
          <w:i/>
        </w:rPr>
        <w:t>et al</w:t>
      </w:r>
      <w:r>
        <w:t xml:space="preserve">. </w:t>
      </w:r>
      <w:r>
        <w:fldChar w:fldCharType="begin" w:fldLock="1"/>
      </w:r>
      <w:r w:rsidR="00906E41">
        <w:instrText>ADDIN CSL_CITATION { "citationItems" : [ { "id" : "ITEM-1", "itemData" : { "DOI" : "10.1086/657037", "ISSN" : "1537-5323", "PMID" : "20950150", "abstract" : "Plant growth plays a key role in the functioning of the terrestrial biosphere, and there have been substantial efforts to understand why growth varies among species. To this end, a large number of experimental analyses have been undertaken; however, the emergent patterns between growth rate and its components are often contradictory. We believe that these conflicting results are a consequence of the way growth is measured. Growth is typically characterized by relative growth rate (RGR); however, RGR often declines as organisms get larger, making it difficult to compare species of different sizes. To overcome this problem, we advocate using nonlinear mixed-effects models so that RGR can be calculated at a standard size, and we present easily implemented methods for doing this. We then present new methods for analyzing the traditional components of RGR that explicitly allow for the fact that (log)(RGR) is the sum of its components. These methods provide an exact decomposition of the variance in (log)(RGR). Finally, we use simple analytical and simulation approaches to explore the effect of size variation on growth and its components and show that the relative importance of the components of RGR is influenced by the extent to which analyses standardize for plant size.", "author" : [ { "dropping-particle" : "", "family" : "Rees", "given" : "Mark", "non-dropping-particle" : "", "parse-names" : false, "suffix" : "" }, { "dropping-particle" : "", "family" : "Osborne", "given" : "Colin P", "non-dropping-particle" : "", "parse-names" : false, "suffix" : "" }, { "dropping-particle" : "", "family" : "Woodward", "given" : "F Ian", "non-dropping-particle" : "", "parse-names" : false, "suffix" : "" }, { "dropping-particle" : "", "family" : "Hulme", "given" : "Stephen P", "non-dropping-particle" : "", "parse-names" : false, "suffix" : "" }, { "dropping-particle" : "", "family" : "Turnbull", "given" : "Lindsay a", "non-dropping-particle" : "", "parse-names" : false, "suffix" : "" }, { "dropping-particle" : "", "family" : "Taylor", "given" : "Samuel H", "non-dropping-particle" : "", "parse-names" : false, "suffix" : "" } ], "container-title" : "The American Naturalist", "id" : "ITEM-1", "issue" : "6", "issued" : { "date-parts" : [ [ "2010", "12" ] ] }, "page" : "E152-61", "title" : "Partitioning the components of relative growth rate: how important is plant size variation?", "type" : "article-journal", "volume" : "176" }, "uris" : [ "http://www.mendeley.com/documents/?uuid=1afd3254-5470-4c91-b9e8-8953ae3efc81" ] } ], "mendeley" : { "formattedCitation" : "(Rees &lt;i&gt;et al.&lt;/i&gt;, 2010)", "manualFormatting" : "(2010)", "plainTextFormattedCitation" : "(Rees et al., 2010)", "previouslyFormattedCitation" : "(Rees &lt;i&gt;et al.&lt;/i&gt;, 2010)" }, "properties" : { "noteIndex" : 0 }, "schema" : "https://github.com/citation-style-language/schema/raw/master/csl-citation.json" }</w:instrText>
      </w:r>
      <w:r>
        <w:fldChar w:fldCharType="separate"/>
      </w:r>
      <w:r>
        <w:rPr>
          <w:noProof/>
        </w:rPr>
        <w:t>(</w:t>
      </w:r>
      <w:r w:rsidRPr="004872F6">
        <w:rPr>
          <w:noProof/>
        </w:rPr>
        <w:t>2010)</w:t>
      </w:r>
      <w:r>
        <w:fldChar w:fldCharType="end"/>
      </w:r>
      <w:r>
        <w:t xml:space="preserve">, which enabled RGR at different times during development to be estimated.  </w:t>
      </w:r>
    </w:p>
    <w:p w14:paraId="2B57E80A" w14:textId="77777777" w:rsidR="000776AD" w:rsidRDefault="000776AD" w:rsidP="000776AD">
      <w:pPr>
        <w:jc w:val="both"/>
      </w:pPr>
    </w:p>
    <w:p w14:paraId="666D8A2B" w14:textId="77777777" w:rsidR="000776AD" w:rsidRDefault="000776AD" w:rsidP="000776AD">
      <w:pPr>
        <w:jc w:val="both"/>
      </w:pPr>
    </w:p>
    <w:p w14:paraId="135A78DA" w14:textId="77777777" w:rsidR="000776AD" w:rsidRDefault="000776AD" w:rsidP="000776AD">
      <w:pPr>
        <w:jc w:val="both"/>
      </w:pPr>
      <w:r>
        <w:t>For RGR at different levels of external nitrogen (presented in Figures 2 and 3 of Chapter 5), there was insufficient data to fit the four-parameter logistic model used for RGR at different levels of CO</w:t>
      </w:r>
      <w:r w:rsidRPr="00A46A2A">
        <w:rPr>
          <w:vertAlign w:val="subscript"/>
        </w:rPr>
        <w:t>2</w:t>
      </w:r>
      <w:r>
        <w:t xml:space="preserve">.  For data from the nitrogen manipulation experiment, overall RGR was obtained from initial and final mass using the </w:t>
      </w:r>
      <w:r w:rsidRPr="00AE7B00">
        <w:t>following equation:</w:t>
      </w:r>
    </w:p>
    <w:p w14:paraId="10DB05E2" w14:textId="77777777" w:rsidR="000776AD" w:rsidRDefault="000776AD" w:rsidP="000776AD">
      <w:pPr>
        <w:jc w:val="both"/>
      </w:pPr>
    </w:p>
    <w:p w14:paraId="3D7D7BE7" w14:textId="77777777" w:rsidR="000776AD" w:rsidRDefault="00E104AE" w:rsidP="000776AD">
      <w:pPr>
        <w:jc w:val="both"/>
      </w:pPr>
      <m:oMathPara>
        <m:oMath>
          <m:f>
            <m:fPr>
              <m:ctrlPr>
                <w:rPr>
                  <w:rFonts w:ascii="Cambria Math" w:hAnsi="Cambria Math"/>
                  <w:i/>
                </w:rPr>
              </m:ctrlPr>
            </m:fPr>
            <m:num>
              <m:func>
                <m:funcPr>
                  <m:ctrlPr>
                    <w:rPr>
                      <w:rFonts w:ascii="Cambria Math" w:hAnsi="Cambria Math"/>
                      <w:i/>
                    </w:rPr>
                  </m:ctrlPr>
                </m:funcPr>
                <m:fName>
                  <m:r>
                    <m:rPr>
                      <m:sty m:val="p"/>
                    </m:rPr>
                    <w:rPr>
                      <w:rFonts w:ascii="Cambria Math" w:hAnsi="Cambria Math"/>
                    </w:rPr>
                    <m:t>log</m:t>
                  </m:r>
                </m:fName>
                <m:e>
                  <m:d>
                    <m:dPr>
                      <m:ctrlPr>
                        <w:rPr>
                          <w:rFonts w:ascii="Cambria Math" w:hAnsi="Cambria Math"/>
                          <w:i/>
                        </w:rPr>
                      </m:ctrlPr>
                    </m:dPr>
                    <m:e>
                      <m:r>
                        <w:rPr>
                          <w:rFonts w:ascii="Cambria Math" w:hAnsi="Cambria Math"/>
                        </w:rPr>
                        <m:t>final mass</m:t>
                      </m:r>
                    </m:e>
                  </m:d>
                </m:e>
              </m:func>
              <m:r>
                <w:rPr>
                  <w:rFonts w:ascii="Cambria Math" w:hAnsi="Cambria Math"/>
                </w:rPr>
                <m:t>-</m:t>
              </m:r>
              <m:r>
                <m:rPr>
                  <m:sty m:val="p"/>
                </m:rPr>
                <w:rPr>
                  <w:rFonts w:ascii="Cambria Math" w:hAnsi="Cambria Math"/>
                </w:rPr>
                <m:t>log⁡</m:t>
              </m:r>
              <m:r>
                <w:rPr>
                  <w:rFonts w:ascii="Cambria Math" w:hAnsi="Cambria Math"/>
                </w:rPr>
                <m:t>(initial mass)</m:t>
              </m:r>
            </m:num>
            <m:den>
              <m:r>
                <w:rPr>
                  <w:rFonts w:ascii="Cambria Math" w:hAnsi="Cambria Math"/>
                </w:rPr>
                <m:t>time</m:t>
              </m:r>
            </m:den>
          </m:f>
        </m:oMath>
      </m:oMathPara>
    </w:p>
    <w:p w14:paraId="12072DBA" w14:textId="77777777" w:rsidR="000776AD" w:rsidRDefault="000776AD" w:rsidP="000776AD">
      <w:pPr>
        <w:jc w:val="both"/>
      </w:pPr>
    </w:p>
    <w:p w14:paraId="3872061F" w14:textId="77777777" w:rsidR="000776AD" w:rsidRDefault="000776AD" w:rsidP="000776AD">
      <w:pPr>
        <w:jc w:val="both"/>
      </w:pPr>
    </w:p>
    <w:p w14:paraId="0961AD08" w14:textId="77777777" w:rsidR="000776AD" w:rsidRDefault="000776AD" w:rsidP="000776AD">
      <w:pPr>
        <w:jc w:val="both"/>
      </w:pPr>
      <w:r>
        <w:t>This gave an overall value of RGR for each individual, rather than RGR at different times.  Differences between species and nitrogen treatments were then revealed using Type II ANOVA.  This approach was also taken in Chapter 3, where area-based RGR was used.</w:t>
      </w:r>
    </w:p>
    <w:p w14:paraId="0337B040" w14:textId="77777777" w:rsidR="000776AD" w:rsidRDefault="000776AD" w:rsidP="000776AD">
      <w:pPr>
        <w:jc w:val="both"/>
      </w:pPr>
    </w:p>
    <w:p w14:paraId="0A713E67" w14:textId="77777777" w:rsidR="000776AD" w:rsidRDefault="000776AD" w:rsidP="000776AD">
      <w:pPr>
        <w:jc w:val="both"/>
      </w:pPr>
    </w:p>
    <w:p w14:paraId="35739CE9" w14:textId="77777777" w:rsidR="000776AD" w:rsidRDefault="000776AD" w:rsidP="000776AD">
      <w:pPr>
        <w:jc w:val="both"/>
      </w:pPr>
    </w:p>
    <w:p w14:paraId="2F57568D" w14:textId="77777777" w:rsidR="000776AD" w:rsidRDefault="000776AD" w:rsidP="000776AD">
      <w:pPr>
        <w:jc w:val="both"/>
      </w:pPr>
    </w:p>
    <w:p w14:paraId="44A02774" w14:textId="77777777" w:rsidR="000776AD" w:rsidRDefault="000776AD" w:rsidP="000776AD">
      <w:pPr>
        <w:jc w:val="both"/>
      </w:pPr>
    </w:p>
    <w:p w14:paraId="4F166AE0" w14:textId="77777777" w:rsidR="000776AD" w:rsidRDefault="000776AD" w:rsidP="000776AD">
      <w:pPr>
        <w:jc w:val="both"/>
      </w:pPr>
    </w:p>
    <w:p w14:paraId="2A0EF622" w14:textId="77777777" w:rsidR="000776AD" w:rsidRDefault="000776AD" w:rsidP="000776AD">
      <w:pPr>
        <w:jc w:val="both"/>
      </w:pPr>
    </w:p>
    <w:p w14:paraId="51AB882F" w14:textId="77777777" w:rsidR="000776AD" w:rsidRDefault="000776AD" w:rsidP="000776AD">
      <w:pPr>
        <w:jc w:val="both"/>
      </w:pPr>
    </w:p>
    <w:p w14:paraId="3042F4D1" w14:textId="77777777" w:rsidR="000776AD" w:rsidRPr="00490232" w:rsidRDefault="000776AD" w:rsidP="000776AD">
      <w:pPr>
        <w:jc w:val="both"/>
        <w:rPr>
          <w:b/>
        </w:rPr>
      </w:pPr>
      <w:r>
        <w:rPr>
          <w:b/>
        </w:rPr>
        <w:t xml:space="preserve">R code used to obtain </w:t>
      </w:r>
      <w:r w:rsidRPr="00490232">
        <w:rPr>
          <w:b/>
        </w:rPr>
        <w:t>RGR at different levels of CO</w:t>
      </w:r>
      <w:r w:rsidRPr="00490232">
        <w:rPr>
          <w:b/>
          <w:vertAlign w:val="subscript"/>
        </w:rPr>
        <w:t>2</w:t>
      </w:r>
      <w:r w:rsidRPr="00490232">
        <w:rPr>
          <w:b/>
        </w:rPr>
        <w:t>:</w:t>
      </w:r>
    </w:p>
    <w:p w14:paraId="13B6B16C" w14:textId="77777777" w:rsidR="000776AD" w:rsidRDefault="000776AD" w:rsidP="000776AD">
      <w:pPr>
        <w:jc w:val="both"/>
      </w:pPr>
    </w:p>
    <w:p w14:paraId="07FE7AE5" w14:textId="77777777" w:rsidR="00E8405C" w:rsidRPr="00ED32EF" w:rsidRDefault="00E8405C" w:rsidP="000776AD">
      <w:pPr>
        <w:jc w:val="both"/>
      </w:pPr>
    </w:p>
    <w:p w14:paraId="62C13840" w14:textId="77777777" w:rsidR="000776AD" w:rsidRPr="00ED32EF" w:rsidRDefault="000776AD" w:rsidP="000776AD">
      <w:pPr>
        <w:jc w:val="both"/>
      </w:pPr>
      <w:proofErr w:type="spellStart"/>
      <w:r w:rsidRPr="00ED32EF">
        <w:t>rm</w:t>
      </w:r>
      <w:proofErr w:type="spellEnd"/>
      <w:r w:rsidRPr="00ED32EF">
        <w:t xml:space="preserve">(list = </w:t>
      </w:r>
      <w:proofErr w:type="spellStart"/>
      <w:r w:rsidRPr="00ED32EF">
        <w:t>ls</w:t>
      </w:r>
      <w:proofErr w:type="spellEnd"/>
      <w:r w:rsidRPr="00ED32EF">
        <w:t xml:space="preserve"> (all = TRUE))</w:t>
      </w:r>
    </w:p>
    <w:p w14:paraId="2997DC0C" w14:textId="77777777" w:rsidR="000776AD" w:rsidRPr="00ED32EF" w:rsidRDefault="000776AD" w:rsidP="000776AD">
      <w:pPr>
        <w:jc w:val="both"/>
      </w:pPr>
      <w:r w:rsidRPr="00ED32EF">
        <w:t>require(ggplot2)</w:t>
      </w:r>
    </w:p>
    <w:p w14:paraId="41E1884F" w14:textId="77777777" w:rsidR="000776AD" w:rsidRPr="00ED32EF" w:rsidRDefault="000776AD" w:rsidP="000776AD">
      <w:pPr>
        <w:jc w:val="both"/>
      </w:pPr>
      <w:r w:rsidRPr="00ED32EF">
        <w:t>require(lattice)</w:t>
      </w:r>
    </w:p>
    <w:p w14:paraId="04371146" w14:textId="77777777" w:rsidR="000776AD" w:rsidRPr="00ED32EF" w:rsidRDefault="000776AD" w:rsidP="000776AD">
      <w:pPr>
        <w:jc w:val="both"/>
      </w:pPr>
      <w:r w:rsidRPr="00ED32EF">
        <w:t>require(</w:t>
      </w:r>
      <w:proofErr w:type="spellStart"/>
      <w:r w:rsidRPr="00ED32EF">
        <w:t>gridExtra</w:t>
      </w:r>
      <w:proofErr w:type="spellEnd"/>
      <w:r w:rsidRPr="00ED32EF">
        <w:t>)</w:t>
      </w:r>
    </w:p>
    <w:p w14:paraId="4F9E6459" w14:textId="77777777" w:rsidR="000776AD" w:rsidRPr="00ED32EF" w:rsidRDefault="000776AD" w:rsidP="000776AD">
      <w:pPr>
        <w:jc w:val="both"/>
      </w:pPr>
      <w:r w:rsidRPr="00ED32EF">
        <w:t>require(</w:t>
      </w:r>
      <w:proofErr w:type="spellStart"/>
      <w:r w:rsidRPr="00ED32EF">
        <w:t>doBy</w:t>
      </w:r>
      <w:proofErr w:type="spellEnd"/>
      <w:r w:rsidRPr="00ED32EF">
        <w:t>)</w:t>
      </w:r>
    </w:p>
    <w:p w14:paraId="0A7C93D6" w14:textId="77777777" w:rsidR="000776AD" w:rsidRPr="00ED32EF" w:rsidRDefault="000776AD" w:rsidP="000776AD">
      <w:pPr>
        <w:jc w:val="both"/>
      </w:pPr>
      <w:r w:rsidRPr="00ED32EF">
        <w:t>require(</w:t>
      </w:r>
      <w:proofErr w:type="spellStart"/>
      <w:r w:rsidRPr="00ED32EF">
        <w:t>nlme</w:t>
      </w:r>
      <w:proofErr w:type="spellEnd"/>
      <w:r w:rsidRPr="00ED32EF">
        <w:t>)</w:t>
      </w:r>
    </w:p>
    <w:p w14:paraId="684022A0" w14:textId="77777777" w:rsidR="000776AD" w:rsidRPr="00ED32EF" w:rsidRDefault="000776AD" w:rsidP="000776AD">
      <w:pPr>
        <w:jc w:val="both"/>
      </w:pPr>
    </w:p>
    <w:p w14:paraId="7F7D4291" w14:textId="77777777" w:rsidR="000776AD" w:rsidRPr="00ED32EF" w:rsidRDefault="000776AD" w:rsidP="000776AD">
      <w:pPr>
        <w:jc w:val="both"/>
        <w:rPr>
          <w:i/>
        </w:rPr>
      </w:pPr>
      <w:r w:rsidRPr="00ED32EF">
        <w:rPr>
          <w:i/>
        </w:rPr>
        <w:t># First use the data from destructively-harvested plants to obtain the relationship between mass and area</w:t>
      </w:r>
    </w:p>
    <w:p w14:paraId="036FAAD7" w14:textId="77777777" w:rsidR="000776AD" w:rsidRPr="00ED32EF" w:rsidRDefault="000776AD" w:rsidP="000776AD">
      <w:pPr>
        <w:jc w:val="both"/>
      </w:pPr>
      <w:proofErr w:type="spellStart"/>
      <w:r w:rsidRPr="00ED32EF">
        <w:t>mydata</w:t>
      </w:r>
      <w:proofErr w:type="spellEnd"/>
      <w:r w:rsidRPr="00ED32EF">
        <w:t xml:space="preserve"> &lt;- read.csv("Biomass Harvest Data.csv")</w:t>
      </w:r>
    </w:p>
    <w:p w14:paraId="6DF9BED0" w14:textId="77777777" w:rsidR="000776AD" w:rsidRPr="00ED32EF" w:rsidRDefault="000776AD" w:rsidP="000776AD">
      <w:pPr>
        <w:jc w:val="both"/>
      </w:pPr>
      <w:proofErr w:type="spellStart"/>
      <w:r w:rsidRPr="00ED32EF">
        <w:t>mydata$plant</w:t>
      </w:r>
      <w:proofErr w:type="spellEnd"/>
      <w:r w:rsidRPr="00ED32EF">
        <w:t xml:space="preserve"> &lt;- factor(</w:t>
      </w:r>
      <w:proofErr w:type="spellStart"/>
      <w:r w:rsidRPr="00ED32EF">
        <w:t>mydata$plant</w:t>
      </w:r>
      <w:proofErr w:type="spellEnd"/>
      <w:r w:rsidRPr="00ED32EF">
        <w:t>)</w:t>
      </w:r>
    </w:p>
    <w:p w14:paraId="211A210F" w14:textId="77777777" w:rsidR="000776AD" w:rsidRPr="00ED32EF" w:rsidRDefault="000776AD" w:rsidP="000776AD">
      <w:pPr>
        <w:jc w:val="both"/>
      </w:pPr>
      <w:proofErr w:type="spellStart"/>
      <w:r w:rsidRPr="00ED32EF">
        <w:t>mydata$carbondioxide</w:t>
      </w:r>
      <w:proofErr w:type="spellEnd"/>
      <w:r w:rsidRPr="00ED32EF">
        <w:t xml:space="preserve"> &lt;- factor(</w:t>
      </w:r>
      <w:proofErr w:type="spellStart"/>
      <w:r w:rsidRPr="00ED32EF">
        <w:t>mydata$carbondioxide</w:t>
      </w:r>
      <w:proofErr w:type="spellEnd"/>
      <w:r w:rsidRPr="00ED32EF">
        <w:t>, levels=c("180ppm", "400ppm", "1500ppm"))</w:t>
      </w:r>
    </w:p>
    <w:p w14:paraId="0272FAB8" w14:textId="77777777" w:rsidR="000776AD" w:rsidRPr="00ED32EF" w:rsidRDefault="000776AD" w:rsidP="000776AD">
      <w:pPr>
        <w:jc w:val="both"/>
      </w:pPr>
      <w:proofErr w:type="spellStart"/>
      <w:r w:rsidRPr="00ED32EF">
        <w:t>mydata$chamber</w:t>
      </w:r>
      <w:proofErr w:type="spellEnd"/>
      <w:r w:rsidRPr="00ED32EF">
        <w:t xml:space="preserve"> &lt;- factor(</w:t>
      </w:r>
      <w:proofErr w:type="spellStart"/>
      <w:r w:rsidRPr="00ED32EF">
        <w:t>mydata$chamber</w:t>
      </w:r>
      <w:proofErr w:type="spellEnd"/>
      <w:r w:rsidRPr="00ED32EF">
        <w:t>)</w:t>
      </w:r>
    </w:p>
    <w:p w14:paraId="10091626" w14:textId="77777777" w:rsidR="000776AD" w:rsidRPr="00ED32EF" w:rsidRDefault="000776AD" w:rsidP="000776AD">
      <w:pPr>
        <w:jc w:val="both"/>
      </w:pPr>
      <w:proofErr w:type="spellStart"/>
      <w:r w:rsidRPr="00ED32EF">
        <w:t>str</w:t>
      </w:r>
      <w:proofErr w:type="spellEnd"/>
      <w:r w:rsidRPr="00ED32EF">
        <w:t>(</w:t>
      </w:r>
      <w:proofErr w:type="spellStart"/>
      <w:r w:rsidRPr="00ED32EF">
        <w:t>mydata</w:t>
      </w:r>
      <w:proofErr w:type="spellEnd"/>
      <w:r w:rsidRPr="00ED32EF">
        <w:t>)</w:t>
      </w:r>
    </w:p>
    <w:p w14:paraId="47A37737" w14:textId="77777777" w:rsidR="000776AD" w:rsidRPr="00ED32EF" w:rsidRDefault="000776AD" w:rsidP="000776AD">
      <w:pPr>
        <w:jc w:val="both"/>
      </w:pPr>
    </w:p>
    <w:p w14:paraId="6521476E" w14:textId="77777777" w:rsidR="000776AD" w:rsidRPr="00ED32EF" w:rsidRDefault="000776AD" w:rsidP="000776AD">
      <w:pPr>
        <w:jc w:val="both"/>
        <w:rPr>
          <w:i/>
        </w:rPr>
      </w:pPr>
      <w:r w:rsidRPr="00ED32EF">
        <w:rPr>
          <w:i/>
        </w:rPr>
        <w:t>### Dry masses in grams</w:t>
      </w:r>
    </w:p>
    <w:p w14:paraId="48BE279E" w14:textId="77777777" w:rsidR="000776AD" w:rsidRPr="00ED32EF" w:rsidRDefault="000776AD" w:rsidP="000776AD">
      <w:pPr>
        <w:jc w:val="both"/>
        <w:rPr>
          <w:i/>
        </w:rPr>
      </w:pPr>
      <w:r w:rsidRPr="00ED32EF">
        <w:rPr>
          <w:i/>
        </w:rPr>
        <w:t>### Shoot areas in mm2</w:t>
      </w:r>
    </w:p>
    <w:p w14:paraId="4202BE60" w14:textId="77777777" w:rsidR="000776AD" w:rsidRPr="00ED32EF" w:rsidRDefault="000776AD" w:rsidP="000776AD">
      <w:pPr>
        <w:jc w:val="both"/>
        <w:rPr>
          <w:i/>
        </w:rPr>
      </w:pPr>
    </w:p>
    <w:p w14:paraId="7E4E4AE1" w14:textId="77777777" w:rsidR="000776AD" w:rsidRPr="00ED32EF" w:rsidRDefault="000776AD" w:rsidP="000776AD">
      <w:pPr>
        <w:jc w:val="both"/>
        <w:rPr>
          <w:i/>
        </w:rPr>
      </w:pPr>
      <w:r w:rsidRPr="00ED32EF">
        <w:rPr>
          <w:i/>
        </w:rPr>
        <w:t>#######################################################</w:t>
      </w:r>
    </w:p>
    <w:p w14:paraId="1C9B8A0F" w14:textId="77777777" w:rsidR="000776AD" w:rsidRPr="00ED32EF" w:rsidRDefault="000776AD" w:rsidP="000776AD">
      <w:pPr>
        <w:jc w:val="both"/>
        <w:rPr>
          <w:i/>
        </w:rPr>
      </w:pPr>
      <w:r w:rsidRPr="00ED32EF">
        <w:rPr>
          <w:i/>
        </w:rPr>
        <w:t>#Predicting mass from leaf area for plants harvested destructively</w:t>
      </w:r>
    </w:p>
    <w:p w14:paraId="160C1FB8" w14:textId="77777777" w:rsidR="000776AD" w:rsidRPr="00ED32EF" w:rsidRDefault="000776AD" w:rsidP="000776AD">
      <w:pPr>
        <w:jc w:val="both"/>
        <w:rPr>
          <w:i/>
        </w:rPr>
      </w:pPr>
      <w:r w:rsidRPr="00ED32EF">
        <w:rPr>
          <w:i/>
        </w:rPr>
        <w:t>#######################################################</w:t>
      </w:r>
    </w:p>
    <w:p w14:paraId="6A298725" w14:textId="77777777" w:rsidR="000776AD" w:rsidRPr="00ED32EF" w:rsidRDefault="000776AD" w:rsidP="000776AD">
      <w:pPr>
        <w:jc w:val="both"/>
        <w:rPr>
          <w:i/>
        </w:rPr>
      </w:pPr>
    </w:p>
    <w:p w14:paraId="56328436" w14:textId="77777777" w:rsidR="000776AD" w:rsidRPr="00ED32EF" w:rsidRDefault="000776AD" w:rsidP="000776AD">
      <w:pPr>
        <w:jc w:val="both"/>
      </w:pPr>
      <w:proofErr w:type="spellStart"/>
      <w:r w:rsidRPr="00ED32EF">
        <w:t>mydata</w:t>
      </w:r>
      <w:proofErr w:type="spellEnd"/>
      <w:r w:rsidRPr="00ED32EF">
        <w:t xml:space="preserve"> &lt;- transform(</w:t>
      </w:r>
      <w:proofErr w:type="spellStart"/>
      <w:r w:rsidRPr="00ED32EF">
        <w:t>mydata</w:t>
      </w:r>
      <w:proofErr w:type="spellEnd"/>
      <w:r w:rsidRPr="00ED32EF">
        <w:t xml:space="preserve">, </w:t>
      </w:r>
      <w:proofErr w:type="spellStart"/>
      <w:r w:rsidRPr="00ED32EF">
        <w:t>total.mass</w:t>
      </w:r>
      <w:proofErr w:type="spellEnd"/>
      <w:r w:rsidRPr="00ED32EF">
        <w:t xml:space="preserve"> = root + leaf + stem)</w:t>
      </w:r>
    </w:p>
    <w:p w14:paraId="6B06E96D" w14:textId="77777777" w:rsidR="000776AD" w:rsidRPr="00ED32EF" w:rsidRDefault="000776AD" w:rsidP="000776AD">
      <w:pPr>
        <w:jc w:val="both"/>
      </w:pPr>
      <w:proofErr w:type="spellStart"/>
      <w:r w:rsidRPr="00ED32EF">
        <w:t>mydata</w:t>
      </w:r>
      <w:proofErr w:type="spellEnd"/>
      <w:r w:rsidRPr="00ED32EF">
        <w:t xml:space="preserve"> &lt;- transform(</w:t>
      </w:r>
      <w:proofErr w:type="spellStart"/>
      <w:r w:rsidRPr="00ED32EF">
        <w:t>mydata</w:t>
      </w:r>
      <w:proofErr w:type="spellEnd"/>
      <w:r w:rsidRPr="00ED32EF">
        <w:t xml:space="preserve">, </w:t>
      </w:r>
      <w:proofErr w:type="spellStart"/>
      <w:r w:rsidRPr="00ED32EF">
        <w:t>log.mass</w:t>
      </w:r>
      <w:proofErr w:type="spellEnd"/>
      <w:r w:rsidRPr="00ED32EF">
        <w:t xml:space="preserve"> = log(</w:t>
      </w:r>
      <w:proofErr w:type="spellStart"/>
      <w:r w:rsidRPr="00ED32EF">
        <w:t>total.mass</w:t>
      </w:r>
      <w:proofErr w:type="spellEnd"/>
      <w:r w:rsidRPr="00ED32EF">
        <w:t>))</w:t>
      </w:r>
    </w:p>
    <w:p w14:paraId="0335E453" w14:textId="77777777" w:rsidR="000776AD" w:rsidRPr="00ED32EF" w:rsidRDefault="000776AD" w:rsidP="000776AD">
      <w:pPr>
        <w:jc w:val="both"/>
      </w:pPr>
      <w:proofErr w:type="spellStart"/>
      <w:r w:rsidRPr="00ED32EF">
        <w:t>mydata</w:t>
      </w:r>
      <w:proofErr w:type="spellEnd"/>
      <w:r w:rsidRPr="00ED32EF">
        <w:t xml:space="preserve"> &lt;- transform(</w:t>
      </w:r>
      <w:proofErr w:type="spellStart"/>
      <w:r w:rsidRPr="00ED32EF">
        <w:t>mydata</w:t>
      </w:r>
      <w:proofErr w:type="spellEnd"/>
      <w:r w:rsidRPr="00ED32EF">
        <w:t xml:space="preserve">, </w:t>
      </w:r>
      <w:proofErr w:type="spellStart"/>
      <w:r w:rsidRPr="00ED32EF">
        <w:t>log.area</w:t>
      </w:r>
      <w:proofErr w:type="spellEnd"/>
      <w:r w:rsidRPr="00ED32EF">
        <w:t xml:space="preserve"> = log(</w:t>
      </w:r>
      <w:proofErr w:type="spellStart"/>
      <w:r w:rsidRPr="00ED32EF">
        <w:t>shootA</w:t>
      </w:r>
      <w:proofErr w:type="spellEnd"/>
      <w:r w:rsidRPr="00ED32EF">
        <w:t>))</w:t>
      </w:r>
    </w:p>
    <w:p w14:paraId="45850304" w14:textId="77777777" w:rsidR="000776AD" w:rsidRPr="00ED32EF" w:rsidRDefault="000776AD" w:rsidP="000776AD">
      <w:pPr>
        <w:jc w:val="both"/>
      </w:pPr>
    </w:p>
    <w:p w14:paraId="1AD19982" w14:textId="77777777" w:rsidR="000776AD" w:rsidRPr="00ED32EF" w:rsidRDefault="000776AD" w:rsidP="000776AD">
      <w:pPr>
        <w:jc w:val="both"/>
      </w:pPr>
    </w:p>
    <w:p w14:paraId="75FACDAA" w14:textId="77777777" w:rsidR="000776AD" w:rsidRPr="00ED32EF" w:rsidRDefault="000776AD" w:rsidP="000776AD">
      <w:pPr>
        <w:jc w:val="both"/>
        <w:rPr>
          <w:i/>
        </w:rPr>
      </w:pPr>
      <w:r w:rsidRPr="00ED32EF">
        <w:rPr>
          <w:i/>
        </w:rPr>
        <w:t>###### Mass and area were correlated using regression analysis.  There was a highly significant area*species interaction (p=0.000169) so separate lines were fitted for each species.</w:t>
      </w:r>
    </w:p>
    <w:p w14:paraId="31B0F0DD" w14:textId="77777777" w:rsidR="000776AD" w:rsidRPr="00ED32EF" w:rsidRDefault="000776AD" w:rsidP="000776AD">
      <w:pPr>
        <w:jc w:val="both"/>
        <w:rPr>
          <w:i/>
        </w:rPr>
      </w:pPr>
      <w:r w:rsidRPr="00ED32EF">
        <w:rPr>
          <w:i/>
        </w:rPr>
        <w:t>###### The overall model had an R2 value 0.9668 (p &lt; 0.00001)</w:t>
      </w:r>
    </w:p>
    <w:p w14:paraId="6C151CBC" w14:textId="77777777" w:rsidR="000776AD" w:rsidRPr="00ED32EF" w:rsidRDefault="000776AD" w:rsidP="000776AD">
      <w:pPr>
        <w:jc w:val="both"/>
        <w:rPr>
          <w:i/>
        </w:rPr>
      </w:pPr>
      <w:r w:rsidRPr="00ED32EF">
        <w:rPr>
          <w:i/>
        </w:rPr>
        <w:t># we tried out a few; just need species not co2 or accession</w:t>
      </w:r>
    </w:p>
    <w:p w14:paraId="00FC38F5" w14:textId="77777777" w:rsidR="000776AD" w:rsidRPr="00ED32EF" w:rsidRDefault="000776AD" w:rsidP="000776AD">
      <w:pPr>
        <w:jc w:val="both"/>
        <w:rPr>
          <w:i/>
        </w:rPr>
      </w:pPr>
      <w:r w:rsidRPr="00ED32EF">
        <w:rPr>
          <w:i/>
        </w:rPr>
        <w:t># thus we get a separate intercept and slope for each species</w:t>
      </w:r>
    </w:p>
    <w:p w14:paraId="6721CEC4" w14:textId="77777777" w:rsidR="000776AD" w:rsidRPr="00ED32EF" w:rsidRDefault="000776AD" w:rsidP="000776AD">
      <w:pPr>
        <w:jc w:val="both"/>
        <w:rPr>
          <w:i/>
        </w:rPr>
      </w:pPr>
      <w:r w:rsidRPr="00ED32EF">
        <w:rPr>
          <w:i/>
        </w:rPr>
        <w:t># use logged data - makes curves fit well</w:t>
      </w:r>
    </w:p>
    <w:p w14:paraId="17062526" w14:textId="77777777" w:rsidR="000776AD" w:rsidRPr="00ED32EF" w:rsidRDefault="000776AD" w:rsidP="000776AD">
      <w:pPr>
        <w:jc w:val="both"/>
      </w:pPr>
      <w:r w:rsidRPr="00ED32EF">
        <w:t>fit.0 &lt;- lm(</w:t>
      </w:r>
      <w:proofErr w:type="spellStart"/>
      <w:r w:rsidRPr="00ED32EF">
        <w:t>log.mass</w:t>
      </w:r>
      <w:proofErr w:type="spellEnd"/>
      <w:r w:rsidRPr="00ED32EF">
        <w:t xml:space="preserve"> ~ species * </w:t>
      </w:r>
      <w:proofErr w:type="spellStart"/>
      <w:r w:rsidRPr="00ED32EF">
        <w:t>log.area</w:t>
      </w:r>
      <w:proofErr w:type="spellEnd"/>
      <w:r w:rsidRPr="00ED32EF">
        <w:t>, data=</w:t>
      </w:r>
      <w:proofErr w:type="spellStart"/>
      <w:r w:rsidRPr="00ED32EF">
        <w:t>mydata</w:t>
      </w:r>
      <w:proofErr w:type="spellEnd"/>
      <w:r w:rsidRPr="00ED32EF">
        <w:t>)</w:t>
      </w:r>
    </w:p>
    <w:p w14:paraId="61CBEFFB" w14:textId="77777777" w:rsidR="000776AD" w:rsidRPr="00ED32EF" w:rsidRDefault="000776AD" w:rsidP="000776AD">
      <w:pPr>
        <w:jc w:val="both"/>
      </w:pPr>
      <w:proofErr w:type="spellStart"/>
      <w:r w:rsidRPr="00ED32EF">
        <w:t>anova</w:t>
      </w:r>
      <w:proofErr w:type="spellEnd"/>
      <w:r w:rsidRPr="00ED32EF">
        <w:t>(fit.0)</w:t>
      </w:r>
    </w:p>
    <w:p w14:paraId="67C24D78" w14:textId="77777777" w:rsidR="000776AD" w:rsidRPr="00ED32EF" w:rsidRDefault="000776AD" w:rsidP="000776AD">
      <w:pPr>
        <w:jc w:val="both"/>
      </w:pPr>
      <w:r w:rsidRPr="00ED32EF">
        <w:t>summary(fit.0)</w:t>
      </w:r>
    </w:p>
    <w:p w14:paraId="2422D3E8" w14:textId="77777777" w:rsidR="000776AD" w:rsidRPr="00ED32EF" w:rsidRDefault="000776AD" w:rsidP="000776AD">
      <w:pPr>
        <w:jc w:val="both"/>
      </w:pPr>
    </w:p>
    <w:p w14:paraId="6728208E" w14:textId="77777777" w:rsidR="000776AD" w:rsidRPr="00ED32EF" w:rsidRDefault="000776AD" w:rsidP="000776AD">
      <w:pPr>
        <w:jc w:val="both"/>
      </w:pPr>
    </w:p>
    <w:p w14:paraId="0975C70C" w14:textId="77777777" w:rsidR="000776AD" w:rsidRPr="00ED32EF" w:rsidRDefault="000776AD" w:rsidP="000776AD">
      <w:pPr>
        <w:jc w:val="both"/>
        <w:rPr>
          <w:i/>
        </w:rPr>
      </w:pPr>
      <w:r w:rsidRPr="00ED32EF">
        <w:rPr>
          <w:i/>
        </w:rPr>
        <w:t>#######################################################</w:t>
      </w:r>
    </w:p>
    <w:p w14:paraId="0661DA93" w14:textId="77777777" w:rsidR="000776AD" w:rsidRPr="00ED32EF" w:rsidRDefault="000776AD" w:rsidP="000776AD">
      <w:pPr>
        <w:jc w:val="both"/>
        <w:rPr>
          <w:i/>
        </w:rPr>
      </w:pPr>
      <w:r w:rsidRPr="00ED32EF">
        <w:rPr>
          <w:i/>
        </w:rPr>
        <w:t>#Predicting mass from leaf area for the main dataset</w:t>
      </w:r>
    </w:p>
    <w:p w14:paraId="730AEA41" w14:textId="77777777" w:rsidR="000776AD" w:rsidRPr="00ED32EF" w:rsidRDefault="000776AD" w:rsidP="000776AD">
      <w:pPr>
        <w:jc w:val="both"/>
        <w:rPr>
          <w:i/>
        </w:rPr>
      </w:pPr>
      <w:r w:rsidRPr="00ED32EF">
        <w:rPr>
          <w:i/>
        </w:rPr>
        <w:t>#######################################################</w:t>
      </w:r>
    </w:p>
    <w:p w14:paraId="04C9A9F1" w14:textId="77777777" w:rsidR="000776AD" w:rsidRPr="00ED32EF" w:rsidRDefault="000776AD" w:rsidP="000776AD">
      <w:pPr>
        <w:jc w:val="both"/>
      </w:pPr>
    </w:p>
    <w:p w14:paraId="47892C70" w14:textId="77777777" w:rsidR="000776AD" w:rsidRPr="00ED32EF" w:rsidRDefault="000776AD" w:rsidP="000776AD">
      <w:pPr>
        <w:jc w:val="both"/>
      </w:pPr>
      <w:proofErr w:type="spellStart"/>
      <w:r w:rsidRPr="00ED32EF">
        <w:t>area.data</w:t>
      </w:r>
      <w:proofErr w:type="spellEnd"/>
      <w:r w:rsidRPr="00ED32EF">
        <w:t xml:space="preserve"> &lt;- read.csv("Mean Shoot Areas from Summer 2014 Photos.csv")</w:t>
      </w:r>
    </w:p>
    <w:p w14:paraId="747A8CC4" w14:textId="77777777" w:rsidR="000776AD" w:rsidRPr="00ED32EF" w:rsidRDefault="000776AD" w:rsidP="000776AD">
      <w:pPr>
        <w:jc w:val="both"/>
      </w:pPr>
      <w:r w:rsidRPr="00ED32EF">
        <w:t># need to have same names in both files, for parameters of interest</w:t>
      </w:r>
    </w:p>
    <w:p w14:paraId="1C77315E" w14:textId="77777777" w:rsidR="000776AD" w:rsidRPr="00ED32EF" w:rsidRDefault="000776AD" w:rsidP="000776AD">
      <w:pPr>
        <w:jc w:val="both"/>
      </w:pPr>
    </w:p>
    <w:p w14:paraId="23ADA7DC" w14:textId="77777777" w:rsidR="000776AD" w:rsidRPr="00ED32EF" w:rsidRDefault="000776AD" w:rsidP="000776AD">
      <w:pPr>
        <w:jc w:val="both"/>
      </w:pPr>
      <w:proofErr w:type="spellStart"/>
      <w:r w:rsidRPr="00ED32EF">
        <w:t>area.data</w:t>
      </w:r>
      <w:proofErr w:type="spellEnd"/>
      <w:r w:rsidRPr="00ED32EF">
        <w:t xml:space="preserve"> &lt;- transform(</w:t>
      </w:r>
      <w:proofErr w:type="spellStart"/>
      <w:r w:rsidRPr="00ED32EF">
        <w:t>area.data</w:t>
      </w:r>
      <w:proofErr w:type="spellEnd"/>
      <w:r w:rsidRPr="00ED32EF">
        <w:t xml:space="preserve">, </w:t>
      </w:r>
      <w:proofErr w:type="spellStart"/>
      <w:r w:rsidRPr="00ED32EF">
        <w:t>log.area</w:t>
      </w:r>
      <w:proofErr w:type="spellEnd"/>
      <w:r w:rsidRPr="00ED32EF">
        <w:t xml:space="preserve"> = log(Mean.area.mm2))</w:t>
      </w:r>
    </w:p>
    <w:p w14:paraId="580D6C0D" w14:textId="77777777" w:rsidR="000776AD" w:rsidRPr="00ED32EF" w:rsidRDefault="000776AD" w:rsidP="000776AD">
      <w:pPr>
        <w:jc w:val="both"/>
      </w:pPr>
      <w:proofErr w:type="spellStart"/>
      <w:r w:rsidRPr="00ED32EF">
        <w:t>area.data</w:t>
      </w:r>
      <w:proofErr w:type="spellEnd"/>
      <w:r w:rsidRPr="00ED32EF">
        <w:t xml:space="preserve"> &lt;- transform(</w:t>
      </w:r>
      <w:proofErr w:type="spellStart"/>
      <w:r w:rsidRPr="00ED32EF">
        <w:t>area.data</w:t>
      </w:r>
      <w:proofErr w:type="spellEnd"/>
      <w:r w:rsidRPr="00ED32EF">
        <w:t xml:space="preserve">, </w:t>
      </w:r>
      <w:proofErr w:type="spellStart"/>
      <w:r w:rsidRPr="00ED32EF">
        <w:t>log.mass.pred</w:t>
      </w:r>
      <w:proofErr w:type="spellEnd"/>
      <w:r w:rsidRPr="00ED32EF">
        <w:t xml:space="preserve"> = predict(fit.0,newdata=</w:t>
      </w:r>
      <w:proofErr w:type="spellStart"/>
      <w:r w:rsidRPr="00ED32EF">
        <w:t>area.data</w:t>
      </w:r>
      <w:proofErr w:type="spellEnd"/>
      <w:r w:rsidRPr="00ED32EF">
        <w:t>))</w:t>
      </w:r>
    </w:p>
    <w:p w14:paraId="15F7135B" w14:textId="77777777" w:rsidR="000776AD" w:rsidRPr="00ED32EF" w:rsidRDefault="000776AD" w:rsidP="000776AD">
      <w:pPr>
        <w:jc w:val="both"/>
      </w:pPr>
    </w:p>
    <w:p w14:paraId="42AE3B5D" w14:textId="77777777" w:rsidR="000776AD" w:rsidRPr="00ED32EF" w:rsidRDefault="000776AD" w:rsidP="000776AD">
      <w:pPr>
        <w:jc w:val="both"/>
        <w:rPr>
          <w:i/>
        </w:rPr>
      </w:pPr>
      <w:r w:rsidRPr="00ED32EF">
        <w:rPr>
          <w:i/>
        </w:rPr>
        <w:t># Plot mass against area for destructively harvested plants</w:t>
      </w:r>
    </w:p>
    <w:p w14:paraId="31282631" w14:textId="77777777" w:rsidR="000776AD" w:rsidRPr="00ED32EF" w:rsidRDefault="000776AD" w:rsidP="000776AD">
      <w:pPr>
        <w:jc w:val="both"/>
      </w:pPr>
      <w:r w:rsidRPr="00ED32EF">
        <w:t>par(</w:t>
      </w:r>
      <w:proofErr w:type="spellStart"/>
      <w:r w:rsidRPr="00ED32EF">
        <w:t>mfrow</w:t>
      </w:r>
      <w:proofErr w:type="spellEnd"/>
      <w:r w:rsidRPr="00ED32EF">
        <w:t>=c(1,1),</w:t>
      </w:r>
      <w:proofErr w:type="spellStart"/>
      <w:r w:rsidRPr="00ED32EF">
        <w:t>bty</w:t>
      </w:r>
      <w:proofErr w:type="spellEnd"/>
      <w:r w:rsidRPr="00ED32EF">
        <w:t>="l",</w:t>
      </w:r>
      <w:proofErr w:type="spellStart"/>
      <w:r w:rsidRPr="00ED32EF">
        <w:t>pty</w:t>
      </w:r>
      <w:proofErr w:type="spellEnd"/>
      <w:r w:rsidRPr="00ED32EF">
        <w:t>="s",</w:t>
      </w:r>
      <w:proofErr w:type="spellStart"/>
      <w:r w:rsidRPr="00ED32EF">
        <w:t>pch</w:t>
      </w:r>
      <w:proofErr w:type="spellEnd"/>
      <w:r w:rsidRPr="00ED32EF">
        <w:t xml:space="preserve">=19, </w:t>
      </w:r>
      <w:proofErr w:type="spellStart"/>
      <w:r w:rsidRPr="00ED32EF">
        <w:t>lwd</w:t>
      </w:r>
      <w:proofErr w:type="spellEnd"/>
      <w:r w:rsidRPr="00ED32EF">
        <w:t xml:space="preserve">=2, </w:t>
      </w:r>
      <w:proofErr w:type="spellStart"/>
      <w:r w:rsidRPr="00ED32EF">
        <w:t>cex.lab</w:t>
      </w:r>
      <w:proofErr w:type="spellEnd"/>
      <w:r w:rsidRPr="00ED32EF">
        <w:t xml:space="preserve">=2, </w:t>
      </w:r>
      <w:proofErr w:type="spellStart"/>
      <w:r w:rsidRPr="00ED32EF">
        <w:t>cex.axis</w:t>
      </w:r>
      <w:proofErr w:type="spellEnd"/>
      <w:r w:rsidRPr="00ED32EF">
        <w:t xml:space="preserve">=2, </w:t>
      </w:r>
      <w:proofErr w:type="spellStart"/>
      <w:r w:rsidRPr="00ED32EF">
        <w:t>las</w:t>
      </w:r>
      <w:proofErr w:type="spellEnd"/>
      <w:r w:rsidRPr="00ED32EF">
        <w:t xml:space="preserve">=1, </w:t>
      </w:r>
      <w:proofErr w:type="spellStart"/>
      <w:r w:rsidRPr="00ED32EF">
        <w:t>tck</w:t>
      </w:r>
      <w:proofErr w:type="spellEnd"/>
      <w:r w:rsidRPr="00ED32EF">
        <w:t>=-0.02)</w:t>
      </w:r>
    </w:p>
    <w:p w14:paraId="6C4E039C" w14:textId="77777777" w:rsidR="000776AD" w:rsidRPr="00ED32EF" w:rsidRDefault="000776AD" w:rsidP="000776AD">
      <w:pPr>
        <w:jc w:val="both"/>
      </w:pPr>
      <w:r w:rsidRPr="00ED32EF">
        <w:t>plot(</w:t>
      </w:r>
      <w:proofErr w:type="spellStart"/>
      <w:r w:rsidRPr="00ED32EF">
        <w:t>log.mass~log.area,data</w:t>
      </w:r>
      <w:proofErr w:type="spellEnd"/>
      <w:r w:rsidRPr="00ED32EF">
        <w:t>=</w:t>
      </w:r>
      <w:proofErr w:type="spellStart"/>
      <w:r w:rsidRPr="00ED32EF">
        <w:t>mydata,subset</w:t>
      </w:r>
      <w:proofErr w:type="spellEnd"/>
      <w:r w:rsidRPr="00ED32EF">
        <w:t xml:space="preserve">=species=="a", </w:t>
      </w:r>
      <w:proofErr w:type="spellStart"/>
      <w:r w:rsidRPr="00ED32EF">
        <w:t>cex</w:t>
      </w:r>
      <w:proofErr w:type="spellEnd"/>
      <w:r w:rsidRPr="00ED32EF">
        <w:t xml:space="preserve">=2, </w:t>
      </w:r>
      <w:proofErr w:type="spellStart"/>
      <w:r w:rsidRPr="00ED32EF">
        <w:t>xlab</w:t>
      </w:r>
      <w:proofErr w:type="spellEnd"/>
      <w:r w:rsidRPr="00ED32EF">
        <w:t>="Plant area (log scale)",</w:t>
      </w:r>
      <w:proofErr w:type="spellStart"/>
      <w:r w:rsidRPr="00ED32EF">
        <w:t>ylab</w:t>
      </w:r>
      <w:proofErr w:type="spellEnd"/>
      <w:r w:rsidRPr="00ED32EF">
        <w:t xml:space="preserve">="Plant mass (log scale)", </w:t>
      </w:r>
      <w:proofErr w:type="spellStart"/>
      <w:r w:rsidRPr="00ED32EF">
        <w:t>ylim</w:t>
      </w:r>
      <w:proofErr w:type="spellEnd"/>
      <w:r w:rsidRPr="00ED32EF">
        <w:t xml:space="preserve">=c(-2,2), </w:t>
      </w:r>
      <w:proofErr w:type="spellStart"/>
      <w:r w:rsidRPr="00ED32EF">
        <w:t>xlim</w:t>
      </w:r>
      <w:proofErr w:type="spellEnd"/>
      <w:r w:rsidRPr="00ED32EF">
        <w:t>=c(6,10))</w:t>
      </w:r>
    </w:p>
    <w:p w14:paraId="07ED6166" w14:textId="77777777" w:rsidR="000776AD" w:rsidRPr="00ED32EF" w:rsidRDefault="000776AD" w:rsidP="000776AD">
      <w:pPr>
        <w:jc w:val="both"/>
      </w:pPr>
      <w:r w:rsidRPr="00ED32EF">
        <w:t>points(</w:t>
      </w:r>
      <w:proofErr w:type="spellStart"/>
      <w:r w:rsidRPr="00ED32EF">
        <w:t>log.mass~log.area,data</w:t>
      </w:r>
      <w:proofErr w:type="spellEnd"/>
      <w:r w:rsidRPr="00ED32EF">
        <w:t>=</w:t>
      </w:r>
      <w:proofErr w:type="spellStart"/>
      <w:r w:rsidRPr="00ED32EF">
        <w:t>mydata,subset</w:t>
      </w:r>
      <w:proofErr w:type="spellEnd"/>
      <w:r w:rsidRPr="00ED32EF">
        <w:t>=species=="p",</w:t>
      </w:r>
      <w:proofErr w:type="spellStart"/>
      <w:r w:rsidRPr="00ED32EF">
        <w:t>cex</w:t>
      </w:r>
      <w:proofErr w:type="spellEnd"/>
      <w:r w:rsidRPr="00ED32EF">
        <w:t xml:space="preserve">=2, </w:t>
      </w:r>
      <w:proofErr w:type="spellStart"/>
      <w:r w:rsidRPr="00ED32EF">
        <w:t>pch</w:t>
      </w:r>
      <w:proofErr w:type="spellEnd"/>
      <w:r w:rsidRPr="00ED32EF">
        <w:t>=21)</w:t>
      </w:r>
    </w:p>
    <w:p w14:paraId="38BE44EC" w14:textId="77777777" w:rsidR="000776AD" w:rsidRPr="00ED32EF" w:rsidRDefault="000776AD" w:rsidP="000776AD">
      <w:pPr>
        <w:jc w:val="both"/>
      </w:pPr>
      <w:r w:rsidRPr="00ED32EF">
        <w:t>legend("</w:t>
      </w:r>
      <w:proofErr w:type="spellStart"/>
      <w:r w:rsidRPr="00ED32EF">
        <w:t>topleft</w:t>
      </w:r>
      <w:proofErr w:type="spellEnd"/>
      <w:r w:rsidRPr="00ED32EF">
        <w:t xml:space="preserve">", inset=.02, c("Annual", "Perennial"), </w:t>
      </w:r>
      <w:proofErr w:type="spellStart"/>
      <w:r w:rsidRPr="00ED32EF">
        <w:t>pch</w:t>
      </w:r>
      <w:proofErr w:type="spellEnd"/>
      <w:r w:rsidRPr="00ED32EF">
        <w:t xml:space="preserve">=c(19,21), </w:t>
      </w:r>
      <w:proofErr w:type="spellStart"/>
      <w:r w:rsidRPr="00ED32EF">
        <w:t>cex</w:t>
      </w:r>
      <w:proofErr w:type="spellEnd"/>
      <w:r w:rsidRPr="00ED32EF">
        <w:t>=2)</w:t>
      </w:r>
    </w:p>
    <w:p w14:paraId="7666D46B" w14:textId="77777777" w:rsidR="000776AD" w:rsidRPr="00ED32EF" w:rsidRDefault="000776AD" w:rsidP="000776AD">
      <w:pPr>
        <w:jc w:val="both"/>
      </w:pPr>
      <w:proofErr w:type="spellStart"/>
      <w:r w:rsidRPr="00ED32EF">
        <w:t>n.fit</w:t>
      </w:r>
      <w:proofErr w:type="spellEnd"/>
      <w:r w:rsidRPr="00ED32EF">
        <w:t xml:space="preserve"> &lt;- lm(</w:t>
      </w:r>
      <w:proofErr w:type="spellStart"/>
      <w:r w:rsidRPr="00ED32EF">
        <w:t>log.mass</w:t>
      </w:r>
      <w:proofErr w:type="spellEnd"/>
      <w:r w:rsidRPr="00ED32EF">
        <w:t xml:space="preserve"> ~ species / </w:t>
      </w:r>
      <w:proofErr w:type="spellStart"/>
      <w:r w:rsidRPr="00ED32EF">
        <w:t>log.area</w:t>
      </w:r>
      <w:proofErr w:type="spellEnd"/>
      <w:r w:rsidRPr="00ED32EF">
        <w:t xml:space="preserve"> -1 , data=</w:t>
      </w:r>
      <w:proofErr w:type="spellStart"/>
      <w:r w:rsidRPr="00ED32EF">
        <w:t>mydata</w:t>
      </w:r>
      <w:proofErr w:type="spellEnd"/>
      <w:r w:rsidRPr="00ED32EF">
        <w:t>)</w:t>
      </w:r>
    </w:p>
    <w:p w14:paraId="61F00009" w14:textId="77777777" w:rsidR="000776AD" w:rsidRPr="00ED32EF" w:rsidRDefault="000776AD" w:rsidP="000776AD">
      <w:pPr>
        <w:jc w:val="both"/>
      </w:pPr>
      <w:proofErr w:type="spellStart"/>
      <w:r w:rsidRPr="00ED32EF">
        <w:t>abline</w:t>
      </w:r>
      <w:proofErr w:type="spellEnd"/>
      <w:r w:rsidRPr="00ED32EF">
        <w:t>(</w:t>
      </w:r>
      <w:proofErr w:type="spellStart"/>
      <w:r w:rsidRPr="00ED32EF">
        <w:t>coef</w:t>
      </w:r>
      <w:proofErr w:type="spellEnd"/>
      <w:r w:rsidRPr="00ED32EF">
        <w:t>(</w:t>
      </w:r>
      <w:proofErr w:type="spellStart"/>
      <w:r w:rsidRPr="00ED32EF">
        <w:t>n.fit</w:t>
      </w:r>
      <w:proofErr w:type="spellEnd"/>
      <w:r w:rsidRPr="00ED32EF">
        <w:t>)[1],</w:t>
      </w:r>
      <w:proofErr w:type="spellStart"/>
      <w:r w:rsidRPr="00ED32EF">
        <w:t>coef</w:t>
      </w:r>
      <w:proofErr w:type="spellEnd"/>
      <w:r w:rsidRPr="00ED32EF">
        <w:t>(</w:t>
      </w:r>
      <w:proofErr w:type="spellStart"/>
      <w:r w:rsidRPr="00ED32EF">
        <w:t>n.fit</w:t>
      </w:r>
      <w:proofErr w:type="spellEnd"/>
      <w:r w:rsidRPr="00ED32EF">
        <w:t>)[3])</w:t>
      </w:r>
    </w:p>
    <w:p w14:paraId="4F3E3A27" w14:textId="77777777" w:rsidR="000776AD" w:rsidRPr="00ED32EF" w:rsidRDefault="000776AD" w:rsidP="000776AD">
      <w:pPr>
        <w:jc w:val="both"/>
      </w:pPr>
      <w:proofErr w:type="spellStart"/>
      <w:r w:rsidRPr="00ED32EF">
        <w:t>abline</w:t>
      </w:r>
      <w:proofErr w:type="spellEnd"/>
      <w:r w:rsidRPr="00ED32EF">
        <w:t>(</w:t>
      </w:r>
      <w:proofErr w:type="spellStart"/>
      <w:r w:rsidRPr="00ED32EF">
        <w:t>coef</w:t>
      </w:r>
      <w:proofErr w:type="spellEnd"/>
      <w:r w:rsidRPr="00ED32EF">
        <w:t>(</w:t>
      </w:r>
      <w:proofErr w:type="spellStart"/>
      <w:r w:rsidRPr="00ED32EF">
        <w:t>n.fit</w:t>
      </w:r>
      <w:proofErr w:type="spellEnd"/>
      <w:r w:rsidRPr="00ED32EF">
        <w:t>)[2],</w:t>
      </w:r>
      <w:proofErr w:type="spellStart"/>
      <w:r w:rsidRPr="00ED32EF">
        <w:t>coef</w:t>
      </w:r>
      <w:proofErr w:type="spellEnd"/>
      <w:r w:rsidRPr="00ED32EF">
        <w:t>(</w:t>
      </w:r>
      <w:proofErr w:type="spellStart"/>
      <w:r w:rsidRPr="00ED32EF">
        <w:t>n.fit</w:t>
      </w:r>
      <w:proofErr w:type="spellEnd"/>
      <w:r w:rsidRPr="00ED32EF">
        <w:t>)[4])</w:t>
      </w:r>
    </w:p>
    <w:p w14:paraId="2149BEB0" w14:textId="77777777" w:rsidR="000776AD" w:rsidRPr="00ED32EF" w:rsidRDefault="000776AD" w:rsidP="000776AD">
      <w:pPr>
        <w:jc w:val="both"/>
      </w:pPr>
      <w:r w:rsidRPr="00ED32EF">
        <w:t>summary(</w:t>
      </w:r>
      <w:proofErr w:type="spellStart"/>
      <w:r w:rsidRPr="00ED32EF">
        <w:t>n.fit</w:t>
      </w:r>
      <w:proofErr w:type="spellEnd"/>
      <w:r w:rsidRPr="00ED32EF">
        <w:t>)</w:t>
      </w:r>
    </w:p>
    <w:p w14:paraId="25253B95" w14:textId="77777777" w:rsidR="000776AD" w:rsidRPr="00ED32EF" w:rsidRDefault="000776AD" w:rsidP="000776AD">
      <w:pPr>
        <w:jc w:val="both"/>
        <w:rPr>
          <w:i/>
        </w:rPr>
      </w:pPr>
      <w:r w:rsidRPr="00ED32EF">
        <w:rPr>
          <w:i/>
        </w:rPr>
        <w:t># use summary Coefficient Estimates to give intercepts and slopes</w:t>
      </w:r>
    </w:p>
    <w:p w14:paraId="206B8E36" w14:textId="77777777" w:rsidR="000776AD" w:rsidRPr="00ED32EF" w:rsidRDefault="000776AD" w:rsidP="000776AD">
      <w:pPr>
        <w:jc w:val="both"/>
      </w:pPr>
    </w:p>
    <w:p w14:paraId="593B613E" w14:textId="77777777" w:rsidR="000776AD" w:rsidRPr="00ED32EF" w:rsidRDefault="000776AD" w:rsidP="000776AD">
      <w:pPr>
        <w:jc w:val="both"/>
        <w:rPr>
          <w:i/>
        </w:rPr>
      </w:pPr>
      <w:r w:rsidRPr="00ED32EF">
        <w:rPr>
          <w:i/>
        </w:rPr>
        <w:t># Plot predicted mass against area for main dataset</w:t>
      </w:r>
    </w:p>
    <w:p w14:paraId="560E6722" w14:textId="77777777" w:rsidR="000776AD" w:rsidRPr="00ED32EF" w:rsidRDefault="000776AD" w:rsidP="000776AD">
      <w:pPr>
        <w:jc w:val="both"/>
      </w:pPr>
      <w:r w:rsidRPr="00ED32EF">
        <w:t>with(</w:t>
      </w:r>
      <w:proofErr w:type="spellStart"/>
      <w:r w:rsidRPr="00ED32EF">
        <w:t>area.data,plot</w:t>
      </w:r>
      <w:proofErr w:type="spellEnd"/>
      <w:r w:rsidRPr="00ED32EF">
        <w:t>(</w:t>
      </w:r>
      <w:proofErr w:type="spellStart"/>
      <w:r w:rsidRPr="00ED32EF">
        <w:t>log.mass.pred~log.area</w:t>
      </w:r>
      <w:proofErr w:type="spellEnd"/>
      <w:r w:rsidRPr="00ED32EF">
        <w:t>))</w:t>
      </w:r>
    </w:p>
    <w:p w14:paraId="01975481" w14:textId="77777777" w:rsidR="000776AD" w:rsidRPr="00ED32EF" w:rsidRDefault="000776AD" w:rsidP="000776AD">
      <w:pPr>
        <w:jc w:val="both"/>
      </w:pPr>
    </w:p>
    <w:p w14:paraId="2591817A" w14:textId="77777777" w:rsidR="000776AD" w:rsidRPr="00ED32EF" w:rsidRDefault="000776AD" w:rsidP="000776AD">
      <w:pPr>
        <w:jc w:val="both"/>
        <w:rPr>
          <w:i/>
        </w:rPr>
      </w:pPr>
      <w:r w:rsidRPr="00ED32EF">
        <w:rPr>
          <w:i/>
        </w:rPr>
        <w:t xml:space="preserve"># save predicted masses as a </w:t>
      </w:r>
      <w:proofErr w:type="spellStart"/>
      <w:r w:rsidRPr="00ED32EF">
        <w:rPr>
          <w:i/>
        </w:rPr>
        <w:t>csv</w:t>
      </w:r>
      <w:proofErr w:type="spellEnd"/>
      <w:r w:rsidRPr="00ED32EF">
        <w:rPr>
          <w:i/>
        </w:rPr>
        <w:t xml:space="preserve"> file</w:t>
      </w:r>
    </w:p>
    <w:p w14:paraId="5A20EA08" w14:textId="77777777" w:rsidR="000776AD" w:rsidRPr="00ED32EF" w:rsidRDefault="000776AD" w:rsidP="000776AD">
      <w:pPr>
        <w:jc w:val="both"/>
      </w:pPr>
      <w:r w:rsidRPr="00ED32EF">
        <w:t>write.csv(</w:t>
      </w:r>
      <w:proofErr w:type="spellStart"/>
      <w:r w:rsidRPr="00ED32EF">
        <w:t>area.data</w:t>
      </w:r>
      <w:proofErr w:type="spellEnd"/>
      <w:r w:rsidRPr="00ED32EF">
        <w:t>, file = "Predicted DW.csv")</w:t>
      </w:r>
    </w:p>
    <w:p w14:paraId="3BBF098A" w14:textId="77777777" w:rsidR="000776AD" w:rsidRPr="00ED32EF" w:rsidRDefault="000776AD" w:rsidP="000776AD">
      <w:pPr>
        <w:jc w:val="both"/>
      </w:pPr>
    </w:p>
    <w:p w14:paraId="2ADDC003" w14:textId="77777777" w:rsidR="000776AD" w:rsidRPr="00ED32EF" w:rsidRDefault="000776AD" w:rsidP="000776AD">
      <w:pPr>
        <w:jc w:val="both"/>
        <w:rPr>
          <w:i/>
        </w:rPr>
      </w:pPr>
      <w:r w:rsidRPr="00ED32EF">
        <w:rPr>
          <w:i/>
        </w:rPr>
        <w:t>#################################</w:t>
      </w:r>
    </w:p>
    <w:p w14:paraId="181BF481" w14:textId="77777777" w:rsidR="000776AD" w:rsidRPr="00ED32EF" w:rsidRDefault="000776AD" w:rsidP="000776AD">
      <w:pPr>
        <w:jc w:val="both"/>
        <w:rPr>
          <w:i/>
        </w:rPr>
      </w:pPr>
      <w:r w:rsidRPr="00ED32EF">
        <w:rPr>
          <w:i/>
        </w:rPr>
        <w:t># Short data for analysis</w:t>
      </w:r>
    </w:p>
    <w:p w14:paraId="037FC24C" w14:textId="77777777" w:rsidR="000776AD" w:rsidRPr="00ED32EF" w:rsidRDefault="000776AD" w:rsidP="000776AD">
      <w:pPr>
        <w:jc w:val="both"/>
        <w:rPr>
          <w:i/>
        </w:rPr>
      </w:pPr>
      <w:r w:rsidRPr="00ED32EF">
        <w:rPr>
          <w:i/>
        </w:rPr>
        <w:t>#################################</w:t>
      </w:r>
    </w:p>
    <w:p w14:paraId="574D9162" w14:textId="77777777" w:rsidR="000776AD" w:rsidRPr="00ED32EF" w:rsidRDefault="000776AD" w:rsidP="000776AD">
      <w:pPr>
        <w:jc w:val="both"/>
      </w:pPr>
    </w:p>
    <w:p w14:paraId="55CF4A25" w14:textId="77777777" w:rsidR="000776AD" w:rsidRPr="00ED32EF" w:rsidRDefault="000776AD" w:rsidP="000776AD">
      <w:pPr>
        <w:jc w:val="both"/>
      </w:pPr>
      <w:proofErr w:type="spellStart"/>
      <w:r w:rsidRPr="00ED32EF">
        <w:t>short.data</w:t>
      </w:r>
      <w:proofErr w:type="spellEnd"/>
      <w:r w:rsidRPr="00ED32EF">
        <w:t xml:space="preserve">    &lt;- </w:t>
      </w:r>
      <w:proofErr w:type="spellStart"/>
      <w:r w:rsidRPr="00ED32EF">
        <w:t>area.data</w:t>
      </w:r>
      <w:proofErr w:type="spellEnd"/>
      <w:r w:rsidRPr="00ED32EF">
        <w:t>[,c("log.mass.pred","log.area","age","plant","species","carbondioxide","harvest.age")]</w:t>
      </w:r>
    </w:p>
    <w:p w14:paraId="0C5C5CB7" w14:textId="77777777" w:rsidR="000776AD" w:rsidRPr="00ED32EF" w:rsidRDefault="000776AD" w:rsidP="000776AD">
      <w:pPr>
        <w:jc w:val="both"/>
      </w:pPr>
    </w:p>
    <w:p w14:paraId="4E5D81D7" w14:textId="77777777" w:rsidR="000776AD" w:rsidRPr="00ED32EF" w:rsidRDefault="000776AD" w:rsidP="000776AD">
      <w:pPr>
        <w:jc w:val="both"/>
      </w:pPr>
      <w:proofErr w:type="spellStart"/>
      <w:r w:rsidRPr="00ED32EF">
        <w:t>short.data</w:t>
      </w:r>
      <w:proofErr w:type="spellEnd"/>
      <w:r w:rsidRPr="00ED32EF">
        <w:t xml:space="preserve">    &lt;- </w:t>
      </w:r>
      <w:proofErr w:type="spellStart"/>
      <w:r w:rsidRPr="00ED32EF">
        <w:t>short.data</w:t>
      </w:r>
      <w:proofErr w:type="spellEnd"/>
      <w:r w:rsidRPr="00ED32EF">
        <w:t>[</w:t>
      </w:r>
      <w:proofErr w:type="spellStart"/>
      <w:r w:rsidRPr="00ED32EF">
        <w:t>complete.cases</w:t>
      </w:r>
      <w:proofErr w:type="spellEnd"/>
      <w:r w:rsidRPr="00ED32EF">
        <w:t>(</w:t>
      </w:r>
      <w:proofErr w:type="spellStart"/>
      <w:r w:rsidRPr="00ED32EF">
        <w:t>short.data</w:t>
      </w:r>
      <w:proofErr w:type="spellEnd"/>
      <w:r w:rsidRPr="00ED32EF">
        <w:t>),]</w:t>
      </w:r>
    </w:p>
    <w:p w14:paraId="744AF922" w14:textId="77777777" w:rsidR="000776AD" w:rsidRPr="00ED32EF" w:rsidRDefault="000776AD" w:rsidP="000776AD">
      <w:pPr>
        <w:jc w:val="both"/>
      </w:pPr>
    </w:p>
    <w:p w14:paraId="7B4479FF" w14:textId="77777777" w:rsidR="000776AD" w:rsidRPr="00ED32EF" w:rsidRDefault="000776AD" w:rsidP="000776AD">
      <w:pPr>
        <w:jc w:val="both"/>
        <w:rPr>
          <w:i/>
        </w:rPr>
      </w:pPr>
      <w:r w:rsidRPr="00ED32EF">
        <w:rPr>
          <w:i/>
        </w:rPr>
        <w:t xml:space="preserve"># select only plants with more than 3 </w:t>
      </w:r>
      <w:proofErr w:type="spellStart"/>
      <w:r w:rsidRPr="00ED32EF">
        <w:rPr>
          <w:i/>
        </w:rPr>
        <w:t>datapoints</w:t>
      </w:r>
      <w:proofErr w:type="spellEnd"/>
      <w:r w:rsidRPr="00ED32EF">
        <w:rPr>
          <w:i/>
        </w:rPr>
        <w:t xml:space="preserve"> in order to ease curve-fitting</w:t>
      </w:r>
    </w:p>
    <w:p w14:paraId="0D09142A" w14:textId="77777777" w:rsidR="000776AD" w:rsidRPr="00ED32EF" w:rsidRDefault="000776AD" w:rsidP="000776AD">
      <w:pPr>
        <w:jc w:val="both"/>
      </w:pPr>
      <w:proofErr w:type="spellStart"/>
      <w:r w:rsidRPr="00ED32EF">
        <w:t>good.plant</w:t>
      </w:r>
      <w:proofErr w:type="spellEnd"/>
      <w:r w:rsidRPr="00ED32EF">
        <w:t xml:space="preserve">    &lt;- names(table(</w:t>
      </w:r>
      <w:proofErr w:type="spellStart"/>
      <w:r w:rsidRPr="00ED32EF">
        <w:t>short.data$plant</w:t>
      </w:r>
      <w:proofErr w:type="spellEnd"/>
      <w:r w:rsidRPr="00ED32EF">
        <w:t>))[table(</w:t>
      </w:r>
      <w:proofErr w:type="spellStart"/>
      <w:r w:rsidRPr="00ED32EF">
        <w:t>short.data$plant</w:t>
      </w:r>
      <w:proofErr w:type="spellEnd"/>
      <w:r w:rsidRPr="00ED32EF">
        <w:t>)&gt;3 ]</w:t>
      </w:r>
    </w:p>
    <w:p w14:paraId="305751B8" w14:textId="77777777" w:rsidR="000776AD" w:rsidRPr="00ED32EF" w:rsidRDefault="000776AD" w:rsidP="000776AD">
      <w:pPr>
        <w:jc w:val="both"/>
      </w:pPr>
      <w:proofErr w:type="spellStart"/>
      <w:r w:rsidRPr="00ED32EF">
        <w:t>short.data</w:t>
      </w:r>
      <w:proofErr w:type="spellEnd"/>
      <w:r w:rsidRPr="00ED32EF">
        <w:t xml:space="preserve">    &lt;-  </w:t>
      </w:r>
      <w:proofErr w:type="spellStart"/>
      <w:r w:rsidRPr="00ED32EF">
        <w:t>short.data</w:t>
      </w:r>
      <w:proofErr w:type="spellEnd"/>
      <w:r w:rsidRPr="00ED32EF">
        <w:t>[</w:t>
      </w:r>
      <w:proofErr w:type="spellStart"/>
      <w:r w:rsidRPr="00ED32EF">
        <w:t>is.element</w:t>
      </w:r>
      <w:proofErr w:type="spellEnd"/>
      <w:r w:rsidRPr="00ED32EF">
        <w:t>(</w:t>
      </w:r>
      <w:proofErr w:type="spellStart"/>
      <w:r w:rsidRPr="00ED32EF">
        <w:t>short.data$plant</w:t>
      </w:r>
      <w:proofErr w:type="spellEnd"/>
      <w:r w:rsidRPr="00ED32EF">
        <w:t xml:space="preserve">, </w:t>
      </w:r>
      <w:proofErr w:type="spellStart"/>
      <w:r w:rsidRPr="00ED32EF">
        <w:t>good.plant</w:t>
      </w:r>
      <w:proofErr w:type="spellEnd"/>
      <w:r w:rsidRPr="00ED32EF">
        <w:t>),]</w:t>
      </w:r>
    </w:p>
    <w:p w14:paraId="20E6DE1B" w14:textId="77777777" w:rsidR="000776AD" w:rsidRPr="00ED32EF" w:rsidRDefault="000776AD" w:rsidP="000776AD">
      <w:pPr>
        <w:jc w:val="both"/>
      </w:pPr>
    </w:p>
    <w:p w14:paraId="53E3789D" w14:textId="77777777" w:rsidR="000776AD" w:rsidRPr="00ED32EF" w:rsidRDefault="000776AD" w:rsidP="000776AD">
      <w:pPr>
        <w:jc w:val="both"/>
      </w:pPr>
    </w:p>
    <w:p w14:paraId="589711D3" w14:textId="77777777" w:rsidR="000776AD" w:rsidRPr="00ED32EF" w:rsidRDefault="000776AD" w:rsidP="000776AD">
      <w:pPr>
        <w:jc w:val="both"/>
        <w:rPr>
          <w:i/>
        </w:rPr>
      </w:pPr>
      <w:r w:rsidRPr="00ED32EF">
        <w:rPr>
          <w:i/>
        </w:rPr>
        <w:t>#################################</w:t>
      </w:r>
    </w:p>
    <w:p w14:paraId="3693AFFB" w14:textId="77777777" w:rsidR="000776AD" w:rsidRPr="00ED32EF" w:rsidRDefault="000776AD" w:rsidP="000776AD">
      <w:pPr>
        <w:jc w:val="both"/>
        <w:rPr>
          <w:i/>
        </w:rPr>
      </w:pPr>
      <w:r w:rsidRPr="00ED32EF">
        <w:rPr>
          <w:i/>
        </w:rPr>
        <w:t># MODELS</w:t>
      </w:r>
    </w:p>
    <w:p w14:paraId="5AD31257" w14:textId="77777777" w:rsidR="000776AD" w:rsidRPr="00ED32EF" w:rsidRDefault="000776AD" w:rsidP="000776AD">
      <w:pPr>
        <w:jc w:val="both"/>
        <w:rPr>
          <w:i/>
        </w:rPr>
      </w:pPr>
      <w:r w:rsidRPr="00ED32EF">
        <w:rPr>
          <w:i/>
        </w:rPr>
        <w:t>#################################</w:t>
      </w:r>
    </w:p>
    <w:p w14:paraId="6E736B7E" w14:textId="77777777" w:rsidR="000776AD" w:rsidRPr="00ED32EF" w:rsidRDefault="000776AD" w:rsidP="000776AD">
      <w:pPr>
        <w:jc w:val="both"/>
      </w:pPr>
    </w:p>
    <w:p w14:paraId="5CEFC372" w14:textId="77777777" w:rsidR="000776AD" w:rsidRPr="00ED32EF" w:rsidRDefault="000776AD" w:rsidP="000776AD">
      <w:pPr>
        <w:jc w:val="both"/>
        <w:rPr>
          <w:i/>
        </w:rPr>
      </w:pPr>
      <w:r w:rsidRPr="00ED32EF">
        <w:rPr>
          <w:i/>
        </w:rPr>
        <w:t>#### Modelling based on predicted mass, for all plants in the main dataset</w:t>
      </w:r>
    </w:p>
    <w:p w14:paraId="7529E439" w14:textId="77777777" w:rsidR="000776AD" w:rsidRPr="00ED32EF" w:rsidRDefault="000776AD" w:rsidP="000776AD">
      <w:pPr>
        <w:jc w:val="both"/>
      </w:pPr>
    </w:p>
    <w:p w14:paraId="6325498E" w14:textId="77777777" w:rsidR="000776AD" w:rsidRPr="00ED32EF" w:rsidRDefault="000776AD" w:rsidP="000776AD">
      <w:pPr>
        <w:jc w:val="both"/>
      </w:pPr>
      <w:proofErr w:type="spellStart"/>
      <w:r w:rsidRPr="00ED32EF">
        <w:t>model.data</w:t>
      </w:r>
      <w:proofErr w:type="spellEnd"/>
      <w:r w:rsidRPr="00ED32EF">
        <w:t>=</w:t>
      </w:r>
      <w:proofErr w:type="spellStart"/>
      <w:r w:rsidRPr="00ED32EF">
        <w:t>groupedData</w:t>
      </w:r>
      <w:proofErr w:type="spellEnd"/>
      <w:r w:rsidRPr="00ED32EF">
        <w:t>(</w:t>
      </w:r>
      <w:proofErr w:type="spellStart"/>
      <w:r w:rsidRPr="00ED32EF">
        <w:t>log.mass.pred~age|plant</w:t>
      </w:r>
      <w:proofErr w:type="spellEnd"/>
      <w:r w:rsidRPr="00ED32EF">
        <w:t>, outer=~</w:t>
      </w:r>
      <w:proofErr w:type="spellStart"/>
      <w:r w:rsidRPr="00ED32EF">
        <w:t>carbondioxide</w:t>
      </w:r>
      <w:proofErr w:type="spellEnd"/>
      <w:r w:rsidRPr="00ED32EF">
        <w:t xml:space="preserve"> + </w:t>
      </w:r>
      <w:proofErr w:type="spellStart"/>
      <w:r w:rsidRPr="00ED32EF">
        <w:t>species,data</w:t>
      </w:r>
      <w:proofErr w:type="spellEnd"/>
      <w:r w:rsidRPr="00ED32EF">
        <w:t>=</w:t>
      </w:r>
      <w:proofErr w:type="spellStart"/>
      <w:r w:rsidRPr="00ED32EF">
        <w:t>short.data</w:t>
      </w:r>
      <w:proofErr w:type="spellEnd"/>
      <w:r w:rsidRPr="00ED32EF">
        <w:t>)</w:t>
      </w:r>
    </w:p>
    <w:p w14:paraId="2883A753" w14:textId="77777777" w:rsidR="000776AD" w:rsidRPr="00ED32EF" w:rsidRDefault="000776AD" w:rsidP="000776AD">
      <w:pPr>
        <w:jc w:val="both"/>
      </w:pPr>
      <w:r w:rsidRPr="00ED32EF">
        <w:t>plot(</w:t>
      </w:r>
      <w:proofErr w:type="spellStart"/>
      <w:r w:rsidRPr="00ED32EF">
        <w:t>model.data</w:t>
      </w:r>
      <w:proofErr w:type="spellEnd"/>
      <w:r w:rsidRPr="00ED32EF">
        <w:t>)</w:t>
      </w:r>
    </w:p>
    <w:p w14:paraId="5DB6F3B7" w14:textId="77777777" w:rsidR="000776AD" w:rsidRPr="00ED32EF" w:rsidRDefault="000776AD" w:rsidP="000776AD">
      <w:pPr>
        <w:jc w:val="both"/>
      </w:pPr>
    </w:p>
    <w:p w14:paraId="4EB0A825" w14:textId="77777777" w:rsidR="000776AD" w:rsidRPr="00ED32EF" w:rsidRDefault="000776AD" w:rsidP="000776AD">
      <w:pPr>
        <w:jc w:val="both"/>
      </w:pPr>
      <w:proofErr w:type="spellStart"/>
      <w:r w:rsidRPr="00ED32EF">
        <w:t>test.fit.nlslist.mass</w:t>
      </w:r>
      <w:proofErr w:type="spellEnd"/>
      <w:r w:rsidRPr="00ED32EF">
        <w:t xml:space="preserve"> &lt;- </w:t>
      </w:r>
      <w:proofErr w:type="spellStart"/>
      <w:r w:rsidRPr="00ED32EF">
        <w:t>nlsList</w:t>
      </w:r>
      <w:proofErr w:type="spellEnd"/>
      <w:r w:rsidRPr="00ED32EF">
        <w:t>(</w:t>
      </w:r>
      <w:proofErr w:type="spellStart"/>
      <w:r w:rsidRPr="00ED32EF">
        <w:t>log.mass.pred</w:t>
      </w:r>
      <w:proofErr w:type="spellEnd"/>
      <w:r w:rsidRPr="00ED32EF">
        <w:t xml:space="preserve"> ~ </w:t>
      </w:r>
      <w:proofErr w:type="spellStart"/>
      <w:r w:rsidRPr="00ED32EF">
        <w:t>SSfpl</w:t>
      </w:r>
      <w:proofErr w:type="spellEnd"/>
      <w:r w:rsidRPr="00ED32EF">
        <w:t xml:space="preserve"> (age, A, B, </w:t>
      </w:r>
      <w:proofErr w:type="spellStart"/>
      <w:r w:rsidRPr="00ED32EF">
        <w:t>xmid</w:t>
      </w:r>
      <w:proofErr w:type="spellEnd"/>
      <w:r w:rsidRPr="00ED32EF">
        <w:t xml:space="preserve">, </w:t>
      </w:r>
      <w:proofErr w:type="spellStart"/>
      <w:r w:rsidRPr="00ED32EF">
        <w:t>scal</w:t>
      </w:r>
      <w:proofErr w:type="spellEnd"/>
      <w:r w:rsidRPr="00ED32EF">
        <w:t>) , data=</w:t>
      </w:r>
      <w:proofErr w:type="spellStart"/>
      <w:r w:rsidRPr="00ED32EF">
        <w:t>model.data,na.action</w:t>
      </w:r>
      <w:proofErr w:type="spellEnd"/>
      <w:r w:rsidRPr="00ED32EF">
        <w:t>=</w:t>
      </w:r>
      <w:proofErr w:type="spellStart"/>
      <w:r w:rsidRPr="00ED32EF">
        <w:t>na.omit</w:t>
      </w:r>
      <w:proofErr w:type="spellEnd"/>
      <w:r w:rsidRPr="00ED32EF">
        <w:t>)</w:t>
      </w:r>
    </w:p>
    <w:p w14:paraId="6A2F6629" w14:textId="77777777" w:rsidR="000776AD" w:rsidRPr="00ED32EF" w:rsidRDefault="000776AD" w:rsidP="000776AD">
      <w:pPr>
        <w:jc w:val="both"/>
      </w:pPr>
      <w:proofErr w:type="spellStart"/>
      <w:r w:rsidRPr="00ED32EF">
        <w:t>test.fit.nlslist.mass</w:t>
      </w:r>
      <w:proofErr w:type="spellEnd"/>
    </w:p>
    <w:p w14:paraId="376F211D" w14:textId="77777777" w:rsidR="000776AD" w:rsidRPr="00ED32EF" w:rsidRDefault="000776AD" w:rsidP="000776AD">
      <w:pPr>
        <w:jc w:val="both"/>
      </w:pPr>
      <w:r w:rsidRPr="00ED32EF">
        <w:t>summary(</w:t>
      </w:r>
      <w:proofErr w:type="spellStart"/>
      <w:r w:rsidRPr="00ED32EF">
        <w:t>test.fit.nlslist.mass</w:t>
      </w:r>
      <w:proofErr w:type="spellEnd"/>
      <w:r w:rsidRPr="00ED32EF">
        <w:t>)</w:t>
      </w:r>
    </w:p>
    <w:p w14:paraId="3D5636CB" w14:textId="77777777" w:rsidR="000776AD" w:rsidRPr="00ED32EF" w:rsidRDefault="000776AD" w:rsidP="000776AD">
      <w:pPr>
        <w:jc w:val="both"/>
      </w:pPr>
    </w:p>
    <w:p w14:paraId="2F80DABF" w14:textId="77777777" w:rsidR="000776AD" w:rsidRPr="00ED32EF" w:rsidRDefault="000776AD" w:rsidP="000776AD">
      <w:pPr>
        <w:jc w:val="both"/>
      </w:pPr>
      <w:proofErr w:type="spellStart"/>
      <w:r w:rsidRPr="00ED32EF">
        <w:t>fit.nlme.mass</w:t>
      </w:r>
      <w:proofErr w:type="spellEnd"/>
      <w:r w:rsidRPr="00ED32EF">
        <w:t>=</w:t>
      </w:r>
      <w:proofErr w:type="spellStart"/>
      <w:r w:rsidRPr="00ED32EF">
        <w:t>nlme</w:t>
      </w:r>
      <w:proofErr w:type="spellEnd"/>
      <w:r w:rsidRPr="00ED32EF">
        <w:t>(</w:t>
      </w:r>
      <w:proofErr w:type="spellStart"/>
      <w:r w:rsidRPr="00ED32EF">
        <w:t>test.fit.nlslist.mass</w:t>
      </w:r>
      <w:proofErr w:type="spellEnd"/>
      <w:r w:rsidRPr="00ED32EF">
        <w:t>, random=</w:t>
      </w:r>
      <w:proofErr w:type="spellStart"/>
      <w:r w:rsidRPr="00ED32EF">
        <w:t>pdDiag</w:t>
      </w:r>
      <w:proofErr w:type="spellEnd"/>
      <w:r w:rsidRPr="00ED32EF">
        <w:t xml:space="preserve">(A + B + </w:t>
      </w:r>
      <w:proofErr w:type="spellStart"/>
      <w:r w:rsidRPr="00ED32EF">
        <w:t>xmid</w:t>
      </w:r>
      <w:proofErr w:type="spellEnd"/>
      <w:r w:rsidRPr="00ED32EF">
        <w:t xml:space="preserve"> ~ 1))</w:t>
      </w:r>
    </w:p>
    <w:p w14:paraId="7D54926C" w14:textId="77777777" w:rsidR="000776AD" w:rsidRPr="00ED32EF" w:rsidRDefault="000776AD" w:rsidP="000776AD">
      <w:pPr>
        <w:jc w:val="both"/>
      </w:pPr>
      <w:r w:rsidRPr="00ED32EF">
        <w:t>summary(</w:t>
      </w:r>
      <w:proofErr w:type="spellStart"/>
      <w:r w:rsidRPr="00ED32EF">
        <w:t>fit.nlme.mass</w:t>
      </w:r>
      <w:proofErr w:type="spellEnd"/>
      <w:r w:rsidRPr="00ED32EF">
        <w:t>)</w:t>
      </w:r>
    </w:p>
    <w:p w14:paraId="30822C8D" w14:textId="77777777" w:rsidR="000776AD" w:rsidRPr="00ED32EF" w:rsidRDefault="000776AD" w:rsidP="000776AD">
      <w:pPr>
        <w:jc w:val="both"/>
      </w:pPr>
      <w:r w:rsidRPr="00ED32EF">
        <w:t># in these plots, blue line = whole dataset, pink line = plant</w:t>
      </w:r>
    </w:p>
    <w:p w14:paraId="0CF3E5AF" w14:textId="77777777" w:rsidR="000776AD" w:rsidRPr="00ED32EF" w:rsidRDefault="000776AD" w:rsidP="000776AD">
      <w:pPr>
        <w:jc w:val="both"/>
      </w:pPr>
      <w:r w:rsidRPr="00ED32EF">
        <w:t>plot(</w:t>
      </w:r>
      <w:proofErr w:type="spellStart"/>
      <w:r w:rsidRPr="00ED32EF">
        <w:t>augPred</w:t>
      </w:r>
      <w:proofErr w:type="spellEnd"/>
      <w:r w:rsidRPr="00ED32EF">
        <w:t>(</w:t>
      </w:r>
      <w:proofErr w:type="spellStart"/>
      <w:r w:rsidRPr="00ED32EF">
        <w:t>fit.nlme.mass,level</w:t>
      </w:r>
      <w:proofErr w:type="spellEnd"/>
      <w:r w:rsidRPr="00ED32EF">
        <w:t>=0:1))</w:t>
      </w:r>
    </w:p>
    <w:p w14:paraId="03BF107E" w14:textId="77777777" w:rsidR="000776AD" w:rsidRPr="00ED32EF" w:rsidRDefault="000776AD" w:rsidP="000776AD">
      <w:pPr>
        <w:jc w:val="both"/>
      </w:pPr>
    </w:p>
    <w:p w14:paraId="53E861CD" w14:textId="77777777" w:rsidR="000776AD" w:rsidRPr="00ED32EF" w:rsidRDefault="000776AD" w:rsidP="000776AD">
      <w:pPr>
        <w:jc w:val="both"/>
      </w:pPr>
    </w:p>
    <w:p w14:paraId="14FCDFE0" w14:textId="77777777" w:rsidR="000776AD" w:rsidRPr="00ED32EF" w:rsidRDefault="000776AD" w:rsidP="000776AD">
      <w:pPr>
        <w:jc w:val="both"/>
        <w:rPr>
          <w:i/>
        </w:rPr>
      </w:pPr>
      <w:r w:rsidRPr="00ED32EF">
        <w:rPr>
          <w:i/>
        </w:rPr>
        <w:t># because lines do not fit all points, improve model</w:t>
      </w:r>
    </w:p>
    <w:p w14:paraId="44254527" w14:textId="77777777" w:rsidR="000776AD" w:rsidRPr="00ED32EF" w:rsidRDefault="000776AD" w:rsidP="000776AD">
      <w:pPr>
        <w:jc w:val="both"/>
        <w:rPr>
          <w:i/>
        </w:rPr>
      </w:pPr>
      <w:r w:rsidRPr="00ED32EF">
        <w:rPr>
          <w:i/>
        </w:rPr>
        <w:t># if needed, increase max iterations and tolerance (in 'control') in order to run this more complex model</w:t>
      </w:r>
    </w:p>
    <w:p w14:paraId="64DACC85" w14:textId="77777777" w:rsidR="000776AD" w:rsidRPr="00ED32EF" w:rsidRDefault="000776AD" w:rsidP="000776AD">
      <w:pPr>
        <w:jc w:val="both"/>
      </w:pPr>
      <w:r w:rsidRPr="00ED32EF">
        <w:t>fit.nlme.mass.1=update(</w:t>
      </w:r>
      <w:proofErr w:type="spellStart"/>
      <w:r w:rsidRPr="00ED32EF">
        <w:t>fit.nlme.mass</w:t>
      </w:r>
      <w:proofErr w:type="spellEnd"/>
      <w:r w:rsidRPr="00ED32EF">
        <w:t>, random=</w:t>
      </w:r>
      <w:proofErr w:type="spellStart"/>
      <w:r w:rsidRPr="00ED32EF">
        <w:t>pdDiag</w:t>
      </w:r>
      <w:proofErr w:type="spellEnd"/>
      <w:r w:rsidRPr="00ED32EF">
        <w:t xml:space="preserve">(A + B + </w:t>
      </w:r>
      <w:proofErr w:type="spellStart"/>
      <w:r w:rsidRPr="00ED32EF">
        <w:t>xmid</w:t>
      </w:r>
      <w:proofErr w:type="spellEnd"/>
      <w:r w:rsidRPr="00ED32EF">
        <w:t xml:space="preserve"> + </w:t>
      </w:r>
      <w:proofErr w:type="spellStart"/>
      <w:r w:rsidRPr="00ED32EF">
        <w:t>scal</w:t>
      </w:r>
      <w:proofErr w:type="spellEnd"/>
      <w:r w:rsidRPr="00ED32EF">
        <w:t xml:space="preserve"> ~ 1))</w:t>
      </w:r>
    </w:p>
    <w:p w14:paraId="38E504FA" w14:textId="77777777" w:rsidR="000776AD" w:rsidRPr="00ED32EF" w:rsidRDefault="000776AD" w:rsidP="000776AD">
      <w:pPr>
        <w:jc w:val="both"/>
      </w:pPr>
      <w:r w:rsidRPr="00ED32EF">
        <w:t>summary(fit.nlme.mass.1)</w:t>
      </w:r>
    </w:p>
    <w:p w14:paraId="44FCAB8F" w14:textId="77777777" w:rsidR="000776AD" w:rsidRPr="00ED32EF" w:rsidRDefault="000776AD" w:rsidP="000776AD">
      <w:pPr>
        <w:jc w:val="both"/>
      </w:pPr>
      <w:r w:rsidRPr="00ED32EF">
        <w:t>plot(</w:t>
      </w:r>
      <w:proofErr w:type="spellStart"/>
      <w:r w:rsidRPr="00ED32EF">
        <w:t>augPred</w:t>
      </w:r>
      <w:proofErr w:type="spellEnd"/>
      <w:r w:rsidRPr="00ED32EF">
        <w:t>(fit.nlme.mass.1,level=0:1))</w:t>
      </w:r>
    </w:p>
    <w:p w14:paraId="2C4E6464" w14:textId="77777777" w:rsidR="000776AD" w:rsidRPr="00ED32EF" w:rsidRDefault="000776AD" w:rsidP="000776AD">
      <w:pPr>
        <w:jc w:val="both"/>
      </w:pPr>
    </w:p>
    <w:p w14:paraId="566E2931" w14:textId="77777777" w:rsidR="000776AD" w:rsidRPr="00ED32EF" w:rsidRDefault="000776AD" w:rsidP="000776AD">
      <w:pPr>
        <w:jc w:val="both"/>
        <w:rPr>
          <w:i/>
        </w:rPr>
      </w:pPr>
      <w:r w:rsidRPr="00ED32EF">
        <w:rPr>
          <w:i/>
        </w:rPr>
        <w:t># plot random effects to see which parameters should be set to vary with species and treatment</w:t>
      </w:r>
    </w:p>
    <w:p w14:paraId="5B2F26F9" w14:textId="77777777" w:rsidR="000776AD" w:rsidRPr="00ED32EF" w:rsidRDefault="000776AD" w:rsidP="000776AD">
      <w:pPr>
        <w:jc w:val="both"/>
      </w:pPr>
      <w:proofErr w:type="spellStart"/>
      <w:r w:rsidRPr="00ED32EF">
        <w:t>ranef.fit.nlme</w:t>
      </w:r>
      <w:proofErr w:type="spellEnd"/>
      <w:r w:rsidRPr="00ED32EF">
        <w:t xml:space="preserve"> &lt;- </w:t>
      </w:r>
      <w:proofErr w:type="spellStart"/>
      <w:r w:rsidRPr="00ED32EF">
        <w:t>ranef</w:t>
      </w:r>
      <w:proofErr w:type="spellEnd"/>
      <w:r w:rsidRPr="00ED32EF">
        <w:t xml:space="preserve">(fit.nlme.mass.1, </w:t>
      </w:r>
      <w:proofErr w:type="spellStart"/>
      <w:r w:rsidRPr="00ED32EF">
        <w:t>augFrame</w:t>
      </w:r>
      <w:proofErr w:type="spellEnd"/>
      <w:r w:rsidRPr="00ED32EF">
        <w:t xml:space="preserve">=T) </w:t>
      </w:r>
    </w:p>
    <w:p w14:paraId="3AF7070F" w14:textId="77777777" w:rsidR="000776AD" w:rsidRPr="00ED32EF" w:rsidRDefault="000776AD" w:rsidP="000776AD">
      <w:pPr>
        <w:jc w:val="both"/>
        <w:rPr>
          <w:i/>
        </w:rPr>
      </w:pPr>
      <w:r w:rsidRPr="00ED32EF">
        <w:rPr>
          <w:i/>
        </w:rPr>
        <w:t># A = smallest size in model - no difference between species or treatments (observe y-axis scale!)</w:t>
      </w:r>
    </w:p>
    <w:p w14:paraId="31D693CE" w14:textId="77777777" w:rsidR="000776AD" w:rsidRPr="00ED32EF" w:rsidRDefault="000776AD" w:rsidP="000776AD">
      <w:pPr>
        <w:jc w:val="both"/>
      </w:pPr>
      <w:r w:rsidRPr="00ED32EF">
        <w:t>plot(</w:t>
      </w:r>
      <w:proofErr w:type="spellStart"/>
      <w:r w:rsidRPr="00ED32EF">
        <w:t>ranef.fit.nlme,form</w:t>
      </w:r>
      <w:proofErr w:type="spellEnd"/>
      <w:r w:rsidRPr="00ED32EF">
        <w:t>=</w:t>
      </w:r>
      <w:proofErr w:type="spellStart"/>
      <w:r w:rsidRPr="00ED32EF">
        <w:t>A~species</w:t>
      </w:r>
      <w:proofErr w:type="spellEnd"/>
      <w:r w:rsidRPr="00ED32EF">
        <w:t xml:space="preserve"> + </w:t>
      </w:r>
      <w:proofErr w:type="spellStart"/>
      <w:r w:rsidRPr="00ED32EF">
        <w:t>carbondioxide</w:t>
      </w:r>
      <w:proofErr w:type="spellEnd"/>
      <w:r w:rsidRPr="00ED32EF">
        <w:t>)</w:t>
      </w:r>
    </w:p>
    <w:p w14:paraId="0FF11902" w14:textId="77777777" w:rsidR="000776AD" w:rsidRPr="00ED32EF" w:rsidRDefault="000776AD" w:rsidP="000776AD">
      <w:pPr>
        <w:jc w:val="both"/>
        <w:rPr>
          <w:i/>
        </w:rPr>
      </w:pPr>
      <w:r w:rsidRPr="00ED32EF">
        <w:rPr>
          <w:i/>
        </w:rPr>
        <w:t># B = biggest size in model - differs between species and treatments</w:t>
      </w:r>
    </w:p>
    <w:p w14:paraId="2F592D08" w14:textId="77777777" w:rsidR="000776AD" w:rsidRPr="00ED32EF" w:rsidRDefault="000776AD" w:rsidP="000776AD">
      <w:pPr>
        <w:jc w:val="both"/>
      </w:pPr>
      <w:r w:rsidRPr="00ED32EF">
        <w:t>plot(</w:t>
      </w:r>
      <w:proofErr w:type="spellStart"/>
      <w:r w:rsidRPr="00ED32EF">
        <w:t>ranef.fit.nlme,form</w:t>
      </w:r>
      <w:proofErr w:type="spellEnd"/>
      <w:r w:rsidRPr="00ED32EF">
        <w:t>=</w:t>
      </w:r>
      <w:proofErr w:type="spellStart"/>
      <w:r w:rsidRPr="00ED32EF">
        <w:t>B~species</w:t>
      </w:r>
      <w:proofErr w:type="spellEnd"/>
      <w:r w:rsidRPr="00ED32EF">
        <w:t xml:space="preserve"> + </w:t>
      </w:r>
      <w:proofErr w:type="spellStart"/>
      <w:r w:rsidRPr="00ED32EF">
        <w:t>carbondioxide</w:t>
      </w:r>
      <w:proofErr w:type="spellEnd"/>
      <w:r w:rsidRPr="00ED32EF">
        <w:t>)</w:t>
      </w:r>
    </w:p>
    <w:p w14:paraId="0B215471" w14:textId="77777777" w:rsidR="000776AD" w:rsidRPr="00ED32EF" w:rsidRDefault="000776AD" w:rsidP="000776AD">
      <w:pPr>
        <w:jc w:val="both"/>
        <w:rPr>
          <w:i/>
        </w:rPr>
      </w:pPr>
      <w:r w:rsidRPr="00ED32EF">
        <w:rPr>
          <w:i/>
        </w:rPr>
        <w:t xml:space="preserve"># </w:t>
      </w:r>
      <w:proofErr w:type="spellStart"/>
      <w:r w:rsidRPr="00ED32EF">
        <w:rPr>
          <w:i/>
        </w:rPr>
        <w:t>xmid</w:t>
      </w:r>
      <w:proofErr w:type="spellEnd"/>
      <w:r w:rsidRPr="00ED32EF">
        <w:rPr>
          <w:i/>
        </w:rPr>
        <w:t xml:space="preserve"> = time at half-size in model - differs between species and treatments</w:t>
      </w:r>
    </w:p>
    <w:p w14:paraId="18B11FF0" w14:textId="77777777" w:rsidR="000776AD" w:rsidRPr="00ED32EF" w:rsidRDefault="000776AD" w:rsidP="000776AD">
      <w:pPr>
        <w:jc w:val="both"/>
      </w:pPr>
      <w:r w:rsidRPr="00ED32EF">
        <w:t>plot(</w:t>
      </w:r>
      <w:proofErr w:type="spellStart"/>
      <w:r w:rsidRPr="00ED32EF">
        <w:t>ranef.fit.nlme,form</w:t>
      </w:r>
      <w:proofErr w:type="spellEnd"/>
      <w:r w:rsidRPr="00ED32EF">
        <w:t>=</w:t>
      </w:r>
      <w:proofErr w:type="spellStart"/>
      <w:r w:rsidRPr="00ED32EF">
        <w:t>xmid~species</w:t>
      </w:r>
      <w:proofErr w:type="spellEnd"/>
      <w:r w:rsidRPr="00ED32EF">
        <w:t xml:space="preserve"> + </w:t>
      </w:r>
      <w:proofErr w:type="spellStart"/>
      <w:r w:rsidRPr="00ED32EF">
        <w:t>carbondioxide</w:t>
      </w:r>
      <w:proofErr w:type="spellEnd"/>
      <w:r w:rsidRPr="00ED32EF">
        <w:t>)</w:t>
      </w:r>
    </w:p>
    <w:p w14:paraId="5E22E618" w14:textId="77777777" w:rsidR="000776AD" w:rsidRPr="00ED32EF" w:rsidRDefault="000776AD" w:rsidP="000776AD">
      <w:pPr>
        <w:jc w:val="both"/>
        <w:rPr>
          <w:i/>
        </w:rPr>
      </w:pPr>
      <w:r w:rsidRPr="00ED32EF">
        <w:rPr>
          <w:i/>
        </w:rPr>
        <w:t xml:space="preserve"># </w:t>
      </w:r>
      <w:proofErr w:type="spellStart"/>
      <w:r w:rsidRPr="00ED32EF">
        <w:rPr>
          <w:i/>
        </w:rPr>
        <w:t>scal</w:t>
      </w:r>
      <w:proofErr w:type="spellEnd"/>
      <w:r w:rsidRPr="00ED32EF">
        <w:rPr>
          <w:i/>
        </w:rPr>
        <w:t xml:space="preserve"> = rate of growth - no difference between species and treatments</w:t>
      </w:r>
    </w:p>
    <w:p w14:paraId="7BE2117D" w14:textId="77777777" w:rsidR="000776AD" w:rsidRPr="00ED32EF" w:rsidRDefault="000776AD" w:rsidP="000776AD">
      <w:pPr>
        <w:jc w:val="both"/>
      </w:pPr>
      <w:r w:rsidRPr="00ED32EF">
        <w:t>plot(</w:t>
      </w:r>
      <w:proofErr w:type="spellStart"/>
      <w:r w:rsidRPr="00ED32EF">
        <w:t>ranef.fit.nlme,form</w:t>
      </w:r>
      <w:proofErr w:type="spellEnd"/>
      <w:r w:rsidRPr="00ED32EF">
        <w:t>=</w:t>
      </w:r>
      <w:proofErr w:type="spellStart"/>
      <w:r w:rsidRPr="00ED32EF">
        <w:t>scal~species</w:t>
      </w:r>
      <w:proofErr w:type="spellEnd"/>
      <w:r w:rsidRPr="00ED32EF">
        <w:t xml:space="preserve"> + </w:t>
      </w:r>
      <w:proofErr w:type="spellStart"/>
      <w:r w:rsidRPr="00ED32EF">
        <w:t>carbondioxide</w:t>
      </w:r>
      <w:proofErr w:type="spellEnd"/>
      <w:r w:rsidRPr="00ED32EF">
        <w:t>)</w:t>
      </w:r>
    </w:p>
    <w:p w14:paraId="2AC5E265" w14:textId="77777777" w:rsidR="000776AD" w:rsidRPr="00ED32EF" w:rsidRDefault="000776AD" w:rsidP="000776AD">
      <w:pPr>
        <w:jc w:val="both"/>
        <w:rPr>
          <w:i/>
        </w:rPr>
      </w:pPr>
      <w:r w:rsidRPr="00ED32EF">
        <w:rPr>
          <w:i/>
        </w:rPr>
        <w:t xml:space="preserve">### just B and </w:t>
      </w:r>
      <w:proofErr w:type="spellStart"/>
      <w:r w:rsidRPr="00ED32EF">
        <w:rPr>
          <w:i/>
        </w:rPr>
        <w:t>xmid</w:t>
      </w:r>
      <w:proofErr w:type="spellEnd"/>
      <w:r w:rsidRPr="00ED32EF">
        <w:rPr>
          <w:i/>
        </w:rPr>
        <w:t xml:space="preserve"> need to vary with species and treatment</w:t>
      </w:r>
    </w:p>
    <w:p w14:paraId="048B0B72" w14:textId="77777777" w:rsidR="000776AD" w:rsidRPr="00ED32EF" w:rsidRDefault="000776AD" w:rsidP="000776AD">
      <w:pPr>
        <w:jc w:val="both"/>
      </w:pPr>
    </w:p>
    <w:p w14:paraId="6542C437" w14:textId="77777777" w:rsidR="000776AD" w:rsidRPr="00ED32EF" w:rsidRDefault="000776AD" w:rsidP="000776AD">
      <w:pPr>
        <w:jc w:val="both"/>
      </w:pPr>
      <w:r w:rsidRPr="00ED32EF">
        <w:t>fit.nlme.mass.2=update(fit.nlme.mass.1, random=</w:t>
      </w:r>
      <w:proofErr w:type="spellStart"/>
      <w:r w:rsidRPr="00ED32EF">
        <w:t>pdDiag</w:t>
      </w:r>
      <w:proofErr w:type="spellEnd"/>
      <w:r w:rsidRPr="00ED32EF">
        <w:t xml:space="preserve">( B + </w:t>
      </w:r>
      <w:proofErr w:type="spellStart"/>
      <w:r w:rsidRPr="00ED32EF">
        <w:t>xmid</w:t>
      </w:r>
      <w:proofErr w:type="spellEnd"/>
      <w:r w:rsidRPr="00ED32EF">
        <w:t xml:space="preserve">  ~ 1))</w:t>
      </w:r>
    </w:p>
    <w:p w14:paraId="4D6E6DD6" w14:textId="77777777" w:rsidR="000776AD" w:rsidRPr="00ED32EF" w:rsidRDefault="000776AD" w:rsidP="000776AD">
      <w:pPr>
        <w:jc w:val="both"/>
      </w:pPr>
    </w:p>
    <w:p w14:paraId="20788E40" w14:textId="77777777" w:rsidR="000776AD" w:rsidRPr="00ED32EF" w:rsidRDefault="000776AD" w:rsidP="000776AD">
      <w:pPr>
        <w:jc w:val="both"/>
        <w:rPr>
          <w:i/>
        </w:rPr>
      </w:pPr>
      <w:r w:rsidRPr="00ED32EF">
        <w:rPr>
          <w:i/>
        </w:rPr>
        <w:t xml:space="preserve"># continue improving the model to improve the fits of the curves, using numbers from the model summary </w:t>
      </w:r>
    </w:p>
    <w:p w14:paraId="4BF5E91E" w14:textId="77777777" w:rsidR="000776AD" w:rsidRPr="00ED32EF" w:rsidRDefault="000776AD" w:rsidP="000776AD">
      <w:pPr>
        <w:jc w:val="both"/>
      </w:pPr>
      <w:r w:rsidRPr="00ED32EF">
        <w:t>fit.nlme.mass.3=update(fit.nlme.mass.2,fixed=list(A ~1, B~species+carbondioxide,xmid+scal~1),start=c(-5,1.4,0,0,0,27,9))</w:t>
      </w:r>
    </w:p>
    <w:p w14:paraId="33FD02C2" w14:textId="77777777" w:rsidR="000776AD" w:rsidRPr="00ED32EF" w:rsidRDefault="000776AD" w:rsidP="000776AD">
      <w:pPr>
        <w:jc w:val="both"/>
      </w:pPr>
    </w:p>
    <w:p w14:paraId="0C5FA4AC" w14:textId="77777777" w:rsidR="000776AD" w:rsidRPr="00ED32EF" w:rsidRDefault="000776AD" w:rsidP="000776AD">
      <w:pPr>
        <w:jc w:val="both"/>
      </w:pPr>
      <w:r w:rsidRPr="00ED32EF">
        <w:t xml:space="preserve">fit.nlme.mass.4=update(fit.nlme.mass.3,fixed=list(A ~1, B ~ species + </w:t>
      </w:r>
      <w:proofErr w:type="spellStart"/>
      <w:r w:rsidRPr="00ED32EF">
        <w:t>carbondioxide</w:t>
      </w:r>
      <w:proofErr w:type="spellEnd"/>
      <w:r w:rsidRPr="00ED32EF">
        <w:t xml:space="preserve">, </w:t>
      </w:r>
      <w:proofErr w:type="spellStart"/>
      <w:r w:rsidRPr="00ED32EF">
        <w:t>xmid</w:t>
      </w:r>
      <w:proofErr w:type="spellEnd"/>
      <w:r w:rsidRPr="00ED32EF">
        <w:t xml:space="preserve"> ~ </w:t>
      </w:r>
      <w:proofErr w:type="spellStart"/>
      <w:r w:rsidRPr="00ED32EF">
        <w:t>carbondioxide</w:t>
      </w:r>
      <w:proofErr w:type="spellEnd"/>
      <w:r w:rsidRPr="00ED32EF">
        <w:t xml:space="preserve">, </w:t>
      </w:r>
      <w:proofErr w:type="spellStart"/>
      <w:r w:rsidRPr="00ED32EF">
        <w:t>scal</w:t>
      </w:r>
      <w:proofErr w:type="spellEnd"/>
      <w:r w:rsidRPr="00ED32EF">
        <w:t xml:space="preserve"> ~ 1), start=c(-6,3,-1.5,-1.8,-0.55,27,0,0,10))</w:t>
      </w:r>
    </w:p>
    <w:p w14:paraId="4C3D05F1" w14:textId="77777777" w:rsidR="000776AD" w:rsidRPr="00ED32EF" w:rsidRDefault="000776AD" w:rsidP="000776AD">
      <w:pPr>
        <w:jc w:val="both"/>
      </w:pPr>
    </w:p>
    <w:p w14:paraId="5C19D5E0" w14:textId="77777777" w:rsidR="000776AD" w:rsidRPr="00ED32EF" w:rsidRDefault="000776AD" w:rsidP="000776AD">
      <w:pPr>
        <w:jc w:val="both"/>
      </w:pPr>
      <w:r w:rsidRPr="00ED32EF">
        <w:t xml:space="preserve">fit.nlme.mass.5=update(fit.nlme.mass.4,fixed=list(A ~1, B ~ species + </w:t>
      </w:r>
      <w:proofErr w:type="spellStart"/>
      <w:r w:rsidRPr="00ED32EF">
        <w:t>carbondioxide</w:t>
      </w:r>
      <w:proofErr w:type="spellEnd"/>
      <w:r w:rsidRPr="00ED32EF">
        <w:t xml:space="preserve">, </w:t>
      </w:r>
      <w:proofErr w:type="spellStart"/>
      <w:r w:rsidRPr="00ED32EF">
        <w:t>xmid</w:t>
      </w:r>
      <w:proofErr w:type="spellEnd"/>
      <w:r w:rsidRPr="00ED32EF">
        <w:t xml:space="preserve"> ~ species + </w:t>
      </w:r>
      <w:proofErr w:type="spellStart"/>
      <w:r w:rsidRPr="00ED32EF">
        <w:t>carbondioxide</w:t>
      </w:r>
      <w:proofErr w:type="spellEnd"/>
      <w:r w:rsidRPr="00ED32EF">
        <w:t xml:space="preserve">, </w:t>
      </w:r>
      <w:proofErr w:type="spellStart"/>
      <w:r w:rsidRPr="00ED32EF">
        <w:t>scal</w:t>
      </w:r>
      <w:proofErr w:type="spellEnd"/>
      <w:r w:rsidRPr="00ED32EF">
        <w:t xml:space="preserve"> ~ 1), start=c(-6,3,-1.5,-1.8,-0.55,27,0,0,0,10))</w:t>
      </w:r>
    </w:p>
    <w:p w14:paraId="662EDEB8" w14:textId="77777777" w:rsidR="000776AD" w:rsidRPr="00ED32EF" w:rsidRDefault="000776AD" w:rsidP="000776AD">
      <w:pPr>
        <w:jc w:val="both"/>
      </w:pPr>
    </w:p>
    <w:p w14:paraId="2F232BB6" w14:textId="77777777" w:rsidR="000776AD" w:rsidRPr="00ED32EF" w:rsidRDefault="000776AD" w:rsidP="000776AD">
      <w:pPr>
        <w:jc w:val="both"/>
        <w:rPr>
          <w:i/>
        </w:rPr>
      </w:pPr>
      <w:r w:rsidRPr="00ED32EF">
        <w:rPr>
          <w:i/>
        </w:rPr>
        <w:t># most complex model is the best fit:</w:t>
      </w:r>
    </w:p>
    <w:p w14:paraId="7350AA0C" w14:textId="77777777" w:rsidR="000776AD" w:rsidRPr="00ED32EF" w:rsidRDefault="000776AD" w:rsidP="000776AD">
      <w:pPr>
        <w:jc w:val="both"/>
      </w:pPr>
      <w:r w:rsidRPr="00ED32EF">
        <w:t>plot(</w:t>
      </w:r>
      <w:proofErr w:type="spellStart"/>
      <w:r w:rsidRPr="00ED32EF">
        <w:t>augPred</w:t>
      </w:r>
      <w:proofErr w:type="spellEnd"/>
      <w:r w:rsidRPr="00ED32EF">
        <w:t>(fit.nlme.mass.5,level=0:1),</w:t>
      </w:r>
      <w:proofErr w:type="spellStart"/>
      <w:r w:rsidRPr="00ED32EF">
        <w:t>xlab</w:t>
      </w:r>
      <w:proofErr w:type="spellEnd"/>
      <w:r w:rsidRPr="00ED32EF">
        <w:t>="Plant age (days)",</w:t>
      </w:r>
      <w:proofErr w:type="spellStart"/>
      <w:r w:rsidRPr="00ED32EF">
        <w:t>ylab</w:t>
      </w:r>
      <w:proofErr w:type="spellEnd"/>
      <w:r w:rsidRPr="00ED32EF">
        <w:t>="Predicted plant mass (log scale)")</w:t>
      </w:r>
    </w:p>
    <w:p w14:paraId="789892C1" w14:textId="77777777" w:rsidR="000776AD" w:rsidRPr="00ED32EF" w:rsidRDefault="000776AD" w:rsidP="000776AD">
      <w:pPr>
        <w:jc w:val="both"/>
        <w:rPr>
          <w:i/>
        </w:rPr>
      </w:pPr>
    </w:p>
    <w:p w14:paraId="1042F4D2" w14:textId="77777777" w:rsidR="000776AD" w:rsidRPr="00ED32EF" w:rsidRDefault="000776AD" w:rsidP="000776AD">
      <w:pPr>
        <w:jc w:val="both"/>
        <w:rPr>
          <w:i/>
        </w:rPr>
      </w:pPr>
      <w:r w:rsidRPr="00ED32EF">
        <w:rPr>
          <w:i/>
        </w:rPr>
        <w:t># use the model output to obtain RGR</w:t>
      </w:r>
    </w:p>
    <w:p w14:paraId="73B6D5C2" w14:textId="77777777" w:rsidR="000776AD" w:rsidRPr="00ED32EF" w:rsidRDefault="000776AD" w:rsidP="000776AD">
      <w:pPr>
        <w:jc w:val="both"/>
        <w:rPr>
          <w:i/>
        </w:rPr>
      </w:pPr>
      <w:r w:rsidRPr="00ED32EF">
        <w:rPr>
          <w:i/>
        </w:rPr>
        <w:t># in the model summary, things are compared to the alphabetically-first item in each category</w:t>
      </w:r>
    </w:p>
    <w:p w14:paraId="48335987" w14:textId="77777777" w:rsidR="000776AD" w:rsidRPr="00ED32EF" w:rsidRDefault="000776AD" w:rsidP="000776AD">
      <w:pPr>
        <w:jc w:val="both"/>
        <w:rPr>
          <w:i/>
        </w:rPr>
      </w:pPr>
      <w:r w:rsidRPr="00ED32EF">
        <w:rPr>
          <w:i/>
        </w:rPr>
        <w:t># for species, species p is compared against a</w:t>
      </w:r>
    </w:p>
    <w:p w14:paraId="74FE792A" w14:textId="77777777" w:rsidR="000776AD" w:rsidRPr="00ED32EF" w:rsidRDefault="000776AD" w:rsidP="000776AD">
      <w:pPr>
        <w:jc w:val="both"/>
        <w:rPr>
          <w:i/>
        </w:rPr>
      </w:pPr>
      <w:r w:rsidRPr="00ED32EF">
        <w:rPr>
          <w:i/>
        </w:rPr>
        <w:t># for co2, 180 and 400 are compared against 1500</w:t>
      </w:r>
    </w:p>
    <w:p w14:paraId="617B3A64" w14:textId="77777777" w:rsidR="000776AD" w:rsidRPr="00ED32EF" w:rsidRDefault="000776AD" w:rsidP="000776AD">
      <w:pPr>
        <w:jc w:val="both"/>
        <w:rPr>
          <w:i/>
        </w:rPr>
      </w:pPr>
      <w:r w:rsidRPr="00ED32EF">
        <w:rPr>
          <w:i/>
        </w:rPr>
        <w:t xml:space="preserve"># in the summary, in Fixed effects, look at </w:t>
      </w:r>
      <w:proofErr w:type="spellStart"/>
      <w:r w:rsidRPr="00ED32EF">
        <w:rPr>
          <w:i/>
        </w:rPr>
        <w:t>xmid</w:t>
      </w:r>
      <w:proofErr w:type="spellEnd"/>
      <w:r w:rsidRPr="00ED32EF">
        <w:rPr>
          <w:i/>
        </w:rPr>
        <w:t>(Intercept): 26.29...days until half-size reached, in annual at 1500ppm</w:t>
      </w:r>
    </w:p>
    <w:p w14:paraId="4F7BEB2A" w14:textId="77777777" w:rsidR="000776AD" w:rsidRPr="00ED32EF" w:rsidRDefault="000776AD" w:rsidP="000776AD">
      <w:pPr>
        <w:jc w:val="both"/>
        <w:rPr>
          <w:i/>
        </w:rPr>
      </w:pPr>
      <w:r w:rsidRPr="00ED32EF">
        <w:rPr>
          <w:i/>
        </w:rPr>
        <w:t xml:space="preserve"># </w:t>
      </w:r>
      <w:proofErr w:type="spellStart"/>
      <w:r w:rsidRPr="00ED32EF">
        <w:rPr>
          <w:i/>
        </w:rPr>
        <w:t>xmid</w:t>
      </w:r>
      <w:proofErr w:type="spellEnd"/>
      <w:r w:rsidRPr="00ED32EF">
        <w:rPr>
          <w:i/>
        </w:rPr>
        <w:t xml:space="preserve"> for perennial at 1500ppm is 26.29... + 8.65... days (add the values)</w:t>
      </w:r>
    </w:p>
    <w:p w14:paraId="5FF9861E" w14:textId="77777777" w:rsidR="000776AD" w:rsidRPr="00ED32EF" w:rsidRDefault="000776AD" w:rsidP="000776AD">
      <w:pPr>
        <w:jc w:val="both"/>
        <w:rPr>
          <w:i/>
        </w:rPr>
      </w:pPr>
      <w:r w:rsidRPr="00ED32EF">
        <w:rPr>
          <w:i/>
        </w:rPr>
        <w:t xml:space="preserve"># </w:t>
      </w:r>
      <w:proofErr w:type="spellStart"/>
      <w:r w:rsidRPr="00ED32EF">
        <w:rPr>
          <w:i/>
        </w:rPr>
        <w:t>xmid</w:t>
      </w:r>
      <w:proofErr w:type="spellEnd"/>
      <w:r w:rsidRPr="00ED32EF">
        <w:rPr>
          <w:i/>
        </w:rPr>
        <w:t xml:space="preserve"> at 180ppm = 8.87... days longer; </w:t>
      </w:r>
      <w:proofErr w:type="spellStart"/>
      <w:r w:rsidRPr="00ED32EF">
        <w:rPr>
          <w:i/>
        </w:rPr>
        <w:t>xmid</w:t>
      </w:r>
      <w:proofErr w:type="spellEnd"/>
      <w:r w:rsidRPr="00ED32EF">
        <w:rPr>
          <w:i/>
        </w:rPr>
        <w:t xml:space="preserve"> at 400ppm = 2.34... days longer</w:t>
      </w:r>
    </w:p>
    <w:p w14:paraId="029B2144" w14:textId="77777777" w:rsidR="000776AD" w:rsidRPr="00ED32EF" w:rsidRDefault="000776AD" w:rsidP="000776AD">
      <w:pPr>
        <w:jc w:val="both"/>
        <w:rPr>
          <w:i/>
        </w:rPr>
      </w:pPr>
      <w:r w:rsidRPr="00ED32EF">
        <w:rPr>
          <w:i/>
        </w:rPr>
        <w:t># B (full size) is greatest in Annual at 1500ppm, and is smaller in Perennial (1.84... + (-0.39...))</w:t>
      </w:r>
    </w:p>
    <w:p w14:paraId="1457E48E" w14:textId="77777777" w:rsidR="000776AD" w:rsidRPr="00ED32EF" w:rsidRDefault="000776AD" w:rsidP="000776AD">
      <w:pPr>
        <w:jc w:val="both"/>
        <w:rPr>
          <w:i/>
        </w:rPr>
      </w:pPr>
      <w:r w:rsidRPr="00ED32EF">
        <w:rPr>
          <w:i/>
        </w:rPr>
        <w:t># B is also smaller at 180ppm (1.84 -.63...) and at 400ppm (1.84 -.22...)</w:t>
      </w:r>
    </w:p>
    <w:p w14:paraId="0AE7CD92" w14:textId="77777777" w:rsidR="000776AD" w:rsidRPr="00ED32EF" w:rsidRDefault="000776AD" w:rsidP="000776AD">
      <w:pPr>
        <w:jc w:val="both"/>
        <w:rPr>
          <w:i/>
        </w:rPr>
      </w:pPr>
      <w:r w:rsidRPr="00ED32EF">
        <w:rPr>
          <w:i/>
        </w:rPr>
        <w:t>summary(fit.nlme.mass.5)</w:t>
      </w:r>
    </w:p>
    <w:p w14:paraId="79C60412" w14:textId="77777777" w:rsidR="000776AD" w:rsidRPr="00ED32EF" w:rsidRDefault="000776AD" w:rsidP="000776AD">
      <w:pPr>
        <w:jc w:val="both"/>
        <w:rPr>
          <w:i/>
        </w:rPr>
      </w:pPr>
    </w:p>
    <w:p w14:paraId="3C9722EC" w14:textId="77777777" w:rsidR="000776AD" w:rsidRPr="00ED32EF" w:rsidRDefault="000776AD" w:rsidP="000776AD">
      <w:pPr>
        <w:jc w:val="both"/>
        <w:rPr>
          <w:i/>
        </w:rPr>
      </w:pPr>
      <w:r w:rsidRPr="00ED32EF">
        <w:rPr>
          <w:i/>
        </w:rPr>
        <w:t># using equation of Rees et al. 2010, with values from model as outlined above</w:t>
      </w:r>
    </w:p>
    <w:p w14:paraId="0D237F4B" w14:textId="77777777" w:rsidR="000776AD" w:rsidRPr="00ED32EF" w:rsidRDefault="000776AD" w:rsidP="000776AD">
      <w:pPr>
        <w:jc w:val="both"/>
      </w:pPr>
      <w:proofErr w:type="spellStart"/>
      <w:r w:rsidRPr="00ED32EF">
        <w:t>RGR.f</w:t>
      </w:r>
      <w:proofErr w:type="spellEnd"/>
      <w:r w:rsidRPr="00ED32EF">
        <w:t xml:space="preserve"> &lt;- function (</w:t>
      </w:r>
      <w:proofErr w:type="spellStart"/>
      <w:r w:rsidRPr="00ED32EF">
        <w:t>A,B,xmid,scal,t</w:t>
      </w:r>
      <w:proofErr w:type="spellEnd"/>
      <w:r w:rsidRPr="00ED32EF">
        <w:t>)</w:t>
      </w:r>
    </w:p>
    <w:p w14:paraId="25D725A2" w14:textId="77777777" w:rsidR="000776AD" w:rsidRPr="00ED32EF" w:rsidRDefault="000776AD" w:rsidP="000776AD">
      <w:pPr>
        <w:jc w:val="both"/>
      </w:pPr>
      <w:r w:rsidRPr="00ED32EF">
        <w:t xml:space="preserve">  ((B-A) * </w:t>
      </w:r>
      <w:proofErr w:type="spellStart"/>
      <w:r w:rsidRPr="00ED32EF">
        <w:t>exp</w:t>
      </w:r>
      <w:proofErr w:type="spellEnd"/>
      <w:r w:rsidRPr="00ED32EF">
        <w:t>((</w:t>
      </w:r>
      <w:proofErr w:type="spellStart"/>
      <w:r w:rsidRPr="00ED32EF">
        <w:t>xmid</w:t>
      </w:r>
      <w:proofErr w:type="spellEnd"/>
      <w:r w:rsidRPr="00ED32EF">
        <w:t>-t)/</w:t>
      </w:r>
      <w:proofErr w:type="spellStart"/>
      <w:r w:rsidRPr="00ED32EF">
        <w:t>scal</w:t>
      </w:r>
      <w:proofErr w:type="spellEnd"/>
      <w:r w:rsidRPr="00ED32EF">
        <w:t>) ) / ( (1+exp((</w:t>
      </w:r>
      <w:proofErr w:type="spellStart"/>
      <w:r w:rsidRPr="00ED32EF">
        <w:t>xmid</w:t>
      </w:r>
      <w:proofErr w:type="spellEnd"/>
      <w:r w:rsidRPr="00ED32EF">
        <w:t>-t)/</w:t>
      </w:r>
      <w:proofErr w:type="spellStart"/>
      <w:r w:rsidRPr="00ED32EF">
        <w:t>scal</w:t>
      </w:r>
      <w:proofErr w:type="spellEnd"/>
      <w:r w:rsidRPr="00ED32EF">
        <w:t>)) * (1+exp((</w:t>
      </w:r>
      <w:proofErr w:type="spellStart"/>
      <w:r w:rsidRPr="00ED32EF">
        <w:t>xmid</w:t>
      </w:r>
      <w:proofErr w:type="spellEnd"/>
      <w:r w:rsidRPr="00ED32EF">
        <w:t>-t)/</w:t>
      </w:r>
      <w:proofErr w:type="spellStart"/>
      <w:r w:rsidRPr="00ED32EF">
        <w:t>scal</w:t>
      </w:r>
      <w:proofErr w:type="spellEnd"/>
      <w:r w:rsidRPr="00ED32EF">
        <w:t xml:space="preserve">)) * </w:t>
      </w:r>
      <w:proofErr w:type="spellStart"/>
      <w:r w:rsidRPr="00ED32EF">
        <w:t>scal</w:t>
      </w:r>
      <w:proofErr w:type="spellEnd"/>
      <w:r w:rsidRPr="00ED32EF">
        <w:t xml:space="preserve"> )</w:t>
      </w:r>
    </w:p>
    <w:p w14:paraId="49CB72F8" w14:textId="77777777" w:rsidR="000776AD" w:rsidRPr="00ED32EF" w:rsidRDefault="000776AD" w:rsidP="000776AD">
      <w:pPr>
        <w:jc w:val="both"/>
      </w:pPr>
    </w:p>
    <w:p w14:paraId="1D067A00" w14:textId="77777777" w:rsidR="000776AD" w:rsidRPr="00ED32EF" w:rsidRDefault="000776AD" w:rsidP="000776AD">
      <w:pPr>
        <w:jc w:val="both"/>
      </w:pPr>
      <w:r w:rsidRPr="00ED32EF">
        <w:t xml:space="preserve">RGR.a.1500 &lt;- </w:t>
      </w:r>
      <w:proofErr w:type="spellStart"/>
      <w:r w:rsidRPr="00ED32EF">
        <w:t>RGR.f</w:t>
      </w:r>
      <w:proofErr w:type="spellEnd"/>
      <w:r w:rsidRPr="00ED32EF">
        <w:t>(-4.988284,2.324436,26.901748,7.584238,1:60)</w:t>
      </w:r>
    </w:p>
    <w:p w14:paraId="1C8306AD" w14:textId="77777777" w:rsidR="000776AD" w:rsidRPr="00ED32EF" w:rsidRDefault="000776AD" w:rsidP="000776AD">
      <w:pPr>
        <w:jc w:val="both"/>
      </w:pPr>
      <w:r w:rsidRPr="00ED32EF">
        <w:t xml:space="preserve">RGR.p.1500 &lt;- </w:t>
      </w:r>
      <w:proofErr w:type="spellStart"/>
      <w:r w:rsidRPr="00ED32EF">
        <w:t>RGR.f</w:t>
      </w:r>
      <w:proofErr w:type="spellEnd"/>
      <w:r w:rsidRPr="00ED32EF">
        <w:t>(-4.988284,2.324436-1.039740,26.901748+1.505567,7.584238,1:60)</w:t>
      </w:r>
    </w:p>
    <w:p w14:paraId="69A3E8EC" w14:textId="77777777" w:rsidR="000776AD" w:rsidRPr="00ED32EF" w:rsidRDefault="000776AD" w:rsidP="000776AD">
      <w:pPr>
        <w:jc w:val="both"/>
      </w:pPr>
    </w:p>
    <w:p w14:paraId="502B89EA" w14:textId="77777777" w:rsidR="000776AD" w:rsidRPr="00ED32EF" w:rsidRDefault="000776AD" w:rsidP="000776AD">
      <w:pPr>
        <w:jc w:val="both"/>
      </w:pPr>
      <w:r w:rsidRPr="00ED32EF">
        <w:t xml:space="preserve">RGR.a.400 &lt;- </w:t>
      </w:r>
      <w:proofErr w:type="spellStart"/>
      <w:r w:rsidRPr="00ED32EF">
        <w:t>RGR.f</w:t>
      </w:r>
      <w:proofErr w:type="spellEnd"/>
      <w:r w:rsidRPr="00ED32EF">
        <w:t>(-4.988284,2.324436-0.351220,26.901748+1.054286,7.584238,1:60)</w:t>
      </w:r>
    </w:p>
    <w:p w14:paraId="3156AA3A" w14:textId="77777777" w:rsidR="000776AD" w:rsidRPr="00ED32EF" w:rsidRDefault="000776AD" w:rsidP="000776AD">
      <w:pPr>
        <w:jc w:val="both"/>
      </w:pPr>
      <w:r w:rsidRPr="00ED32EF">
        <w:t xml:space="preserve">RGR.p.400 &lt;- </w:t>
      </w:r>
      <w:proofErr w:type="spellStart"/>
      <w:r w:rsidRPr="00ED32EF">
        <w:t>RGR.f</w:t>
      </w:r>
      <w:proofErr w:type="spellEnd"/>
      <w:r w:rsidRPr="00ED32EF">
        <w:t>(-4.988284,2.324436-1.039740-0.351220,26.901748+1.505567+1.054286,7.584238,1:60)</w:t>
      </w:r>
    </w:p>
    <w:p w14:paraId="64CD5334" w14:textId="77777777" w:rsidR="000776AD" w:rsidRPr="00ED32EF" w:rsidRDefault="000776AD" w:rsidP="000776AD">
      <w:pPr>
        <w:jc w:val="both"/>
      </w:pPr>
    </w:p>
    <w:p w14:paraId="33FDCD74" w14:textId="77777777" w:rsidR="000776AD" w:rsidRPr="00ED32EF" w:rsidRDefault="000776AD" w:rsidP="000776AD">
      <w:pPr>
        <w:jc w:val="both"/>
      </w:pPr>
      <w:r w:rsidRPr="00ED32EF">
        <w:t xml:space="preserve">RGR.a.180 &lt;- </w:t>
      </w:r>
      <w:proofErr w:type="spellStart"/>
      <w:r w:rsidRPr="00ED32EF">
        <w:t>RGR.f</w:t>
      </w:r>
      <w:proofErr w:type="spellEnd"/>
      <w:r w:rsidRPr="00ED32EF">
        <w:t>(-4.988284,2.324436-1.362902,26.901748+2.578045,7.584238,1:60)</w:t>
      </w:r>
    </w:p>
    <w:p w14:paraId="2ABFB3A2" w14:textId="77777777" w:rsidR="000776AD" w:rsidRPr="00ED32EF" w:rsidRDefault="000776AD" w:rsidP="000776AD">
      <w:pPr>
        <w:jc w:val="both"/>
      </w:pPr>
      <w:r w:rsidRPr="00ED32EF">
        <w:t xml:space="preserve">RGR.p.180 &lt;- </w:t>
      </w:r>
      <w:proofErr w:type="spellStart"/>
      <w:r w:rsidRPr="00ED32EF">
        <w:t>RGR.f</w:t>
      </w:r>
      <w:proofErr w:type="spellEnd"/>
      <w:r w:rsidRPr="00ED32EF">
        <w:t>(-4.988284,2.324436-1.039740-1.362902,26.901748+1.505567+2.578045,7.584238,1:60)</w:t>
      </w:r>
    </w:p>
    <w:p w14:paraId="175B1530" w14:textId="77777777" w:rsidR="000776AD" w:rsidRPr="00ED32EF" w:rsidRDefault="000776AD" w:rsidP="000776AD">
      <w:pPr>
        <w:jc w:val="both"/>
      </w:pPr>
    </w:p>
    <w:p w14:paraId="1C4882EB" w14:textId="77777777" w:rsidR="000776AD" w:rsidRPr="00ED32EF" w:rsidRDefault="000776AD" w:rsidP="000776AD">
      <w:pPr>
        <w:jc w:val="both"/>
      </w:pPr>
    </w:p>
    <w:p w14:paraId="24D338DB" w14:textId="77777777" w:rsidR="000776AD" w:rsidRPr="00ED32EF" w:rsidRDefault="000776AD" w:rsidP="000776AD">
      <w:pPr>
        <w:jc w:val="both"/>
        <w:rPr>
          <w:i/>
        </w:rPr>
      </w:pPr>
      <w:r w:rsidRPr="00ED32EF">
        <w:rPr>
          <w:i/>
        </w:rPr>
        <w:t># plot RGR on three plots, one for each CO2 level</w:t>
      </w:r>
    </w:p>
    <w:p w14:paraId="5638E7F9" w14:textId="77777777" w:rsidR="000776AD" w:rsidRPr="00ED32EF" w:rsidRDefault="000776AD" w:rsidP="000776AD">
      <w:pPr>
        <w:jc w:val="both"/>
      </w:pPr>
    </w:p>
    <w:p w14:paraId="6028210F" w14:textId="77777777" w:rsidR="000776AD" w:rsidRPr="00ED32EF" w:rsidRDefault="000776AD" w:rsidP="000776AD">
      <w:pPr>
        <w:jc w:val="both"/>
      </w:pPr>
      <w:r w:rsidRPr="00ED32EF">
        <w:t>par(</w:t>
      </w:r>
      <w:proofErr w:type="spellStart"/>
      <w:r w:rsidRPr="00ED32EF">
        <w:t>mfrow</w:t>
      </w:r>
      <w:proofErr w:type="spellEnd"/>
      <w:r w:rsidRPr="00ED32EF">
        <w:t xml:space="preserve">=c(1,1), </w:t>
      </w:r>
      <w:proofErr w:type="spellStart"/>
      <w:r w:rsidRPr="00ED32EF">
        <w:t>cex.lab</w:t>
      </w:r>
      <w:proofErr w:type="spellEnd"/>
      <w:r w:rsidRPr="00ED32EF">
        <w:t xml:space="preserve">=1.8, </w:t>
      </w:r>
      <w:proofErr w:type="spellStart"/>
      <w:r w:rsidRPr="00ED32EF">
        <w:t>cex.axis</w:t>
      </w:r>
      <w:proofErr w:type="spellEnd"/>
      <w:r w:rsidRPr="00ED32EF">
        <w:t xml:space="preserve">=1.8, </w:t>
      </w:r>
      <w:proofErr w:type="spellStart"/>
      <w:r w:rsidRPr="00ED32EF">
        <w:t>font.lab</w:t>
      </w:r>
      <w:proofErr w:type="spellEnd"/>
      <w:r w:rsidRPr="00ED32EF">
        <w:t xml:space="preserve">=2, </w:t>
      </w:r>
      <w:proofErr w:type="spellStart"/>
      <w:r w:rsidRPr="00ED32EF">
        <w:t>font.axis</w:t>
      </w:r>
      <w:proofErr w:type="spellEnd"/>
      <w:r w:rsidRPr="00ED32EF">
        <w:t>=2, family="sans")</w:t>
      </w:r>
    </w:p>
    <w:p w14:paraId="7E8921F9" w14:textId="77777777" w:rsidR="000776AD" w:rsidRPr="00ED32EF" w:rsidRDefault="000776AD" w:rsidP="000776AD">
      <w:pPr>
        <w:jc w:val="both"/>
      </w:pPr>
    </w:p>
    <w:p w14:paraId="6DE95261" w14:textId="77777777" w:rsidR="000776AD" w:rsidRPr="00ED32EF" w:rsidRDefault="000776AD" w:rsidP="000776AD">
      <w:pPr>
        <w:jc w:val="both"/>
      </w:pPr>
      <w:r w:rsidRPr="00ED32EF">
        <w:t>plot(1:60,RGR.a.1500,type="l",</w:t>
      </w:r>
      <w:proofErr w:type="spellStart"/>
      <w:r w:rsidRPr="00ED32EF">
        <w:t>xlab</w:t>
      </w:r>
      <w:proofErr w:type="spellEnd"/>
      <w:r w:rsidRPr="00ED32EF">
        <w:t>="Plant Age (days)",</w:t>
      </w:r>
      <w:proofErr w:type="spellStart"/>
      <w:r w:rsidRPr="00ED32EF">
        <w:t>ylab</w:t>
      </w:r>
      <w:proofErr w:type="spellEnd"/>
      <w:r w:rsidRPr="00ED32EF">
        <w:t xml:space="preserve">="Relative Growth Rate\n", </w:t>
      </w:r>
      <w:proofErr w:type="spellStart"/>
      <w:r w:rsidRPr="00ED32EF">
        <w:t>ylim</w:t>
      </w:r>
      <w:proofErr w:type="spellEnd"/>
      <w:r w:rsidRPr="00ED32EF">
        <w:t xml:space="preserve">=c(0,0.3), </w:t>
      </w:r>
      <w:proofErr w:type="spellStart"/>
      <w:r w:rsidRPr="00ED32EF">
        <w:t>lwd.ticks</w:t>
      </w:r>
      <w:proofErr w:type="spellEnd"/>
      <w:r w:rsidRPr="00ED32EF">
        <w:t xml:space="preserve">=6, </w:t>
      </w:r>
      <w:proofErr w:type="spellStart"/>
      <w:r w:rsidRPr="00ED32EF">
        <w:t>tck</w:t>
      </w:r>
      <w:proofErr w:type="spellEnd"/>
      <w:r w:rsidRPr="00ED32EF">
        <w:t>= 0.02)</w:t>
      </w:r>
    </w:p>
    <w:p w14:paraId="2B0A3612" w14:textId="77777777" w:rsidR="000776AD" w:rsidRPr="00ED32EF" w:rsidRDefault="000776AD" w:rsidP="000776AD">
      <w:pPr>
        <w:jc w:val="both"/>
      </w:pPr>
      <w:r w:rsidRPr="00ED32EF">
        <w:t xml:space="preserve">points(1:60,RGR.p.1500,type="l", </w:t>
      </w:r>
      <w:proofErr w:type="spellStart"/>
      <w:r w:rsidRPr="00ED32EF">
        <w:t>lty</w:t>
      </w:r>
      <w:proofErr w:type="spellEnd"/>
      <w:r w:rsidRPr="00ED32EF">
        <w:t>=2)</w:t>
      </w:r>
    </w:p>
    <w:p w14:paraId="41C91A7E" w14:textId="77777777" w:rsidR="000776AD" w:rsidRPr="00ED32EF" w:rsidRDefault="000776AD" w:rsidP="000776AD">
      <w:pPr>
        <w:jc w:val="both"/>
      </w:pPr>
      <w:r w:rsidRPr="00ED32EF">
        <w:t xml:space="preserve">text(x=5, y=0.28, </w:t>
      </w:r>
      <w:proofErr w:type="spellStart"/>
      <w:r w:rsidRPr="00ED32EF">
        <w:t>cex</w:t>
      </w:r>
      <w:proofErr w:type="spellEnd"/>
      <w:r w:rsidRPr="00ED32EF">
        <w:t xml:space="preserve"> = 1.8, font = 2, labels = "A")</w:t>
      </w:r>
    </w:p>
    <w:p w14:paraId="5B0A3853" w14:textId="77777777" w:rsidR="000776AD" w:rsidRPr="00ED32EF" w:rsidRDefault="000776AD" w:rsidP="000776AD">
      <w:pPr>
        <w:jc w:val="both"/>
      </w:pPr>
      <w:r w:rsidRPr="00ED32EF">
        <w:t xml:space="preserve">text(x=25, y=0.28, </w:t>
      </w:r>
      <w:proofErr w:type="spellStart"/>
      <w:r w:rsidRPr="00ED32EF">
        <w:t>cex</w:t>
      </w:r>
      <w:proofErr w:type="spellEnd"/>
      <w:r w:rsidRPr="00ED32EF">
        <w:t xml:space="preserve"> = 1.8, font = 2, labels = (expression(paste("\n1500 ", mu, "</w:t>
      </w:r>
      <w:proofErr w:type="spellStart"/>
      <w:r w:rsidRPr="00ED32EF">
        <w:t>mol</w:t>
      </w:r>
      <w:proofErr w:type="spellEnd"/>
      <w:r w:rsidRPr="00ED32EF">
        <w:t xml:space="preserve"> ", </w:t>
      </w:r>
      <w:proofErr w:type="spellStart"/>
      <w:r w:rsidRPr="00ED32EF">
        <w:t>mol</w:t>
      </w:r>
      <w:proofErr w:type="spellEnd"/>
      <w:r w:rsidRPr="00ED32EF">
        <w:t xml:space="preserve">^-1, CO[2], "", </w:t>
      </w:r>
      <w:proofErr w:type="spellStart"/>
      <w:r w:rsidRPr="00ED32EF">
        <w:t>sep</w:t>
      </w:r>
      <w:proofErr w:type="spellEnd"/>
      <w:r w:rsidRPr="00ED32EF">
        <w:t>=""))))</w:t>
      </w:r>
    </w:p>
    <w:p w14:paraId="321FBF37" w14:textId="77777777" w:rsidR="000776AD" w:rsidRPr="00ED32EF" w:rsidRDefault="000776AD" w:rsidP="000776AD">
      <w:pPr>
        <w:jc w:val="both"/>
      </w:pPr>
    </w:p>
    <w:p w14:paraId="06F76C83" w14:textId="77777777" w:rsidR="000776AD" w:rsidRPr="00ED32EF" w:rsidRDefault="000776AD" w:rsidP="000776AD">
      <w:pPr>
        <w:jc w:val="both"/>
      </w:pPr>
    </w:p>
    <w:p w14:paraId="5D0A94A9" w14:textId="77777777" w:rsidR="000776AD" w:rsidRPr="00ED32EF" w:rsidRDefault="000776AD" w:rsidP="000776AD">
      <w:pPr>
        <w:jc w:val="both"/>
      </w:pPr>
      <w:r w:rsidRPr="00ED32EF">
        <w:t>plot(1:60,RGR.a.400,type="l",</w:t>
      </w:r>
      <w:proofErr w:type="spellStart"/>
      <w:r w:rsidRPr="00ED32EF">
        <w:t>xlab</w:t>
      </w:r>
      <w:proofErr w:type="spellEnd"/>
      <w:r w:rsidRPr="00ED32EF">
        <w:t>="Plant Age (days)",</w:t>
      </w:r>
      <w:proofErr w:type="spellStart"/>
      <w:r w:rsidRPr="00ED32EF">
        <w:t>ylab</w:t>
      </w:r>
      <w:proofErr w:type="spellEnd"/>
      <w:r w:rsidRPr="00ED32EF">
        <w:t xml:space="preserve">="Relative Growth Rate\n", </w:t>
      </w:r>
      <w:proofErr w:type="spellStart"/>
      <w:r w:rsidRPr="00ED32EF">
        <w:t>ylim</w:t>
      </w:r>
      <w:proofErr w:type="spellEnd"/>
      <w:r w:rsidRPr="00ED32EF">
        <w:t xml:space="preserve">=c(0,0.3), </w:t>
      </w:r>
      <w:proofErr w:type="spellStart"/>
      <w:r w:rsidRPr="00ED32EF">
        <w:t>lwd.ticks</w:t>
      </w:r>
      <w:proofErr w:type="spellEnd"/>
      <w:r w:rsidRPr="00ED32EF">
        <w:t xml:space="preserve">=6, </w:t>
      </w:r>
      <w:proofErr w:type="spellStart"/>
      <w:r w:rsidRPr="00ED32EF">
        <w:t>tck</w:t>
      </w:r>
      <w:proofErr w:type="spellEnd"/>
      <w:r w:rsidRPr="00ED32EF">
        <w:t>= 0.02)</w:t>
      </w:r>
    </w:p>
    <w:p w14:paraId="79F604A3" w14:textId="77777777" w:rsidR="000776AD" w:rsidRPr="00ED32EF" w:rsidRDefault="000776AD" w:rsidP="000776AD">
      <w:pPr>
        <w:jc w:val="both"/>
      </w:pPr>
      <w:r w:rsidRPr="00ED32EF">
        <w:t xml:space="preserve">points(1:60,RGR.p.400,type="l", </w:t>
      </w:r>
      <w:proofErr w:type="spellStart"/>
      <w:r w:rsidRPr="00ED32EF">
        <w:t>lty</w:t>
      </w:r>
      <w:proofErr w:type="spellEnd"/>
      <w:r w:rsidRPr="00ED32EF">
        <w:t>=2)</w:t>
      </w:r>
    </w:p>
    <w:p w14:paraId="6E1CDAF9" w14:textId="77777777" w:rsidR="000776AD" w:rsidRPr="00ED32EF" w:rsidRDefault="000776AD" w:rsidP="000776AD">
      <w:pPr>
        <w:jc w:val="both"/>
      </w:pPr>
      <w:r w:rsidRPr="00ED32EF">
        <w:t xml:space="preserve">text(x=5, y=0.28, </w:t>
      </w:r>
      <w:proofErr w:type="spellStart"/>
      <w:r w:rsidRPr="00ED32EF">
        <w:t>cex</w:t>
      </w:r>
      <w:proofErr w:type="spellEnd"/>
      <w:r w:rsidRPr="00ED32EF">
        <w:t xml:space="preserve"> = 1.8, font = 2, labels = "B")</w:t>
      </w:r>
    </w:p>
    <w:p w14:paraId="640962BD" w14:textId="77777777" w:rsidR="000776AD" w:rsidRPr="00ED32EF" w:rsidRDefault="000776AD" w:rsidP="000776AD">
      <w:pPr>
        <w:jc w:val="both"/>
      </w:pPr>
      <w:r w:rsidRPr="00ED32EF">
        <w:t xml:space="preserve">text(x=25, y=0.28, </w:t>
      </w:r>
      <w:proofErr w:type="spellStart"/>
      <w:r w:rsidRPr="00ED32EF">
        <w:t>cex</w:t>
      </w:r>
      <w:proofErr w:type="spellEnd"/>
      <w:r w:rsidRPr="00ED32EF">
        <w:t xml:space="preserve"> = 1.8, font = 2, labels = (expression(paste("\n400 ", mu, "</w:t>
      </w:r>
      <w:proofErr w:type="spellStart"/>
      <w:r w:rsidRPr="00ED32EF">
        <w:t>mol</w:t>
      </w:r>
      <w:proofErr w:type="spellEnd"/>
      <w:r w:rsidRPr="00ED32EF">
        <w:t xml:space="preserve"> ", </w:t>
      </w:r>
      <w:proofErr w:type="spellStart"/>
      <w:r w:rsidRPr="00ED32EF">
        <w:t>mol</w:t>
      </w:r>
      <w:proofErr w:type="spellEnd"/>
      <w:r w:rsidRPr="00ED32EF">
        <w:t xml:space="preserve">^-1, CO[2], "", </w:t>
      </w:r>
      <w:proofErr w:type="spellStart"/>
      <w:r w:rsidRPr="00ED32EF">
        <w:t>sep</w:t>
      </w:r>
      <w:proofErr w:type="spellEnd"/>
      <w:r w:rsidRPr="00ED32EF">
        <w:t>=""))))</w:t>
      </w:r>
    </w:p>
    <w:p w14:paraId="571DD63C" w14:textId="77777777" w:rsidR="000776AD" w:rsidRPr="00ED32EF" w:rsidRDefault="000776AD" w:rsidP="000776AD">
      <w:pPr>
        <w:jc w:val="both"/>
      </w:pPr>
    </w:p>
    <w:p w14:paraId="2EB09304" w14:textId="77777777" w:rsidR="000776AD" w:rsidRPr="00ED32EF" w:rsidRDefault="000776AD" w:rsidP="000776AD">
      <w:pPr>
        <w:jc w:val="both"/>
      </w:pPr>
    </w:p>
    <w:p w14:paraId="4704C46A" w14:textId="77777777" w:rsidR="000776AD" w:rsidRPr="00ED32EF" w:rsidRDefault="000776AD" w:rsidP="000776AD">
      <w:pPr>
        <w:jc w:val="both"/>
      </w:pPr>
      <w:r w:rsidRPr="00ED32EF">
        <w:t>plot(1:60,RGR.a.180,type="l",</w:t>
      </w:r>
      <w:proofErr w:type="spellStart"/>
      <w:r w:rsidRPr="00ED32EF">
        <w:t>xlab</w:t>
      </w:r>
      <w:proofErr w:type="spellEnd"/>
      <w:r w:rsidRPr="00ED32EF">
        <w:t>="Plant Age (days)",</w:t>
      </w:r>
      <w:proofErr w:type="spellStart"/>
      <w:r w:rsidRPr="00ED32EF">
        <w:t>ylab</w:t>
      </w:r>
      <w:proofErr w:type="spellEnd"/>
      <w:r w:rsidRPr="00ED32EF">
        <w:t xml:space="preserve">="Relative Growth Rate\n", </w:t>
      </w:r>
      <w:proofErr w:type="spellStart"/>
      <w:r w:rsidRPr="00ED32EF">
        <w:t>ylim</w:t>
      </w:r>
      <w:proofErr w:type="spellEnd"/>
      <w:r w:rsidRPr="00ED32EF">
        <w:t xml:space="preserve">=c(0,0.3), </w:t>
      </w:r>
      <w:proofErr w:type="spellStart"/>
      <w:r w:rsidRPr="00ED32EF">
        <w:t>lwd.ticks</w:t>
      </w:r>
      <w:proofErr w:type="spellEnd"/>
      <w:r w:rsidRPr="00ED32EF">
        <w:t xml:space="preserve">=6, </w:t>
      </w:r>
      <w:proofErr w:type="spellStart"/>
      <w:r w:rsidRPr="00ED32EF">
        <w:t>tck</w:t>
      </w:r>
      <w:proofErr w:type="spellEnd"/>
      <w:r w:rsidRPr="00ED32EF">
        <w:t>= 0.02)</w:t>
      </w:r>
    </w:p>
    <w:p w14:paraId="1CEFE6AF" w14:textId="77777777" w:rsidR="000776AD" w:rsidRPr="00ED32EF" w:rsidRDefault="000776AD" w:rsidP="000776AD">
      <w:pPr>
        <w:jc w:val="both"/>
      </w:pPr>
      <w:r w:rsidRPr="00ED32EF">
        <w:t xml:space="preserve">points(1:60,RGR.p.180,type="l", </w:t>
      </w:r>
      <w:proofErr w:type="spellStart"/>
      <w:r w:rsidRPr="00ED32EF">
        <w:t>lty</w:t>
      </w:r>
      <w:proofErr w:type="spellEnd"/>
      <w:r w:rsidRPr="00ED32EF">
        <w:t>=2)</w:t>
      </w:r>
    </w:p>
    <w:p w14:paraId="3A7188B0" w14:textId="77777777" w:rsidR="000776AD" w:rsidRPr="00ED32EF" w:rsidRDefault="000776AD" w:rsidP="000776AD">
      <w:pPr>
        <w:jc w:val="both"/>
      </w:pPr>
      <w:r w:rsidRPr="00ED32EF">
        <w:t xml:space="preserve">text(x=5, y=0.28, </w:t>
      </w:r>
      <w:proofErr w:type="spellStart"/>
      <w:r w:rsidRPr="00ED32EF">
        <w:t>cex</w:t>
      </w:r>
      <w:proofErr w:type="spellEnd"/>
      <w:r w:rsidRPr="00ED32EF">
        <w:t xml:space="preserve"> = 1.8, font = 2, labels = "C")</w:t>
      </w:r>
    </w:p>
    <w:p w14:paraId="30959BDC" w14:textId="77777777" w:rsidR="000776AD" w:rsidRPr="00ED32EF" w:rsidRDefault="000776AD" w:rsidP="000776AD">
      <w:pPr>
        <w:jc w:val="both"/>
      </w:pPr>
      <w:r w:rsidRPr="00ED32EF">
        <w:t xml:space="preserve">text(x=25, y=0.28, </w:t>
      </w:r>
      <w:proofErr w:type="spellStart"/>
      <w:r w:rsidRPr="00ED32EF">
        <w:t>cex</w:t>
      </w:r>
      <w:proofErr w:type="spellEnd"/>
      <w:r w:rsidRPr="00ED32EF">
        <w:t xml:space="preserve"> = 1.8, font = 2, labels = (expression(paste("\n180 ", mu, "</w:t>
      </w:r>
      <w:proofErr w:type="spellStart"/>
      <w:r w:rsidRPr="00ED32EF">
        <w:t>mol</w:t>
      </w:r>
      <w:proofErr w:type="spellEnd"/>
      <w:r w:rsidRPr="00ED32EF">
        <w:t xml:space="preserve"> ", </w:t>
      </w:r>
      <w:proofErr w:type="spellStart"/>
      <w:r w:rsidRPr="00ED32EF">
        <w:t>mol</w:t>
      </w:r>
      <w:proofErr w:type="spellEnd"/>
      <w:r w:rsidRPr="00ED32EF">
        <w:t xml:space="preserve">^-1, CO[2], "", </w:t>
      </w:r>
      <w:proofErr w:type="spellStart"/>
      <w:r w:rsidRPr="00ED32EF">
        <w:t>sep</w:t>
      </w:r>
      <w:proofErr w:type="spellEnd"/>
      <w:r w:rsidRPr="00ED32EF">
        <w:t>=""))))</w:t>
      </w:r>
    </w:p>
    <w:p w14:paraId="76890B2E" w14:textId="77777777" w:rsidR="000776AD" w:rsidRPr="00ED32EF" w:rsidRDefault="000776AD" w:rsidP="000776AD">
      <w:pPr>
        <w:jc w:val="both"/>
      </w:pPr>
    </w:p>
    <w:p w14:paraId="027ECFC3" w14:textId="77777777" w:rsidR="000776AD" w:rsidRPr="0048013E" w:rsidRDefault="000776AD" w:rsidP="000776AD">
      <w:pPr>
        <w:jc w:val="both"/>
        <w:rPr>
          <w:color w:val="FF0000"/>
        </w:rPr>
      </w:pPr>
    </w:p>
    <w:p w14:paraId="68A6CEEB" w14:textId="2F4127E1" w:rsidR="000776AD" w:rsidRDefault="000776AD" w:rsidP="00DF4522">
      <w:pPr>
        <w:pStyle w:val="Heading1"/>
        <w:rPr>
          <w:rFonts w:ascii="Cambria" w:hAnsi="Cambria"/>
          <w:color w:val="auto"/>
        </w:rPr>
      </w:pPr>
      <w:r>
        <w:rPr>
          <w:rFonts w:ascii="Cambria" w:hAnsi="Cambria"/>
          <w:color w:val="auto"/>
        </w:rPr>
        <w:br w:type="page"/>
      </w:r>
    </w:p>
    <w:p w14:paraId="71A3A918" w14:textId="77777777" w:rsidR="00E90DA6" w:rsidRDefault="00E90DA6" w:rsidP="00DF4522">
      <w:pPr>
        <w:pStyle w:val="Heading1"/>
        <w:rPr>
          <w:rFonts w:ascii="Cambria" w:hAnsi="Cambria"/>
          <w:color w:val="auto"/>
        </w:rPr>
      </w:pPr>
    </w:p>
    <w:p w14:paraId="42AF515D" w14:textId="6ED26059" w:rsidR="00DF4522" w:rsidRPr="00041DB1" w:rsidRDefault="000776AD" w:rsidP="00DF4522">
      <w:pPr>
        <w:pStyle w:val="Heading1"/>
        <w:rPr>
          <w:rFonts w:ascii="Cambria" w:hAnsi="Cambria"/>
          <w:color w:val="auto"/>
        </w:rPr>
      </w:pPr>
      <w:bookmarkStart w:id="142" w:name="_Toc331253036"/>
      <w:r>
        <w:rPr>
          <w:rFonts w:ascii="Cambria" w:hAnsi="Cambria"/>
          <w:color w:val="auto"/>
        </w:rPr>
        <w:t xml:space="preserve">Appendix II: </w:t>
      </w:r>
      <w:r w:rsidR="00DF4522" w:rsidRPr="00041DB1">
        <w:rPr>
          <w:rFonts w:ascii="Cambria" w:hAnsi="Cambria"/>
          <w:color w:val="auto"/>
        </w:rPr>
        <w:t>Papers published and arising</w:t>
      </w:r>
      <w:bookmarkEnd w:id="142"/>
    </w:p>
    <w:p w14:paraId="5AD1307B" w14:textId="77777777" w:rsidR="00DF4522" w:rsidRDefault="00DF4522" w:rsidP="00DF4522">
      <w:pPr>
        <w:pStyle w:val="ListParagraph"/>
        <w:spacing w:line="360" w:lineRule="auto"/>
        <w:jc w:val="both"/>
        <w:rPr>
          <w:rFonts w:ascii="Cambria" w:hAnsi="Cambria"/>
        </w:rPr>
      </w:pPr>
    </w:p>
    <w:p w14:paraId="0862A56D" w14:textId="77777777" w:rsidR="006C2303" w:rsidRDefault="006C2303" w:rsidP="00DF4522">
      <w:pPr>
        <w:pStyle w:val="ListParagraph"/>
        <w:spacing w:line="360" w:lineRule="auto"/>
        <w:jc w:val="both"/>
        <w:rPr>
          <w:rFonts w:ascii="Cambria" w:hAnsi="Cambria"/>
        </w:rPr>
      </w:pPr>
    </w:p>
    <w:p w14:paraId="47A6C30A" w14:textId="74A40CC2" w:rsidR="006C2303" w:rsidRPr="006C2303" w:rsidRDefault="006C2303" w:rsidP="006C2303">
      <w:pPr>
        <w:spacing w:line="360" w:lineRule="auto"/>
        <w:ind w:firstLine="720"/>
        <w:jc w:val="both"/>
        <w:rPr>
          <w:rFonts w:ascii="Cambria" w:hAnsi="Cambria"/>
          <w:i/>
        </w:rPr>
      </w:pPr>
      <w:r>
        <w:rPr>
          <w:rFonts w:ascii="Cambria" w:hAnsi="Cambria"/>
          <w:i/>
        </w:rPr>
        <w:t xml:space="preserve">NB </w:t>
      </w:r>
      <w:r w:rsidRPr="006C2303">
        <w:rPr>
          <w:rFonts w:ascii="Cambria" w:hAnsi="Cambria"/>
          <w:i/>
        </w:rPr>
        <w:t xml:space="preserve">Chapters 4 and 5 will be published under </w:t>
      </w:r>
      <w:r>
        <w:rPr>
          <w:rFonts w:ascii="Cambria" w:hAnsi="Cambria"/>
          <w:i/>
        </w:rPr>
        <w:t>my married name.</w:t>
      </w:r>
    </w:p>
    <w:p w14:paraId="4B70F654" w14:textId="77777777" w:rsidR="006C2303" w:rsidRPr="00531789" w:rsidRDefault="006C2303" w:rsidP="00DF4522">
      <w:pPr>
        <w:pStyle w:val="ListParagraph"/>
        <w:spacing w:line="360" w:lineRule="auto"/>
        <w:jc w:val="both"/>
        <w:rPr>
          <w:rFonts w:ascii="Cambria" w:hAnsi="Cambria"/>
        </w:rPr>
      </w:pPr>
    </w:p>
    <w:p w14:paraId="263DB467" w14:textId="77777777" w:rsidR="00DF4522" w:rsidRPr="00531789" w:rsidRDefault="00DF4522" w:rsidP="00DF4522">
      <w:pPr>
        <w:pStyle w:val="ListParagraph"/>
        <w:spacing w:line="360" w:lineRule="auto"/>
        <w:jc w:val="both"/>
        <w:rPr>
          <w:rFonts w:ascii="Cambria" w:hAnsi="Cambria"/>
        </w:rPr>
      </w:pPr>
    </w:p>
    <w:p w14:paraId="283EA577" w14:textId="77777777" w:rsidR="00DF4522" w:rsidRPr="00531789" w:rsidRDefault="00DF4522" w:rsidP="00DF4522">
      <w:pPr>
        <w:pStyle w:val="ListParagraph"/>
        <w:spacing w:line="360" w:lineRule="auto"/>
        <w:jc w:val="both"/>
        <w:rPr>
          <w:rFonts w:ascii="Cambria" w:hAnsi="Cambria"/>
        </w:rPr>
      </w:pPr>
      <w:r w:rsidRPr="00531789">
        <w:rPr>
          <w:rFonts w:ascii="Cambria" w:hAnsi="Cambria"/>
        </w:rPr>
        <w:t>Chapter 2</w:t>
      </w:r>
    </w:p>
    <w:p w14:paraId="065E9C1A" w14:textId="77777777" w:rsidR="00DF4522" w:rsidRPr="00531789" w:rsidRDefault="00DF4522" w:rsidP="00DF4522">
      <w:pPr>
        <w:pStyle w:val="ListParagraph"/>
        <w:spacing w:line="360" w:lineRule="auto"/>
        <w:jc w:val="both"/>
        <w:rPr>
          <w:rFonts w:ascii="Cambria" w:hAnsi="Cambria"/>
        </w:rPr>
      </w:pPr>
    </w:p>
    <w:p w14:paraId="76974B10" w14:textId="77777777" w:rsidR="00DF4522" w:rsidRPr="00243094" w:rsidRDefault="00DF4522" w:rsidP="00DF4522">
      <w:pPr>
        <w:pStyle w:val="ListParagraph"/>
        <w:spacing w:line="360" w:lineRule="auto"/>
        <w:jc w:val="both"/>
        <w:rPr>
          <w:rFonts w:ascii="Cambria" w:hAnsi="Cambria"/>
          <w:b/>
        </w:rPr>
      </w:pPr>
      <w:r w:rsidRPr="00243094">
        <w:rPr>
          <w:rFonts w:ascii="Cambria" w:hAnsi="Cambria"/>
          <w:b/>
        </w:rPr>
        <w:t xml:space="preserve">How can we make plants grow faster?  A source-sink perspective on growth rate </w:t>
      </w:r>
    </w:p>
    <w:p w14:paraId="252798CE" w14:textId="77777777" w:rsidR="00DF4522" w:rsidRDefault="00DF4522" w:rsidP="00DF4522">
      <w:pPr>
        <w:pStyle w:val="ListParagraph"/>
        <w:spacing w:line="360" w:lineRule="auto"/>
        <w:jc w:val="both"/>
        <w:rPr>
          <w:rFonts w:ascii="Cambria" w:hAnsi="Cambria"/>
        </w:rPr>
      </w:pPr>
      <w:r>
        <w:rPr>
          <w:rFonts w:ascii="Cambria" w:hAnsi="Cambria"/>
        </w:rPr>
        <w:t>Angela C. White, Alistair Rogers, Mark Rees and Colin P. Osborne</w:t>
      </w:r>
    </w:p>
    <w:p w14:paraId="7B1DD134" w14:textId="77777777" w:rsidR="00DF4522" w:rsidRPr="00531789" w:rsidRDefault="00DF4522" w:rsidP="00DF4522">
      <w:pPr>
        <w:pStyle w:val="ListParagraph"/>
        <w:spacing w:line="360" w:lineRule="auto"/>
        <w:jc w:val="both"/>
        <w:rPr>
          <w:rFonts w:ascii="Cambria" w:hAnsi="Cambria"/>
        </w:rPr>
      </w:pPr>
      <w:r w:rsidRPr="00531789">
        <w:rPr>
          <w:rFonts w:ascii="Cambria" w:hAnsi="Cambria"/>
        </w:rPr>
        <w:t xml:space="preserve">Published in </w:t>
      </w:r>
      <w:r w:rsidRPr="00531789">
        <w:rPr>
          <w:rFonts w:ascii="Cambria" w:hAnsi="Cambria"/>
          <w:i/>
        </w:rPr>
        <w:t xml:space="preserve">Journal of Experimental Botany </w:t>
      </w:r>
      <w:r w:rsidRPr="00531789">
        <w:rPr>
          <w:rFonts w:ascii="Cambria" w:hAnsi="Cambria"/>
        </w:rPr>
        <w:t>Vol. 67, No. 1 pp. 31-45, 2016</w:t>
      </w:r>
    </w:p>
    <w:p w14:paraId="41EFA4D6" w14:textId="77777777" w:rsidR="00DF4522" w:rsidRPr="00531789" w:rsidRDefault="00DF4522" w:rsidP="00DF4522">
      <w:pPr>
        <w:spacing w:line="360" w:lineRule="auto"/>
        <w:jc w:val="both"/>
        <w:rPr>
          <w:rFonts w:ascii="Cambria" w:hAnsi="Cambria"/>
        </w:rPr>
      </w:pPr>
    </w:p>
    <w:p w14:paraId="328F1277" w14:textId="77777777" w:rsidR="006C2303" w:rsidRPr="00531789" w:rsidRDefault="006C2303" w:rsidP="00DF4522">
      <w:pPr>
        <w:spacing w:line="360" w:lineRule="auto"/>
        <w:jc w:val="both"/>
        <w:rPr>
          <w:rFonts w:ascii="Cambria" w:hAnsi="Cambria"/>
        </w:rPr>
      </w:pPr>
    </w:p>
    <w:p w14:paraId="3333418F" w14:textId="3CC246E4" w:rsidR="00DF4522" w:rsidRPr="00531789" w:rsidRDefault="00DF4522" w:rsidP="00DF4522">
      <w:pPr>
        <w:spacing w:line="360" w:lineRule="auto"/>
        <w:jc w:val="both"/>
        <w:rPr>
          <w:rFonts w:ascii="Cambria" w:hAnsi="Cambria"/>
        </w:rPr>
      </w:pPr>
      <w:r w:rsidRPr="00531789">
        <w:rPr>
          <w:rFonts w:ascii="Cambria" w:hAnsi="Cambria"/>
        </w:rPr>
        <w:tab/>
        <w:t>Chapter 4</w:t>
      </w:r>
      <w:r w:rsidR="00E90DA6">
        <w:rPr>
          <w:rFonts w:ascii="Cambria" w:hAnsi="Cambria"/>
        </w:rPr>
        <w:t xml:space="preserve"> (edited version)</w:t>
      </w:r>
    </w:p>
    <w:p w14:paraId="5066E3BD" w14:textId="77777777" w:rsidR="00DF4522" w:rsidRPr="00531789" w:rsidRDefault="00DF4522" w:rsidP="00DF4522">
      <w:pPr>
        <w:spacing w:line="360" w:lineRule="auto"/>
        <w:jc w:val="both"/>
        <w:rPr>
          <w:rFonts w:ascii="Cambria" w:hAnsi="Cambria"/>
        </w:rPr>
      </w:pPr>
    </w:p>
    <w:p w14:paraId="163BACDE" w14:textId="7DEE3F46" w:rsidR="00DF4522" w:rsidRDefault="006C2303" w:rsidP="00DF4522">
      <w:pPr>
        <w:pStyle w:val="ListParagraph"/>
        <w:spacing w:line="360" w:lineRule="auto"/>
        <w:jc w:val="both"/>
        <w:rPr>
          <w:rFonts w:ascii="Cambria" w:hAnsi="Cambria"/>
          <w:b/>
        </w:rPr>
      </w:pPr>
      <w:r>
        <w:rPr>
          <w:rFonts w:ascii="Cambria" w:hAnsi="Cambria"/>
          <w:b/>
        </w:rPr>
        <w:t>Carbon s</w:t>
      </w:r>
      <w:r w:rsidR="00DF4522" w:rsidRPr="00243094">
        <w:rPr>
          <w:rFonts w:ascii="Cambria" w:hAnsi="Cambria"/>
          <w:b/>
        </w:rPr>
        <w:t xml:space="preserve">ource-sink limitations differ between </w:t>
      </w:r>
      <w:r>
        <w:rPr>
          <w:rFonts w:ascii="Cambria" w:hAnsi="Cambria"/>
          <w:b/>
        </w:rPr>
        <w:t xml:space="preserve">two </w:t>
      </w:r>
      <w:r w:rsidR="00DF4522" w:rsidRPr="00243094">
        <w:rPr>
          <w:rFonts w:ascii="Cambria" w:hAnsi="Cambria"/>
          <w:b/>
        </w:rPr>
        <w:t>species with contrasting growth strategies</w:t>
      </w:r>
    </w:p>
    <w:p w14:paraId="0A638702" w14:textId="0D8C58FE" w:rsidR="00DF4522" w:rsidRDefault="006C2303" w:rsidP="00DF4522">
      <w:pPr>
        <w:pStyle w:val="ListParagraph"/>
        <w:spacing w:line="360" w:lineRule="auto"/>
        <w:jc w:val="both"/>
        <w:rPr>
          <w:rFonts w:ascii="Cambria" w:hAnsi="Cambria"/>
        </w:rPr>
      </w:pPr>
      <w:r>
        <w:rPr>
          <w:rFonts w:ascii="Cambria" w:hAnsi="Cambria"/>
        </w:rPr>
        <w:t>Angela C. Burnett</w:t>
      </w:r>
      <w:r w:rsidR="00DF4522">
        <w:rPr>
          <w:rFonts w:ascii="Cambria" w:hAnsi="Cambria"/>
        </w:rPr>
        <w:t>, Alistair Rogers, Mark Rees and Colin P. Osborne</w:t>
      </w:r>
    </w:p>
    <w:p w14:paraId="273F20B5" w14:textId="4E7B47B7" w:rsidR="00DF4522" w:rsidRPr="00531789" w:rsidRDefault="00DF4522" w:rsidP="00DF4522">
      <w:pPr>
        <w:pStyle w:val="ListParagraph"/>
        <w:spacing w:line="360" w:lineRule="auto"/>
        <w:jc w:val="both"/>
        <w:rPr>
          <w:rFonts w:ascii="Cambria" w:hAnsi="Cambria"/>
        </w:rPr>
      </w:pPr>
      <w:r w:rsidRPr="00531789">
        <w:rPr>
          <w:rFonts w:ascii="Cambria" w:hAnsi="Cambria"/>
          <w:i/>
        </w:rPr>
        <w:t>Plant, Cell and Environment</w:t>
      </w:r>
      <w:r w:rsidR="006C2303">
        <w:rPr>
          <w:rFonts w:ascii="Cambria" w:hAnsi="Cambria"/>
          <w:i/>
        </w:rPr>
        <w:t xml:space="preserve"> – In press.</w:t>
      </w:r>
    </w:p>
    <w:p w14:paraId="3BD69672" w14:textId="77777777" w:rsidR="00DF4522" w:rsidRPr="00531789" w:rsidRDefault="00DF4522" w:rsidP="00DF4522">
      <w:pPr>
        <w:pStyle w:val="ListParagraph"/>
        <w:spacing w:line="360" w:lineRule="auto"/>
        <w:jc w:val="both"/>
        <w:rPr>
          <w:rFonts w:ascii="Cambria" w:hAnsi="Cambria"/>
        </w:rPr>
      </w:pPr>
    </w:p>
    <w:p w14:paraId="32567353" w14:textId="77777777" w:rsidR="00DF4522" w:rsidRPr="00531789" w:rsidRDefault="00DF4522" w:rsidP="00DF4522">
      <w:pPr>
        <w:pStyle w:val="ListParagraph"/>
        <w:spacing w:line="360" w:lineRule="auto"/>
        <w:jc w:val="both"/>
        <w:rPr>
          <w:rFonts w:ascii="Cambria" w:hAnsi="Cambria"/>
        </w:rPr>
      </w:pPr>
    </w:p>
    <w:p w14:paraId="3992FDCF" w14:textId="275F22EA" w:rsidR="00DF4522" w:rsidRPr="00531789" w:rsidRDefault="00DF4522" w:rsidP="00DF4522">
      <w:pPr>
        <w:pStyle w:val="ListParagraph"/>
        <w:spacing w:line="360" w:lineRule="auto"/>
        <w:jc w:val="both"/>
        <w:rPr>
          <w:rFonts w:ascii="Cambria" w:hAnsi="Cambria"/>
        </w:rPr>
      </w:pPr>
      <w:r w:rsidRPr="00531789">
        <w:rPr>
          <w:rFonts w:ascii="Cambria" w:hAnsi="Cambria"/>
        </w:rPr>
        <w:t>Chapter 5</w:t>
      </w:r>
      <w:r w:rsidR="00E90DA6">
        <w:rPr>
          <w:rFonts w:ascii="Cambria" w:hAnsi="Cambria"/>
        </w:rPr>
        <w:t xml:space="preserve"> (edited version)</w:t>
      </w:r>
    </w:p>
    <w:p w14:paraId="571FD30D" w14:textId="77777777" w:rsidR="00DF4522" w:rsidRPr="00531789" w:rsidRDefault="00DF4522" w:rsidP="00DF4522">
      <w:pPr>
        <w:pStyle w:val="ListParagraph"/>
        <w:spacing w:line="360" w:lineRule="auto"/>
        <w:jc w:val="both"/>
        <w:rPr>
          <w:rFonts w:ascii="Cambria" w:hAnsi="Cambria"/>
        </w:rPr>
      </w:pPr>
    </w:p>
    <w:p w14:paraId="7AF0864A" w14:textId="37FE51A6" w:rsidR="00DF4522" w:rsidRDefault="00DF4522" w:rsidP="00DF4522">
      <w:pPr>
        <w:pStyle w:val="ListParagraph"/>
        <w:spacing w:line="360" w:lineRule="auto"/>
        <w:jc w:val="both"/>
        <w:rPr>
          <w:rFonts w:ascii="Cambria" w:hAnsi="Cambria"/>
          <w:b/>
        </w:rPr>
      </w:pPr>
      <w:r w:rsidRPr="00243094">
        <w:rPr>
          <w:rFonts w:ascii="Cambria" w:hAnsi="Cambria"/>
          <w:b/>
        </w:rPr>
        <w:t>Nitrogen sink limitation of growth differs between</w:t>
      </w:r>
      <w:r w:rsidR="006C2303">
        <w:rPr>
          <w:rFonts w:ascii="Cambria" w:hAnsi="Cambria"/>
          <w:b/>
        </w:rPr>
        <w:t xml:space="preserve"> two</w:t>
      </w:r>
      <w:r w:rsidRPr="00243094">
        <w:rPr>
          <w:rFonts w:ascii="Cambria" w:hAnsi="Cambria"/>
          <w:b/>
        </w:rPr>
        <w:t xml:space="preserve"> species with contrasting growth strategies </w:t>
      </w:r>
    </w:p>
    <w:p w14:paraId="57C2AD42" w14:textId="13C00FE1" w:rsidR="006C2303" w:rsidRPr="006C2303" w:rsidRDefault="006C2303" w:rsidP="006C2303">
      <w:pPr>
        <w:pStyle w:val="ListParagraph"/>
        <w:spacing w:line="360" w:lineRule="auto"/>
        <w:jc w:val="both"/>
        <w:rPr>
          <w:rFonts w:ascii="Cambria" w:hAnsi="Cambria"/>
        </w:rPr>
      </w:pPr>
      <w:r>
        <w:rPr>
          <w:rFonts w:ascii="Cambria" w:hAnsi="Cambria"/>
        </w:rPr>
        <w:t>Angela C. Burnett, Alistair Rogers, Mark Rees and Colin P. Osborne</w:t>
      </w:r>
    </w:p>
    <w:p w14:paraId="785CCCA6" w14:textId="2DCF1F3D" w:rsidR="00DF4522" w:rsidRPr="00531789" w:rsidRDefault="00DF4522" w:rsidP="00DF4522">
      <w:pPr>
        <w:pStyle w:val="ListParagraph"/>
        <w:spacing w:line="360" w:lineRule="auto"/>
        <w:jc w:val="both"/>
        <w:rPr>
          <w:rFonts w:ascii="Cambria" w:hAnsi="Cambria"/>
          <w:i/>
        </w:rPr>
      </w:pPr>
      <w:r w:rsidRPr="00531789">
        <w:rPr>
          <w:rFonts w:ascii="Cambria" w:hAnsi="Cambria"/>
          <w:i/>
        </w:rPr>
        <w:t>Journal of Experimental Botany</w:t>
      </w:r>
      <w:r w:rsidR="006C2303">
        <w:rPr>
          <w:rFonts w:ascii="Cambria" w:hAnsi="Cambria"/>
          <w:i/>
        </w:rPr>
        <w:t xml:space="preserve"> – In review.</w:t>
      </w:r>
    </w:p>
    <w:p w14:paraId="3ABCD733" w14:textId="77777777" w:rsidR="00E90DA6" w:rsidRDefault="00E90DA6" w:rsidP="00DF4522">
      <w:pPr>
        <w:pStyle w:val="Heading1"/>
        <w:rPr>
          <w:rFonts w:ascii="Cambria" w:hAnsi="Cambria"/>
          <w:color w:val="auto"/>
        </w:rPr>
      </w:pPr>
      <w:bookmarkStart w:id="143" w:name="_Toc322267895"/>
    </w:p>
    <w:p w14:paraId="4CD88657" w14:textId="77777777" w:rsidR="00E90DA6" w:rsidRDefault="00E90DA6" w:rsidP="00DF4522">
      <w:pPr>
        <w:pStyle w:val="Heading1"/>
        <w:rPr>
          <w:rFonts w:ascii="Cambria" w:hAnsi="Cambria"/>
          <w:color w:val="auto"/>
        </w:rPr>
      </w:pPr>
      <w:r>
        <w:rPr>
          <w:rFonts w:ascii="Cambria" w:hAnsi="Cambria"/>
          <w:color w:val="auto"/>
        </w:rPr>
        <w:br w:type="page"/>
      </w:r>
    </w:p>
    <w:p w14:paraId="29A68323" w14:textId="77777777" w:rsidR="00E90DA6" w:rsidRDefault="00E90DA6" w:rsidP="00DF4522">
      <w:pPr>
        <w:pStyle w:val="Heading1"/>
        <w:rPr>
          <w:rFonts w:ascii="Cambria" w:hAnsi="Cambria"/>
          <w:color w:val="auto"/>
        </w:rPr>
      </w:pPr>
    </w:p>
    <w:p w14:paraId="228124C6" w14:textId="17C72647" w:rsidR="00DF4522" w:rsidRPr="00531789" w:rsidRDefault="00DF4522" w:rsidP="00DF4522">
      <w:pPr>
        <w:pStyle w:val="Heading1"/>
        <w:rPr>
          <w:rFonts w:ascii="Cambria" w:hAnsi="Cambria"/>
          <w:color w:val="auto"/>
        </w:rPr>
      </w:pPr>
      <w:bookmarkStart w:id="144" w:name="_Toc331253037"/>
      <w:r w:rsidRPr="00531789">
        <w:rPr>
          <w:rFonts w:ascii="Cambria" w:hAnsi="Cambria"/>
          <w:color w:val="auto"/>
        </w:rPr>
        <w:t>Appendix</w:t>
      </w:r>
      <w:r w:rsidR="000776AD">
        <w:rPr>
          <w:rFonts w:ascii="Cambria" w:hAnsi="Cambria"/>
          <w:color w:val="auto"/>
        </w:rPr>
        <w:t xml:space="preserve"> III</w:t>
      </w:r>
      <w:r w:rsidRPr="00531789">
        <w:rPr>
          <w:rFonts w:ascii="Cambria" w:hAnsi="Cambria"/>
          <w:color w:val="auto"/>
        </w:rPr>
        <w:t>:</w:t>
      </w:r>
      <w:bookmarkStart w:id="145" w:name="_Toc322267610"/>
      <w:r w:rsidRPr="00531789">
        <w:rPr>
          <w:rFonts w:ascii="Cambria" w:hAnsi="Cambria"/>
          <w:color w:val="auto"/>
        </w:rPr>
        <w:t xml:space="preserve"> “How can we make plants grow faster?  A source-sink perspective on growth rate” in published format</w:t>
      </w:r>
      <w:bookmarkEnd w:id="139"/>
      <w:bookmarkEnd w:id="143"/>
      <w:bookmarkEnd w:id="145"/>
      <w:bookmarkEnd w:id="144"/>
    </w:p>
    <w:p w14:paraId="4F6C7534" w14:textId="77777777" w:rsidR="00DF4522" w:rsidRPr="00531789" w:rsidRDefault="00DF4522" w:rsidP="00DF4522">
      <w:pPr>
        <w:rPr>
          <w:lang w:val="en-US"/>
        </w:rPr>
      </w:pPr>
    </w:p>
    <w:p w14:paraId="0ED92B5A" w14:textId="77777777" w:rsidR="00DF4522" w:rsidRDefault="00DF4522" w:rsidP="00DF4522">
      <w:pPr>
        <w:rPr>
          <w:lang w:val="en-US"/>
        </w:rPr>
      </w:pPr>
    </w:p>
    <w:p w14:paraId="3B5DE3D2" w14:textId="77777777" w:rsidR="00933886" w:rsidRDefault="00933886" w:rsidP="00933886">
      <w:pPr>
        <w:rPr>
          <w:i/>
          <w:lang w:val="en-US"/>
        </w:rPr>
      </w:pPr>
    </w:p>
    <w:p w14:paraId="36ACC2E3" w14:textId="415FA5A2" w:rsidR="00531789" w:rsidRPr="00933886" w:rsidRDefault="00531789" w:rsidP="00933886">
      <w:pPr>
        <w:rPr>
          <w:i/>
          <w:lang w:val="en-US"/>
        </w:rPr>
      </w:pPr>
      <w:bookmarkStart w:id="146" w:name="_GoBack"/>
      <w:bookmarkEnd w:id="146"/>
    </w:p>
    <w:sectPr w:rsidR="00531789" w:rsidRPr="00933886" w:rsidSect="00485E23">
      <w:pgSz w:w="11900" w:h="16840"/>
      <w:pgMar w:top="1418" w:right="1418" w:bottom="1418" w:left="2268" w:header="708" w:footer="1134"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0F337C5" w14:textId="77777777" w:rsidR="00F50DFF" w:rsidRDefault="00F50DFF">
      <w:r>
        <w:separator/>
      </w:r>
    </w:p>
  </w:endnote>
  <w:endnote w:type="continuationSeparator" w:id="0">
    <w:p w14:paraId="71846A5E" w14:textId="77777777" w:rsidR="00F50DFF" w:rsidRDefault="00F50D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Century">
    <w:panose1 w:val="02040604050505020304"/>
    <w:charset w:val="00"/>
    <w:family w:val="auto"/>
    <w:pitch w:val="variable"/>
    <w:sig w:usb0="00000287" w:usb1="00000000" w:usb2="00000000" w:usb3="00000000" w:csb0="0000009F"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4D"/>
    <w:family w:val="roman"/>
    <w:notTrueType/>
    <w:pitch w:val="variable"/>
    <w:sig w:usb0="00000003" w:usb1="00000000" w:usb2="00000000" w:usb3="00000000" w:csb0="00000001" w:csb1="00000000"/>
  </w:font>
  <w:font w:name="MS Gothi">
    <w:altName w:val="~??eg"/>
    <w:panose1 w:val="00000000000000000000"/>
    <w:charset w:val="80"/>
    <w:family w:val="modern"/>
    <w:notTrueType/>
    <w:pitch w:val="fixed"/>
    <w:sig w:usb0="00000001" w:usb1="08070000" w:usb2="00000010" w:usb3="00000000" w:csb0="00020000" w:csb1="00000000"/>
  </w:font>
  <w:font w:name="Cambria Math">
    <w:panose1 w:val="02040503050406030204"/>
    <w:charset w:val="00"/>
    <w:family w:val="auto"/>
    <w:pitch w:val="variable"/>
    <w:sig w:usb0="E00002FF" w:usb1="420024FF" w:usb2="00000000" w:usb3="00000000" w:csb0="0000019F" w:csb1="00000000"/>
  </w:font>
  <w:font w:name="Verdana">
    <w:panose1 w:val="020B0604030504040204"/>
    <w:charset w:val="4D"/>
    <w:family w:val="roman"/>
    <w:notTrueType/>
    <w:pitch w:val="variable"/>
    <w:sig w:usb0="00000003" w:usb1="00000000" w:usb2="00000000" w:usb3="00000000" w:csb0="00000001" w:csb1="00000000"/>
  </w:font>
  <w:font w:name="font652">
    <w:altName w:val="Cambria"/>
    <w:panose1 w:val="00000000000000000000"/>
    <w:charset w:val="4D"/>
    <w:family w:val="auto"/>
    <w:notTrueType/>
    <w:pitch w:val="default"/>
    <w:sig w:usb0="00000003" w:usb1="00000000" w:usb2="00000000" w:usb3="00000000" w:csb0="00000001" w:csb1="00000000"/>
  </w:font>
  <w:font w:name="ArialMT">
    <w:altName w:val="Arial"/>
    <w:panose1 w:val="00000000000000000000"/>
    <w:charset w:val="4D"/>
    <w:family w:val="swiss"/>
    <w:notTrueType/>
    <w:pitch w:val="default"/>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36E407" w14:textId="77777777" w:rsidR="00F50DFF" w:rsidRDefault="00F50DFF" w:rsidP="0034056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DD6AB2C" w14:textId="77777777" w:rsidR="00F50DFF" w:rsidRDefault="00F50DFF" w:rsidP="002C1A09">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4F4603" w14:textId="77777777" w:rsidR="00F50DFF" w:rsidRDefault="00F50DFF" w:rsidP="0034056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F63E4">
      <w:rPr>
        <w:rStyle w:val="PageNumber"/>
        <w:noProof/>
      </w:rPr>
      <w:t>36</w:t>
    </w:r>
    <w:r>
      <w:rPr>
        <w:rStyle w:val="PageNumber"/>
      </w:rPr>
      <w:fldChar w:fldCharType="end"/>
    </w:r>
  </w:p>
  <w:p w14:paraId="163DD65B" w14:textId="77777777" w:rsidR="00F50DFF" w:rsidRPr="005A6996" w:rsidRDefault="00F50DFF" w:rsidP="002C1A09">
    <w:pPr>
      <w:pStyle w:val="Footer"/>
      <w:ind w:right="360"/>
      <w:rPr>
        <w:rFonts w:ascii="Century" w:hAnsi="Century"/>
        <w:sz w:val="16"/>
        <w:szCs w:val="16"/>
      </w:rP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A3960E" w14:textId="77777777" w:rsidR="00F50DFF" w:rsidRDefault="00F50DFF">
    <w:pPr>
      <w:pStyle w:val="Footer"/>
    </w:pPr>
    <w:r>
      <w:tab/>
    </w:r>
    <w:r>
      <w:tab/>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BD8BC8" w14:textId="77777777" w:rsidR="00F50DFF" w:rsidRDefault="00F50DFF" w:rsidP="0034056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E5E53B1" w14:textId="77777777" w:rsidR="00F50DFF" w:rsidRDefault="00F50DFF" w:rsidP="002C1A09">
    <w:pPr>
      <w:pStyle w:val="Footer"/>
      <w:ind w:right="360"/>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337F4F" w14:textId="77777777" w:rsidR="00F50DFF" w:rsidRDefault="00F50DFF" w:rsidP="0034056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104AE">
      <w:rPr>
        <w:rStyle w:val="PageNumber"/>
        <w:noProof/>
      </w:rPr>
      <w:t>175</w:t>
    </w:r>
    <w:r>
      <w:rPr>
        <w:rStyle w:val="PageNumber"/>
      </w:rPr>
      <w:fldChar w:fldCharType="end"/>
    </w:r>
  </w:p>
  <w:p w14:paraId="367EFB5F" w14:textId="753D063D" w:rsidR="00F50DFF" w:rsidRPr="005A6996" w:rsidRDefault="00F50DFF" w:rsidP="002C1A09">
    <w:pPr>
      <w:pStyle w:val="Footer"/>
      <w:ind w:right="360"/>
      <w:rPr>
        <w:rFonts w:ascii="Century" w:hAnsi="Century"/>
        <w:sz w:val="16"/>
        <w:szCs w:val="16"/>
      </w:rP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596485" w14:textId="542C1166" w:rsidR="00F50DFF" w:rsidRDefault="00F50DFF">
    <w:pPr>
      <w:pStyle w:val="Footer"/>
    </w:pPr>
    <w:r>
      <w:tab/>
    </w:r>
    <w:r>
      <w:tab/>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929AE65" w14:textId="77777777" w:rsidR="00F50DFF" w:rsidRDefault="00F50DFF">
      <w:r>
        <w:separator/>
      </w:r>
    </w:p>
  </w:footnote>
  <w:footnote w:type="continuationSeparator" w:id="0">
    <w:p w14:paraId="158F0DF9" w14:textId="77777777" w:rsidR="00F50DFF" w:rsidRDefault="00F50DF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D6633E" w14:textId="77777777" w:rsidR="00F50DFF" w:rsidRDefault="00F50DFF">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B144E0" w14:textId="77777777" w:rsidR="00F50DFF" w:rsidRDefault="00F50DFF">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FD00BF" w14:textId="77777777" w:rsidR="00F50DFF" w:rsidRDefault="00F50DFF">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204"/>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56C2807"/>
    <w:multiLevelType w:val="hybridMultilevel"/>
    <w:tmpl w:val="76BA233A"/>
    <w:lvl w:ilvl="0" w:tplc="9FE464DA">
      <w:start w:val="2011"/>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6094622"/>
    <w:multiLevelType w:val="hybridMultilevel"/>
    <w:tmpl w:val="4A7E3A8C"/>
    <w:lvl w:ilvl="0" w:tplc="AD422FAC">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0ED111E"/>
    <w:multiLevelType w:val="hybridMultilevel"/>
    <w:tmpl w:val="188400D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E06720A"/>
    <w:multiLevelType w:val="hybridMultilevel"/>
    <w:tmpl w:val="F792639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F426D30"/>
    <w:multiLevelType w:val="hybridMultilevel"/>
    <w:tmpl w:val="1DAA8DAA"/>
    <w:lvl w:ilvl="0" w:tplc="08090011">
      <w:start w:val="1"/>
      <w:numFmt w:val="decimal"/>
      <w:lvlText w:val="%1)"/>
      <w:lvlJc w:val="left"/>
      <w:pPr>
        <w:tabs>
          <w:tab w:val="num" w:pos="720"/>
        </w:tabs>
        <w:ind w:left="720" w:hanging="360"/>
      </w:pPr>
      <w:rPr>
        <w:rFonts w:cs="Times New Roman"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nsid w:val="1F813C9F"/>
    <w:multiLevelType w:val="hybridMultilevel"/>
    <w:tmpl w:val="E58E34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50B3F71"/>
    <w:multiLevelType w:val="hybridMultilevel"/>
    <w:tmpl w:val="C102F7E0"/>
    <w:lvl w:ilvl="0" w:tplc="57A01624">
      <w:numFmt w:val="bullet"/>
      <w:lvlText w:val="-"/>
      <w:lvlJc w:val="left"/>
      <w:pPr>
        <w:ind w:left="720" w:hanging="360"/>
      </w:pPr>
      <w:rPr>
        <w:rFonts w:ascii="Cambria" w:eastAsiaTheme="minorEastAsia" w:hAnsi="Cambria" w:cstheme="minorBid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6703FF7"/>
    <w:multiLevelType w:val="hybridMultilevel"/>
    <w:tmpl w:val="54CECB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AED0BBB"/>
    <w:multiLevelType w:val="hybridMultilevel"/>
    <w:tmpl w:val="05448510"/>
    <w:lvl w:ilvl="0" w:tplc="6FC8B494">
      <w:numFmt w:val="bullet"/>
      <w:lvlText w:val="-"/>
      <w:lvlJc w:val="left"/>
      <w:pPr>
        <w:ind w:left="740" w:hanging="380"/>
      </w:pPr>
      <w:rPr>
        <w:rFonts w:ascii="Courier New" w:eastAsia="Times New Roman" w:hAnsi="Courier New" w:cs="Courier New" w:hint="default"/>
        <w:i/>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C086E9E"/>
    <w:multiLevelType w:val="hybridMultilevel"/>
    <w:tmpl w:val="3B6893DA"/>
    <w:lvl w:ilvl="0" w:tplc="36027CB2">
      <w:start w:val="33"/>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FF57B61"/>
    <w:multiLevelType w:val="hybridMultilevel"/>
    <w:tmpl w:val="12F8F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1857452"/>
    <w:multiLevelType w:val="hybridMultilevel"/>
    <w:tmpl w:val="390277B2"/>
    <w:lvl w:ilvl="0" w:tplc="71E4C738">
      <w:numFmt w:val="bullet"/>
      <w:lvlText w:val="-"/>
      <w:lvlJc w:val="left"/>
      <w:pPr>
        <w:ind w:left="720" w:hanging="360"/>
      </w:pPr>
      <w:rPr>
        <w:rFonts w:ascii="Courier New" w:eastAsia="Times New Roman"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26E5BBC"/>
    <w:multiLevelType w:val="hybridMultilevel"/>
    <w:tmpl w:val="8D964D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066376F"/>
    <w:multiLevelType w:val="hybridMultilevel"/>
    <w:tmpl w:val="55ECA2B2"/>
    <w:lvl w:ilvl="0" w:tplc="B2D08060">
      <w:start w:val="32"/>
      <w:numFmt w:val="bullet"/>
      <w:lvlText w:val="-"/>
      <w:lvlJc w:val="left"/>
      <w:pPr>
        <w:ind w:left="720" w:hanging="360"/>
      </w:pPr>
      <w:rPr>
        <w:rFonts w:ascii="Calibri" w:eastAsia="Times New Roman" w:hAnsi="Calibri"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1C67B59"/>
    <w:multiLevelType w:val="hybridMultilevel"/>
    <w:tmpl w:val="D3F4CFA8"/>
    <w:lvl w:ilvl="0" w:tplc="9C108A52">
      <w:numFmt w:val="bullet"/>
      <w:lvlText w:val=""/>
      <w:lvlJc w:val="left"/>
      <w:pPr>
        <w:tabs>
          <w:tab w:val="num" w:pos="720"/>
        </w:tabs>
        <w:ind w:left="720" w:hanging="360"/>
      </w:pPr>
      <w:rPr>
        <w:rFonts w:ascii="Wingdings" w:eastAsia="Times New Roman" w:hAnsi="Wingdings"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6">
    <w:nsid w:val="47A726E8"/>
    <w:multiLevelType w:val="hybridMultilevel"/>
    <w:tmpl w:val="40BA99DA"/>
    <w:lvl w:ilvl="0" w:tplc="CEC02502">
      <w:numFmt w:val="bullet"/>
      <w:lvlText w:val="-"/>
      <w:lvlJc w:val="left"/>
      <w:pPr>
        <w:tabs>
          <w:tab w:val="num" w:pos="720"/>
        </w:tabs>
        <w:ind w:left="720" w:hanging="360"/>
      </w:pPr>
      <w:rPr>
        <w:rFonts w:ascii="Century" w:eastAsia="Times New Roman" w:hAnsi="Century"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nsid w:val="53EE129A"/>
    <w:multiLevelType w:val="hybridMultilevel"/>
    <w:tmpl w:val="5E7E9832"/>
    <w:lvl w:ilvl="0" w:tplc="6826EA34">
      <w:numFmt w:val="bullet"/>
      <w:lvlText w:val="-"/>
      <w:lvlJc w:val="left"/>
      <w:pPr>
        <w:tabs>
          <w:tab w:val="num" w:pos="720"/>
        </w:tabs>
        <w:ind w:left="720" w:hanging="360"/>
      </w:pPr>
      <w:rPr>
        <w:rFonts w:ascii="Century" w:eastAsia="Times New Roman" w:hAnsi="Century"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
    <w:nsid w:val="56E43897"/>
    <w:multiLevelType w:val="hybridMultilevel"/>
    <w:tmpl w:val="5F2224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AED118A"/>
    <w:multiLevelType w:val="hybridMultilevel"/>
    <w:tmpl w:val="8F3A2FF2"/>
    <w:lvl w:ilvl="0" w:tplc="F3CC8E2C">
      <w:numFmt w:val="bullet"/>
      <w:lvlText w:val="-"/>
      <w:lvlJc w:val="left"/>
      <w:pPr>
        <w:tabs>
          <w:tab w:val="num" w:pos="720"/>
        </w:tabs>
        <w:ind w:left="720" w:hanging="360"/>
      </w:pPr>
      <w:rPr>
        <w:rFonts w:ascii="Century" w:eastAsia="Times New Roman" w:hAnsi="Century"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0">
    <w:nsid w:val="5FFF0930"/>
    <w:multiLevelType w:val="hybridMultilevel"/>
    <w:tmpl w:val="1A465830"/>
    <w:lvl w:ilvl="0" w:tplc="B8E813E8">
      <w:start w:val="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07237E3"/>
    <w:multiLevelType w:val="hybridMultilevel"/>
    <w:tmpl w:val="405A2EF4"/>
    <w:lvl w:ilvl="0" w:tplc="E3D03860">
      <w:numFmt w:val="bullet"/>
      <w:lvlText w:val="-"/>
      <w:lvlJc w:val="left"/>
      <w:pPr>
        <w:tabs>
          <w:tab w:val="num" w:pos="720"/>
        </w:tabs>
        <w:ind w:left="720" w:hanging="360"/>
      </w:pPr>
      <w:rPr>
        <w:rFonts w:ascii="Century" w:eastAsia="Times New Roman" w:hAnsi="Century"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nsid w:val="65A067C9"/>
    <w:multiLevelType w:val="hybridMultilevel"/>
    <w:tmpl w:val="B9323CE4"/>
    <w:lvl w:ilvl="0" w:tplc="34F88390">
      <w:start w:val="1"/>
      <w:numFmt w:val="decimal"/>
      <w:lvlText w:val="%1."/>
      <w:lvlJc w:val="left"/>
      <w:pPr>
        <w:ind w:left="800" w:hanging="4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1DC5857"/>
    <w:multiLevelType w:val="hybridMultilevel"/>
    <w:tmpl w:val="E32C8A70"/>
    <w:lvl w:ilvl="0" w:tplc="1CC0548C">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3025BC8"/>
    <w:multiLevelType w:val="hybridMultilevel"/>
    <w:tmpl w:val="F27045A0"/>
    <w:lvl w:ilvl="0" w:tplc="4BEAAFB2">
      <w:numFmt w:val="bullet"/>
      <w:lvlText w:val="-"/>
      <w:lvlJc w:val="left"/>
      <w:pPr>
        <w:ind w:left="720" w:hanging="360"/>
      </w:pPr>
      <w:rPr>
        <w:rFonts w:ascii="Cambria" w:eastAsiaTheme="minorEastAsia" w:hAnsi="Cambria" w:cstheme="minorBid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60278D4"/>
    <w:multiLevelType w:val="hybridMultilevel"/>
    <w:tmpl w:val="E7509EB0"/>
    <w:lvl w:ilvl="0" w:tplc="7F1CE5BC">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6D50FFF"/>
    <w:multiLevelType w:val="hybridMultilevel"/>
    <w:tmpl w:val="7EEA6242"/>
    <w:lvl w:ilvl="0" w:tplc="FC249A4A">
      <w:start w:val="1"/>
      <w:numFmt w:val="decimal"/>
      <w:lvlText w:val="%1."/>
      <w:lvlJc w:val="left"/>
      <w:pPr>
        <w:ind w:left="800" w:hanging="4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E8A4560"/>
    <w:multiLevelType w:val="hybridMultilevel"/>
    <w:tmpl w:val="DFECECF6"/>
    <w:lvl w:ilvl="0" w:tplc="680AE1E0">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F94140E"/>
    <w:multiLevelType w:val="multilevel"/>
    <w:tmpl w:val="8F3A2FF2"/>
    <w:lvl w:ilvl="0">
      <w:numFmt w:val="bullet"/>
      <w:lvlText w:val="-"/>
      <w:lvlJc w:val="left"/>
      <w:pPr>
        <w:tabs>
          <w:tab w:val="num" w:pos="720"/>
        </w:tabs>
        <w:ind w:left="720" w:hanging="360"/>
      </w:pPr>
      <w:rPr>
        <w:rFonts w:ascii="Century" w:eastAsia="Times New Roman" w:hAnsi="Century"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num w:numId="1">
    <w:abstractNumId w:val="24"/>
  </w:num>
  <w:num w:numId="2">
    <w:abstractNumId w:val="7"/>
  </w:num>
  <w:num w:numId="3">
    <w:abstractNumId w:val="18"/>
  </w:num>
  <w:num w:numId="4">
    <w:abstractNumId w:val="11"/>
  </w:num>
  <w:num w:numId="5">
    <w:abstractNumId w:val="10"/>
  </w:num>
  <w:num w:numId="6">
    <w:abstractNumId w:val="2"/>
  </w:num>
  <w:num w:numId="7">
    <w:abstractNumId w:val="6"/>
  </w:num>
  <w:num w:numId="8">
    <w:abstractNumId w:val="23"/>
  </w:num>
  <w:num w:numId="9">
    <w:abstractNumId w:val="1"/>
  </w:num>
  <w:num w:numId="10">
    <w:abstractNumId w:val="22"/>
  </w:num>
  <w:num w:numId="11">
    <w:abstractNumId w:val="26"/>
  </w:num>
  <w:num w:numId="12">
    <w:abstractNumId w:val="12"/>
  </w:num>
  <w:num w:numId="13">
    <w:abstractNumId w:val="9"/>
  </w:num>
  <w:num w:numId="14">
    <w:abstractNumId w:val="13"/>
  </w:num>
  <w:num w:numId="15">
    <w:abstractNumId w:val="4"/>
  </w:num>
  <w:num w:numId="16">
    <w:abstractNumId w:val="8"/>
  </w:num>
  <w:num w:numId="17">
    <w:abstractNumId w:val="0"/>
  </w:num>
  <w:num w:numId="18">
    <w:abstractNumId w:val="21"/>
  </w:num>
  <w:num w:numId="19">
    <w:abstractNumId w:val="19"/>
  </w:num>
  <w:num w:numId="20">
    <w:abstractNumId w:val="15"/>
  </w:num>
  <w:num w:numId="21">
    <w:abstractNumId w:val="28"/>
  </w:num>
  <w:num w:numId="22">
    <w:abstractNumId w:val="5"/>
  </w:num>
  <w:num w:numId="23">
    <w:abstractNumId w:val="16"/>
  </w:num>
  <w:num w:numId="24">
    <w:abstractNumId w:val="17"/>
  </w:num>
  <w:num w:numId="25">
    <w:abstractNumId w:val="3"/>
  </w:num>
  <w:num w:numId="26">
    <w:abstractNumId w:val="14"/>
  </w:num>
  <w:num w:numId="27">
    <w:abstractNumId w:val="27"/>
  </w:num>
  <w:num w:numId="28">
    <w:abstractNumId w:val="20"/>
  </w:num>
  <w:num w:numId="29">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8"/>
  <w:proofState w:spelling="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3B21"/>
    <w:rsid w:val="00003E5E"/>
    <w:rsid w:val="00004BCD"/>
    <w:rsid w:val="000055CC"/>
    <w:rsid w:val="000105C2"/>
    <w:rsid w:val="00010C76"/>
    <w:rsid w:val="00013080"/>
    <w:rsid w:val="00015AF1"/>
    <w:rsid w:val="000173E9"/>
    <w:rsid w:val="00022CE1"/>
    <w:rsid w:val="000308D6"/>
    <w:rsid w:val="0003381A"/>
    <w:rsid w:val="00041DB1"/>
    <w:rsid w:val="00045C6E"/>
    <w:rsid w:val="0004745B"/>
    <w:rsid w:val="0005490E"/>
    <w:rsid w:val="00055721"/>
    <w:rsid w:val="00057923"/>
    <w:rsid w:val="00063329"/>
    <w:rsid w:val="0006436F"/>
    <w:rsid w:val="0007288D"/>
    <w:rsid w:val="00074E98"/>
    <w:rsid w:val="000776AD"/>
    <w:rsid w:val="000865EF"/>
    <w:rsid w:val="0009102D"/>
    <w:rsid w:val="000A1E37"/>
    <w:rsid w:val="000A5932"/>
    <w:rsid w:val="000A6D81"/>
    <w:rsid w:val="000A6E7F"/>
    <w:rsid w:val="000B0851"/>
    <w:rsid w:val="000B5E14"/>
    <w:rsid w:val="000C3AB1"/>
    <w:rsid w:val="000D2391"/>
    <w:rsid w:val="000D39E3"/>
    <w:rsid w:val="000D4536"/>
    <w:rsid w:val="000E7063"/>
    <w:rsid w:val="000F04E2"/>
    <w:rsid w:val="000F0ECA"/>
    <w:rsid w:val="00104212"/>
    <w:rsid w:val="00104373"/>
    <w:rsid w:val="00104510"/>
    <w:rsid w:val="0011317F"/>
    <w:rsid w:val="00113588"/>
    <w:rsid w:val="00117936"/>
    <w:rsid w:val="0012000E"/>
    <w:rsid w:val="001238D2"/>
    <w:rsid w:val="00123A4F"/>
    <w:rsid w:val="00144C1D"/>
    <w:rsid w:val="00145377"/>
    <w:rsid w:val="001478D2"/>
    <w:rsid w:val="001549A7"/>
    <w:rsid w:val="001576E2"/>
    <w:rsid w:val="00163A71"/>
    <w:rsid w:val="00181929"/>
    <w:rsid w:val="00182C16"/>
    <w:rsid w:val="00184078"/>
    <w:rsid w:val="001855FA"/>
    <w:rsid w:val="00185995"/>
    <w:rsid w:val="00186B15"/>
    <w:rsid w:val="00197677"/>
    <w:rsid w:val="001A7BFC"/>
    <w:rsid w:val="001B3BAE"/>
    <w:rsid w:val="001C3917"/>
    <w:rsid w:val="001D13EF"/>
    <w:rsid w:val="001E2F86"/>
    <w:rsid w:val="001F3038"/>
    <w:rsid w:val="001F363B"/>
    <w:rsid w:val="001F4409"/>
    <w:rsid w:val="00200774"/>
    <w:rsid w:val="00201D40"/>
    <w:rsid w:val="00212DAC"/>
    <w:rsid w:val="0022347B"/>
    <w:rsid w:val="00225295"/>
    <w:rsid w:val="0022617F"/>
    <w:rsid w:val="00226ED7"/>
    <w:rsid w:val="002370BC"/>
    <w:rsid w:val="00240351"/>
    <w:rsid w:val="00241E37"/>
    <w:rsid w:val="00247A04"/>
    <w:rsid w:val="00252D28"/>
    <w:rsid w:val="0025356D"/>
    <w:rsid w:val="0025360C"/>
    <w:rsid w:val="00263502"/>
    <w:rsid w:val="00263BBA"/>
    <w:rsid w:val="00270162"/>
    <w:rsid w:val="00272C64"/>
    <w:rsid w:val="00273BEB"/>
    <w:rsid w:val="00280726"/>
    <w:rsid w:val="00282B9E"/>
    <w:rsid w:val="0028373F"/>
    <w:rsid w:val="00296862"/>
    <w:rsid w:val="002974F8"/>
    <w:rsid w:val="002B4FD9"/>
    <w:rsid w:val="002B5DCC"/>
    <w:rsid w:val="002B6B9A"/>
    <w:rsid w:val="002C1A09"/>
    <w:rsid w:val="002C5907"/>
    <w:rsid w:val="002D5314"/>
    <w:rsid w:val="002D5F0F"/>
    <w:rsid w:val="002D6D6A"/>
    <w:rsid w:val="002E4592"/>
    <w:rsid w:val="002F40B2"/>
    <w:rsid w:val="002F4709"/>
    <w:rsid w:val="002F7B64"/>
    <w:rsid w:val="00301C65"/>
    <w:rsid w:val="003041E9"/>
    <w:rsid w:val="0030473D"/>
    <w:rsid w:val="0032558F"/>
    <w:rsid w:val="0033317E"/>
    <w:rsid w:val="00340566"/>
    <w:rsid w:val="00347066"/>
    <w:rsid w:val="00353889"/>
    <w:rsid w:val="003735B5"/>
    <w:rsid w:val="003754D7"/>
    <w:rsid w:val="0037632C"/>
    <w:rsid w:val="0038006B"/>
    <w:rsid w:val="00391DAE"/>
    <w:rsid w:val="00391E51"/>
    <w:rsid w:val="00395FEC"/>
    <w:rsid w:val="003A095C"/>
    <w:rsid w:val="003A51CF"/>
    <w:rsid w:val="003A6B67"/>
    <w:rsid w:val="003A7152"/>
    <w:rsid w:val="003B0F11"/>
    <w:rsid w:val="003B64CB"/>
    <w:rsid w:val="003C4D7C"/>
    <w:rsid w:val="003C6AF0"/>
    <w:rsid w:val="003D19AF"/>
    <w:rsid w:val="003D3DA8"/>
    <w:rsid w:val="003F039F"/>
    <w:rsid w:val="003F2C63"/>
    <w:rsid w:val="004037BF"/>
    <w:rsid w:val="0041190E"/>
    <w:rsid w:val="004345BC"/>
    <w:rsid w:val="00441171"/>
    <w:rsid w:val="004458A9"/>
    <w:rsid w:val="004571EC"/>
    <w:rsid w:val="004631DA"/>
    <w:rsid w:val="004637F7"/>
    <w:rsid w:val="0047399B"/>
    <w:rsid w:val="00475E10"/>
    <w:rsid w:val="00483B8F"/>
    <w:rsid w:val="00485E23"/>
    <w:rsid w:val="00487A1B"/>
    <w:rsid w:val="00492B0D"/>
    <w:rsid w:val="00493663"/>
    <w:rsid w:val="004A132F"/>
    <w:rsid w:val="004A7A4F"/>
    <w:rsid w:val="004A7D15"/>
    <w:rsid w:val="004B010A"/>
    <w:rsid w:val="004C0BC2"/>
    <w:rsid w:val="004C5151"/>
    <w:rsid w:val="004D04D8"/>
    <w:rsid w:val="004D3423"/>
    <w:rsid w:val="004F76DF"/>
    <w:rsid w:val="00504991"/>
    <w:rsid w:val="0050560F"/>
    <w:rsid w:val="00515E55"/>
    <w:rsid w:val="005170F6"/>
    <w:rsid w:val="00522A4C"/>
    <w:rsid w:val="00524169"/>
    <w:rsid w:val="0052480D"/>
    <w:rsid w:val="0053120E"/>
    <w:rsid w:val="00531789"/>
    <w:rsid w:val="005406DD"/>
    <w:rsid w:val="0054219E"/>
    <w:rsid w:val="00542F4C"/>
    <w:rsid w:val="00547041"/>
    <w:rsid w:val="0054714D"/>
    <w:rsid w:val="00550834"/>
    <w:rsid w:val="005602EB"/>
    <w:rsid w:val="005745BB"/>
    <w:rsid w:val="00574E6A"/>
    <w:rsid w:val="0057711D"/>
    <w:rsid w:val="00581804"/>
    <w:rsid w:val="00583362"/>
    <w:rsid w:val="00591F14"/>
    <w:rsid w:val="00596E05"/>
    <w:rsid w:val="00597E5C"/>
    <w:rsid w:val="005A07A0"/>
    <w:rsid w:val="005A29BB"/>
    <w:rsid w:val="005A5145"/>
    <w:rsid w:val="005B271E"/>
    <w:rsid w:val="005B7998"/>
    <w:rsid w:val="005C037F"/>
    <w:rsid w:val="005C2FFC"/>
    <w:rsid w:val="005C5516"/>
    <w:rsid w:val="005C5B83"/>
    <w:rsid w:val="005D054B"/>
    <w:rsid w:val="005D3B0B"/>
    <w:rsid w:val="005D6B5D"/>
    <w:rsid w:val="005D7397"/>
    <w:rsid w:val="005E0279"/>
    <w:rsid w:val="005E0E94"/>
    <w:rsid w:val="005E138C"/>
    <w:rsid w:val="005E1F66"/>
    <w:rsid w:val="005E52D2"/>
    <w:rsid w:val="005F69FD"/>
    <w:rsid w:val="005F6DC1"/>
    <w:rsid w:val="00600A5D"/>
    <w:rsid w:val="006018C8"/>
    <w:rsid w:val="00603A3D"/>
    <w:rsid w:val="00610D86"/>
    <w:rsid w:val="00616CCC"/>
    <w:rsid w:val="00617F35"/>
    <w:rsid w:val="00622FD7"/>
    <w:rsid w:val="0062600E"/>
    <w:rsid w:val="006449C8"/>
    <w:rsid w:val="00650AA2"/>
    <w:rsid w:val="00650B6A"/>
    <w:rsid w:val="00650B85"/>
    <w:rsid w:val="006567D6"/>
    <w:rsid w:val="006757AB"/>
    <w:rsid w:val="0068100F"/>
    <w:rsid w:val="006830CD"/>
    <w:rsid w:val="0068710A"/>
    <w:rsid w:val="00687ADD"/>
    <w:rsid w:val="00697168"/>
    <w:rsid w:val="006A70A4"/>
    <w:rsid w:val="006B12F7"/>
    <w:rsid w:val="006B3BBC"/>
    <w:rsid w:val="006B7721"/>
    <w:rsid w:val="006C2303"/>
    <w:rsid w:val="006D1647"/>
    <w:rsid w:val="006D1976"/>
    <w:rsid w:val="006D6D7C"/>
    <w:rsid w:val="006E36F0"/>
    <w:rsid w:val="006E4F43"/>
    <w:rsid w:val="006F1875"/>
    <w:rsid w:val="00706FF3"/>
    <w:rsid w:val="00707E0D"/>
    <w:rsid w:val="00721D56"/>
    <w:rsid w:val="007314A2"/>
    <w:rsid w:val="0073456B"/>
    <w:rsid w:val="007402A0"/>
    <w:rsid w:val="00740304"/>
    <w:rsid w:val="00740FCA"/>
    <w:rsid w:val="007440BA"/>
    <w:rsid w:val="007550CF"/>
    <w:rsid w:val="007609B8"/>
    <w:rsid w:val="007662B5"/>
    <w:rsid w:val="0077311E"/>
    <w:rsid w:val="007753CA"/>
    <w:rsid w:val="00787644"/>
    <w:rsid w:val="0079342F"/>
    <w:rsid w:val="00796CB6"/>
    <w:rsid w:val="007A72ED"/>
    <w:rsid w:val="007A7CA2"/>
    <w:rsid w:val="007B01BF"/>
    <w:rsid w:val="007B0ABA"/>
    <w:rsid w:val="007B4CCF"/>
    <w:rsid w:val="007C278F"/>
    <w:rsid w:val="007C428D"/>
    <w:rsid w:val="007C530F"/>
    <w:rsid w:val="007C6773"/>
    <w:rsid w:val="007D53BA"/>
    <w:rsid w:val="007E546F"/>
    <w:rsid w:val="007E5CF4"/>
    <w:rsid w:val="00802281"/>
    <w:rsid w:val="008052F9"/>
    <w:rsid w:val="0081257D"/>
    <w:rsid w:val="00817720"/>
    <w:rsid w:val="00821985"/>
    <w:rsid w:val="00821B51"/>
    <w:rsid w:val="0082787B"/>
    <w:rsid w:val="00833CBF"/>
    <w:rsid w:val="00834D33"/>
    <w:rsid w:val="0084064A"/>
    <w:rsid w:val="00845705"/>
    <w:rsid w:val="00845EB1"/>
    <w:rsid w:val="00862A3D"/>
    <w:rsid w:val="00875B46"/>
    <w:rsid w:val="008812B7"/>
    <w:rsid w:val="008937E2"/>
    <w:rsid w:val="0089460A"/>
    <w:rsid w:val="0089542D"/>
    <w:rsid w:val="008954C5"/>
    <w:rsid w:val="00895CC3"/>
    <w:rsid w:val="008A47CE"/>
    <w:rsid w:val="008B6D45"/>
    <w:rsid w:val="008B7477"/>
    <w:rsid w:val="008C1C4F"/>
    <w:rsid w:val="008D6945"/>
    <w:rsid w:val="008E1E74"/>
    <w:rsid w:val="008E3844"/>
    <w:rsid w:val="008F17DD"/>
    <w:rsid w:val="008F3D31"/>
    <w:rsid w:val="008F7209"/>
    <w:rsid w:val="009012D3"/>
    <w:rsid w:val="00901F01"/>
    <w:rsid w:val="00904AE2"/>
    <w:rsid w:val="00906E41"/>
    <w:rsid w:val="009133B6"/>
    <w:rsid w:val="00915774"/>
    <w:rsid w:val="009268DD"/>
    <w:rsid w:val="00927B02"/>
    <w:rsid w:val="0093103B"/>
    <w:rsid w:val="00933886"/>
    <w:rsid w:val="009409F9"/>
    <w:rsid w:val="00943850"/>
    <w:rsid w:val="0094614A"/>
    <w:rsid w:val="00946953"/>
    <w:rsid w:val="0095153C"/>
    <w:rsid w:val="00967B94"/>
    <w:rsid w:val="00967F33"/>
    <w:rsid w:val="0097032E"/>
    <w:rsid w:val="00976561"/>
    <w:rsid w:val="00981606"/>
    <w:rsid w:val="00982216"/>
    <w:rsid w:val="00983E7F"/>
    <w:rsid w:val="00985C62"/>
    <w:rsid w:val="009909A4"/>
    <w:rsid w:val="00994265"/>
    <w:rsid w:val="00994822"/>
    <w:rsid w:val="009B1552"/>
    <w:rsid w:val="009B41AA"/>
    <w:rsid w:val="009B73E0"/>
    <w:rsid w:val="009C2ECC"/>
    <w:rsid w:val="009D14E1"/>
    <w:rsid w:val="009E276E"/>
    <w:rsid w:val="009E331E"/>
    <w:rsid w:val="009F095C"/>
    <w:rsid w:val="00A0097D"/>
    <w:rsid w:val="00A0480E"/>
    <w:rsid w:val="00A2029B"/>
    <w:rsid w:val="00A23617"/>
    <w:rsid w:val="00A2700B"/>
    <w:rsid w:val="00A3079A"/>
    <w:rsid w:val="00A30A30"/>
    <w:rsid w:val="00A427BC"/>
    <w:rsid w:val="00A46E13"/>
    <w:rsid w:val="00A6754F"/>
    <w:rsid w:val="00A959C8"/>
    <w:rsid w:val="00A95DFD"/>
    <w:rsid w:val="00A960A0"/>
    <w:rsid w:val="00A9641A"/>
    <w:rsid w:val="00AA0FA8"/>
    <w:rsid w:val="00AA5B9B"/>
    <w:rsid w:val="00AA672B"/>
    <w:rsid w:val="00AA70DE"/>
    <w:rsid w:val="00AB181E"/>
    <w:rsid w:val="00AB4E3F"/>
    <w:rsid w:val="00AC15B5"/>
    <w:rsid w:val="00AF4948"/>
    <w:rsid w:val="00AF50BA"/>
    <w:rsid w:val="00B1371D"/>
    <w:rsid w:val="00B217DF"/>
    <w:rsid w:val="00B25FE4"/>
    <w:rsid w:val="00B27F5A"/>
    <w:rsid w:val="00B31B42"/>
    <w:rsid w:val="00B321D6"/>
    <w:rsid w:val="00B369BA"/>
    <w:rsid w:val="00B44FB5"/>
    <w:rsid w:val="00B45591"/>
    <w:rsid w:val="00B46855"/>
    <w:rsid w:val="00B50F2A"/>
    <w:rsid w:val="00B55363"/>
    <w:rsid w:val="00B55C58"/>
    <w:rsid w:val="00B60114"/>
    <w:rsid w:val="00B61EA9"/>
    <w:rsid w:val="00B71094"/>
    <w:rsid w:val="00B75059"/>
    <w:rsid w:val="00B90781"/>
    <w:rsid w:val="00BA5283"/>
    <w:rsid w:val="00BB2EFB"/>
    <w:rsid w:val="00BB3D12"/>
    <w:rsid w:val="00BB4538"/>
    <w:rsid w:val="00BB4BB6"/>
    <w:rsid w:val="00BC6704"/>
    <w:rsid w:val="00BD265E"/>
    <w:rsid w:val="00BE1177"/>
    <w:rsid w:val="00BE3F76"/>
    <w:rsid w:val="00BE7705"/>
    <w:rsid w:val="00BF21C9"/>
    <w:rsid w:val="00BF4EE6"/>
    <w:rsid w:val="00BF7241"/>
    <w:rsid w:val="00BF7E14"/>
    <w:rsid w:val="00C05B54"/>
    <w:rsid w:val="00C1458E"/>
    <w:rsid w:val="00C2337E"/>
    <w:rsid w:val="00C23AD7"/>
    <w:rsid w:val="00C2524E"/>
    <w:rsid w:val="00C27147"/>
    <w:rsid w:val="00C32502"/>
    <w:rsid w:val="00C36D7C"/>
    <w:rsid w:val="00C378C4"/>
    <w:rsid w:val="00C40F32"/>
    <w:rsid w:val="00C45AAE"/>
    <w:rsid w:val="00C45B08"/>
    <w:rsid w:val="00C556D5"/>
    <w:rsid w:val="00C5624C"/>
    <w:rsid w:val="00C57441"/>
    <w:rsid w:val="00C63B21"/>
    <w:rsid w:val="00C67E9A"/>
    <w:rsid w:val="00C84BD2"/>
    <w:rsid w:val="00C87388"/>
    <w:rsid w:val="00C903ED"/>
    <w:rsid w:val="00CA23E0"/>
    <w:rsid w:val="00CA2B3E"/>
    <w:rsid w:val="00CA4CF0"/>
    <w:rsid w:val="00CA6499"/>
    <w:rsid w:val="00CB580C"/>
    <w:rsid w:val="00CC04DC"/>
    <w:rsid w:val="00CC12E2"/>
    <w:rsid w:val="00CC177B"/>
    <w:rsid w:val="00CC2A13"/>
    <w:rsid w:val="00CC37A2"/>
    <w:rsid w:val="00CC7016"/>
    <w:rsid w:val="00CD06F5"/>
    <w:rsid w:val="00CD73BB"/>
    <w:rsid w:val="00CE0702"/>
    <w:rsid w:val="00CE384C"/>
    <w:rsid w:val="00CF44C3"/>
    <w:rsid w:val="00CF4E6F"/>
    <w:rsid w:val="00CF5490"/>
    <w:rsid w:val="00CF63E4"/>
    <w:rsid w:val="00CF656A"/>
    <w:rsid w:val="00D0158B"/>
    <w:rsid w:val="00D05EDB"/>
    <w:rsid w:val="00D10148"/>
    <w:rsid w:val="00D14347"/>
    <w:rsid w:val="00D16349"/>
    <w:rsid w:val="00D20134"/>
    <w:rsid w:val="00D21273"/>
    <w:rsid w:val="00D25E4F"/>
    <w:rsid w:val="00D3028E"/>
    <w:rsid w:val="00D304F3"/>
    <w:rsid w:val="00D307E9"/>
    <w:rsid w:val="00D33E6A"/>
    <w:rsid w:val="00D34E01"/>
    <w:rsid w:val="00D35C0F"/>
    <w:rsid w:val="00D420FE"/>
    <w:rsid w:val="00D50235"/>
    <w:rsid w:val="00D57933"/>
    <w:rsid w:val="00D605A2"/>
    <w:rsid w:val="00D609E7"/>
    <w:rsid w:val="00D61592"/>
    <w:rsid w:val="00D63726"/>
    <w:rsid w:val="00D65F06"/>
    <w:rsid w:val="00D66EDB"/>
    <w:rsid w:val="00D70E6B"/>
    <w:rsid w:val="00D74B32"/>
    <w:rsid w:val="00DA4EF1"/>
    <w:rsid w:val="00DA545A"/>
    <w:rsid w:val="00DA5AAA"/>
    <w:rsid w:val="00DB5763"/>
    <w:rsid w:val="00DB7AE5"/>
    <w:rsid w:val="00DC2EA7"/>
    <w:rsid w:val="00DC5316"/>
    <w:rsid w:val="00DD0E52"/>
    <w:rsid w:val="00DD5D66"/>
    <w:rsid w:val="00DE2226"/>
    <w:rsid w:val="00DE4168"/>
    <w:rsid w:val="00DF05F4"/>
    <w:rsid w:val="00DF3B40"/>
    <w:rsid w:val="00DF4129"/>
    <w:rsid w:val="00DF4522"/>
    <w:rsid w:val="00E002BC"/>
    <w:rsid w:val="00E104AE"/>
    <w:rsid w:val="00E1119C"/>
    <w:rsid w:val="00E13659"/>
    <w:rsid w:val="00E25053"/>
    <w:rsid w:val="00E40977"/>
    <w:rsid w:val="00E40AB1"/>
    <w:rsid w:val="00E410AA"/>
    <w:rsid w:val="00E42A61"/>
    <w:rsid w:val="00E43572"/>
    <w:rsid w:val="00E43638"/>
    <w:rsid w:val="00E53079"/>
    <w:rsid w:val="00E62A1D"/>
    <w:rsid w:val="00E774DD"/>
    <w:rsid w:val="00E77B2C"/>
    <w:rsid w:val="00E82B5D"/>
    <w:rsid w:val="00E831B9"/>
    <w:rsid w:val="00E8405C"/>
    <w:rsid w:val="00E90DA6"/>
    <w:rsid w:val="00E91DBB"/>
    <w:rsid w:val="00EA2FE4"/>
    <w:rsid w:val="00EA48A7"/>
    <w:rsid w:val="00EA5A0C"/>
    <w:rsid w:val="00EB0545"/>
    <w:rsid w:val="00EB5227"/>
    <w:rsid w:val="00EC0D79"/>
    <w:rsid w:val="00EC11D7"/>
    <w:rsid w:val="00ED40C4"/>
    <w:rsid w:val="00ED41A3"/>
    <w:rsid w:val="00ED61A1"/>
    <w:rsid w:val="00EE2365"/>
    <w:rsid w:val="00EE2524"/>
    <w:rsid w:val="00EE709C"/>
    <w:rsid w:val="00EF2A53"/>
    <w:rsid w:val="00EF33BC"/>
    <w:rsid w:val="00EF5740"/>
    <w:rsid w:val="00F05C7C"/>
    <w:rsid w:val="00F074AD"/>
    <w:rsid w:val="00F11E1A"/>
    <w:rsid w:val="00F12904"/>
    <w:rsid w:val="00F17B44"/>
    <w:rsid w:val="00F21D2E"/>
    <w:rsid w:val="00F22009"/>
    <w:rsid w:val="00F26016"/>
    <w:rsid w:val="00F34461"/>
    <w:rsid w:val="00F355F2"/>
    <w:rsid w:val="00F429E8"/>
    <w:rsid w:val="00F50DFF"/>
    <w:rsid w:val="00F614A3"/>
    <w:rsid w:val="00F61AB0"/>
    <w:rsid w:val="00F62DCB"/>
    <w:rsid w:val="00F83757"/>
    <w:rsid w:val="00F83FE4"/>
    <w:rsid w:val="00F86AF6"/>
    <w:rsid w:val="00F93364"/>
    <w:rsid w:val="00F961B1"/>
    <w:rsid w:val="00F96A31"/>
    <w:rsid w:val="00FB1D98"/>
    <w:rsid w:val="00FB2785"/>
    <w:rsid w:val="00FB53C0"/>
    <w:rsid w:val="00FC00F0"/>
    <w:rsid w:val="00FC65BF"/>
    <w:rsid w:val="00FC7BB0"/>
    <w:rsid w:val="00FD1CDF"/>
    <w:rsid w:val="00FD58E2"/>
    <w:rsid w:val="00FE1164"/>
    <w:rsid w:val="00FE52EC"/>
    <w:rsid w:val="00FF1033"/>
    <w:rsid w:val="00FF1A70"/>
    <w:rsid w:val="00FF5C63"/>
    <w:rsid w:val="00FF736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BED4A6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caption" w:uiPriority="35" w:qFormat="1"/>
    <w:lsdException w:name="Title" w:semiHidden="0" w:unhideWhenUsed="0" w:qFormat="1"/>
    <w:lsdException w:name="Default Paragraph Font" w:uiPriority="1"/>
    <w:lsdException w:name="Subtitle" w:semiHidden="0"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paragraph" w:styleId="Heading1">
    <w:name w:val="heading 1"/>
    <w:basedOn w:val="Normal"/>
    <w:next w:val="Normal"/>
    <w:link w:val="Heading1Char"/>
    <w:uiPriority w:val="99"/>
    <w:qFormat/>
    <w:rsid w:val="00EB0545"/>
    <w:pPr>
      <w:keepNext/>
      <w:keepLines/>
      <w:spacing w:before="480"/>
      <w:outlineLvl w:val="0"/>
    </w:pPr>
    <w:rPr>
      <w:rFonts w:asciiTheme="majorHAnsi" w:eastAsiaTheme="majorEastAsia" w:hAnsiTheme="majorHAnsi" w:cstheme="majorBidi"/>
      <w:b/>
      <w:bCs/>
      <w:color w:val="345A8A" w:themeColor="accent1" w:themeShade="B5"/>
      <w:sz w:val="32"/>
      <w:szCs w:val="32"/>
      <w:lang w:eastAsia="en-GB"/>
    </w:rPr>
  </w:style>
  <w:style w:type="paragraph" w:styleId="Heading2">
    <w:name w:val="heading 2"/>
    <w:basedOn w:val="Normal"/>
    <w:next w:val="Normal"/>
    <w:link w:val="Heading2Char"/>
    <w:uiPriority w:val="9"/>
    <w:unhideWhenUsed/>
    <w:qFormat/>
    <w:rsid w:val="000A6E7F"/>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0545"/>
    <w:rPr>
      <w:rFonts w:asciiTheme="majorHAnsi" w:eastAsiaTheme="majorEastAsia" w:hAnsiTheme="majorHAnsi" w:cstheme="majorBidi"/>
      <w:b/>
      <w:bCs/>
      <w:color w:val="345A8A" w:themeColor="accent1" w:themeShade="B5"/>
      <w:sz w:val="32"/>
      <w:szCs w:val="32"/>
      <w:lang w:val="en-GB" w:eastAsia="en-GB"/>
    </w:rPr>
  </w:style>
  <w:style w:type="paragraph" w:styleId="ListParagraph">
    <w:name w:val="List Paragraph"/>
    <w:basedOn w:val="Normal"/>
    <w:uiPriority w:val="34"/>
    <w:qFormat/>
    <w:rsid w:val="00707E0D"/>
    <w:pPr>
      <w:ind w:left="720"/>
      <w:contextualSpacing/>
    </w:pPr>
  </w:style>
  <w:style w:type="paragraph" w:styleId="BalloonText">
    <w:name w:val="Balloon Text"/>
    <w:basedOn w:val="Normal"/>
    <w:link w:val="BalloonTextChar"/>
    <w:uiPriority w:val="99"/>
    <w:unhideWhenUsed/>
    <w:rsid w:val="00391E51"/>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391E51"/>
    <w:rPr>
      <w:rFonts w:ascii="Lucida Grande" w:hAnsi="Lucida Grande" w:cs="Lucida Grande"/>
      <w:sz w:val="18"/>
      <w:szCs w:val="18"/>
      <w:lang w:val="en-GB"/>
    </w:rPr>
  </w:style>
  <w:style w:type="character" w:styleId="Hyperlink">
    <w:name w:val="Hyperlink"/>
    <w:basedOn w:val="DefaultParagraphFont"/>
    <w:uiPriority w:val="99"/>
    <w:unhideWhenUsed/>
    <w:rsid w:val="00EB0545"/>
    <w:rPr>
      <w:color w:val="0000FF" w:themeColor="hyperlink"/>
      <w:u w:val="single"/>
    </w:rPr>
  </w:style>
  <w:style w:type="character" w:styleId="CommentReference">
    <w:name w:val="annotation reference"/>
    <w:basedOn w:val="DefaultParagraphFont"/>
    <w:uiPriority w:val="99"/>
    <w:unhideWhenUsed/>
    <w:rsid w:val="00EB0545"/>
    <w:rPr>
      <w:sz w:val="18"/>
      <w:szCs w:val="18"/>
    </w:rPr>
  </w:style>
  <w:style w:type="paragraph" w:styleId="CommentText">
    <w:name w:val="annotation text"/>
    <w:basedOn w:val="Normal"/>
    <w:link w:val="CommentTextChar"/>
    <w:uiPriority w:val="99"/>
    <w:unhideWhenUsed/>
    <w:rsid w:val="00EB0545"/>
  </w:style>
  <w:style w:type="character" w:customStyle="1" w:styleId="CommentTextChar">
    <w:name w:val="Comment Text Char"/>
    <w:basedOn w:val="DefaultParagraphFont"/>
    <w:link w:val="CommentText"/>
    <w:uiPriority w:val="99"/>
    <w:rsid w:val="00EB0545"/>
    <w:rPr>
      <w:lang w:val="en-GB"/>
    </w:rPr>
  </w:style>
  <w:style w:type="paragraph" w:styleId="CommentSubject">
    <w:name w:val="annotation subject"/>
    <w:basedOn w:val="CommentText"/>
    <w:next w:val="CommentText"/>
    <w:link w:val="CommentSubjectChar"/>
    <w:uiPriority w:val="99"/>
    <w:unhideWhenUsed/>
    <w:rsid w:val="00EB0545"/>
    <w:rPr>
      <w:b/>
      <w:bCs/>
      <w:sz w:val="20"/>
      <w:szCs w:val="20"/>
    </w:rPr>
  </w:style>
  <w:style w:type="character" w:customStyle="1" w:styleId="CommentSubjectChar">
    <w:name w:val="Comment Subject Char"/>
    <w:basedOn w:val="CommentTextChar"/>
    <w:link w:val="CommentSubject"/>
    <w:uiPriority w:val="99"/>
    <w:rsid w:val="00EB0545"/>
    <w:rPr>
      <w:b/>
      <w:bCs/>
      <w:sz w:val="20"/>
      <w:szCs w:val="20"/>
      <w:lang w:val="en-GB"/>
    </w:rPr>
  </w:style>
  <w:style w:type="paragraph" w:styleId="Footer">
    <w:name w:val="footer"/>
    <w:basedOn w:val="Normal"/>
    <w:link w:val="FooterChar"/>
    <w:uiPriority w:val="99"/>
    <w:unhideWhenUsed/>
    <w:rsid w:val="00EB0545"/>
    <w:pPr>
      <w:tabs>
        <w:tab w:val="center" w:pos="4320"/>
        <w:tab w:val="right" w:pos="8640"/>
      </w:tabs>
    </w:pPr>
  </w:style>
  <w:style w:type="character" w:customStyle="1" w:styleId="FooterChar">
    <w:name w:val="Footer Char"/>
    <w:basedOn w:val="DefaultParagraphFont"/>
    <w:link w:val="Footer"/>
    <w:uiPriority w:val="99"/>
    <w:rsid w:val="00EB0545"/>
    <w:rPr>
      <w:lang w:val="en-GB"/>
    </w:rPr>
  </w:style>
  <w:style w:type="character" w:styleId="PageNumber">
    <w:name w:val="page number"/>
    <w:basedOn w:val="DefaultParagraphFont"/>
    <w:uiPriority w:val="99"/>
    <w:unhideWhenUsed/>
    <w:rsid w:val="00EB0545"/>
  </w:style>
  <w:style w:type="paragraph" w:styleId="TOCHeading">
    <w:name w:val="TOC Heading"/>
    <w:basedOn w:val="Heading1"/>
    <w:next w:val="Normal"/>
    <w:uiPriority w:val="39"/>
    <w:unhideWhenUsed/>
    <w:qFormat/>
    <w:rsid w:val="00EB0545"/>
    <w:pPr>
      <w:spacing w:line="276" w:lineRule="auto"/>
      <w:outlineLvl w:val="9"/>
    </w:pPr>
    <w:rPr>
      <w:color w:val="365F91" w:themeColor="accent1" w:themeShade="BF"/>
      <w:sz w:val="28"/>
      <w:szCs w:val="28"/>
      <w:lang w:val="en-US" w:eastAsia="en-US"/>
    </w:rPr>
  </w:style>
  <w:style w:type="paragraph" w:styleId="TOC1">
    <w:name w:val="toc 1"/>
    <w:basedOn w:val="Normal"/>
    <w:next w:val="Normal"/>
    <w:autoRedefine/>
    <w:uiPriority w:val="39"/>
    <w:rsid w:val="00531789"/>
    <w:pPr>
      <w:tabs>
        <w:tab w:val="right" w:leader="dot" w:pos="8210"/>
      </w:tabs>
      <w:spacing w:before="120" w:line="360" w:lineRule="auto"/>
    </w:pPr>
    <w:rPr>
      <w:rFonts w:asciiTheme="majorHAnsi" w:hAnsiTheme="majorHAnsi"/>
      <w:b/>
      <w:color w:val="548DD4"/>
    </w:rPr>
  </w:style>
  <w:style w:type="paragraph" w:styleId="TOC2">
    <w:name w:val="toc 2"/>
    <w:basedOn w:val="Normal"/>
    <w:next w:val="Normal"/>
    <w:autoRedefine/>
    <w:uiPriority w:val="39"/>
    <w:rsid w:val="006C2303"/>
    <w:pPr>
      <w:tabs>
        <w:tab w:val="right" w:leader="dot" w:pos="8210"/>
      </w:tabs>
      <w:spacing w:line="360" w:lineRule="auto"/>
    </w:pPr>
    <w:rPr>
      <w:sz w:val="22"/>
      <w:szCs w:val="22"/>
    </w:rPr>
  </w:style>
  <w:style w:type="paragraph" w:styleId="TOC3">
    <w:name w:val="toc 3"/>
    <w:basedOn w:val="Normal"/>
    <w:next w:val="Normal"/>
    <w:autoRedefine/>
    <w:rsid w:val="00EB0545"/>
    <w:pPr>
      <w:ind w:left="240"/>
    </w:pPr>
    <w:rPr>
      <w:i/>
      <w:sz w:val="22"/>
      <w:szCs w:val="22"/>
    </w:rPr>
  </w:style>
  <w:style w:type="paragraph" w:styleId="TOC4">
    <w:name w:val="toc 4"/>
    <w:basedOn w:val="Normal"/>
    <w:next w:val="Normal"/>
    <w:autoRedefine/>
    <w:rsid w:val="00EB0545"/>
    <w:pPr>
      <w:pBdr>
        <w:between w:val="double" w:sz="6" w:space="0" w:color="auto"/>
      </w:pBdr>
      <w:ind w:left="480"/>
    </w:pPr>
    <w:rPr>
      <w:sz w:val="20"/>
      <w:szCs w:val="20"/>
    </w:rPr>
  </w:style>
  <w:style w:type="paragraph" w:styleId="TOC5">
    <w:name w:val="toc 5"/>
    <w:basedOn w:val="Normal"/>
    <w:next w:val="Normal"/>
    <w:autoRedefine/>
    <w:rsid w:val="00EB0545"/>
    <w:pPr>
      <w:pBdr>
        <w:between w:val="double" w:sz="6" w:space="0" w:color="auto"/>
      </w:pBdr>
      <w:ind w:left="720"/>
    </w:pPr>
    <w:rPr>
      <w:sz w:val="20"/>
      <w:szCs w:val="20"/>
    </w:rPr>
  </w:style>
  <w:style w:type="paragraph" w:styleId="TOC6">
    <w:name w:val="toc 6"/>
    <w:basedOn w:val="Normal"/>
    <w:next w:val="Normal"/>
    <w:autoRedefine/>
    <w:rsid w:val="00EB0545"/>
    <w:pPr>
      <w:pBdr>
        <w:between w:val="double" w:sz="6" w:space="0" w:color="auto"/>
      </w:pBdr>
      <w:ind w:left="960"/>
    </w:pPr>
    <w:rPr>
      <w:sz w:val="20"/>
      <w:szCs w:val="20"/>
    </w:rPr>
  </w:style>
  <w:style w:type="paragraph" w:styleId="TOC7">
    <w:name w:val="toc 7"/>
    <w:basedOn w:val="Normal"/>
    <w:next w:val="Normal"/>
    <w:autoRedefine/>
    <w:rsid w:val="00EB0545"/>
    <w:pPr>
      <w:pBdr>
        <w:between w:val="double" w:sz="6" w:space="0" w:color="auto"/>
      </w:pBdr>
      <w:ind w:left="1200"/>
    </w:pPr>
    <w:rPr>
      <w:sz w:val="20"/>
      <w:szCs w:val="20"/>
    </w:rPr>
  </w:style>
  <w:style w:type="paragraph" w:styleId="TOC8">
    <w:name w:val="toc 8"/>
    <w:basedOn w:val="Normal"/>
    <w:next w:val="Normal"/>
    <w:autoRedefine/>
    <w:rsid w:val="00EB0545"/>
    <w:pPr>
      <w:pBdr>
        <w:between w:val="double" w:sz="6" w:space="0" w:color="auto"/>
      </w:pBdr>
      <w:ind w:left="1440"/>
    </w:pPr>
    <w:rPr>
      <w:sz w:val="20"/>
      <w:szCs w:val="20"/>
    </w:rPr>
  </w:style>
  <w:style w:type="paragraph" w:styleId="TOC9">
    <w:name w:val="toc 9"/>
    <w:basedOn w:val="Normal"/>
    <w:next w:val="Normal"/>
    <w:autoRedefine/>
    <w:rsid w:val="00EB0545"/>
    <w:pPr>
      <w:pBdr>
        <w:between w:val="double" w:sz="6" w:space="0" w:color="auto"/>
      </w:pBdr>
      <w:ind w:left="1680"/>
    </w:pPr>
    <w:rPr>
      <w:sz w:val="20"/>
      <w:szCs w:val="20"/>
    </w:rPr>
  </w:style>
  <w:style w:type="paragraph" w:styleId="NormalWeb">
    <w:name w:val="Normal (Web)"/>
    <w:basedOn w:val="Normal"/>
    <w:uiPriority w:val="99"/>
    <w:unhideWhenUsed/>
    <w:rsid w:val="00EB0545"/>
    <w:pPr>
      <w:spacing w:before="100" w:beforeAutospacing="1" w:after="100" w:afterAutospacing="1"/>
    </w:pPr>
    <w:rPr>
      <w:rFonts w:ascii="Times" w:hAnsi="Times" w:cs="Times New Roman"/>
      <w:sz w:val="20"/>
      <w:szCs w:val="20"/>
    </w:rPr>
  </w:style>
  <w:style w:type="character" w:styleId="Strong">
    <w:name w:val="Strong"/>
    <w:basedOn w:val="DefaultParagraphFont"/>
    <w:uiPriority w:val="99"/>
    <w:qFormat/>
    <w:rsid w:val="00EB0545"/>
    <w:rPr>
      <w:rFonts w:cs="Times New Roman"/>
      <w:b/>
      <w:bCs/>
    </w:rPr>
  </w:style>
  <w:style w:type="paragraph" w:styleId="Title">
    <w:name w:val="Title"/>
    <w:basedOn w:val="Normal"/>
    <w:next w:val="Normal"/>
    <w:link w:val="TitleChar"/>
    <w:uiPriority w:val="99"/>
    <w:qFormat/>
    <w:rsid w:val="00EB0545"/>
    <w:pPr>
      <w:spacing w:before="240" w:after="60"/>
      <w:jc w:val="center"/>
      <w:outlineLvl w:val="0"/>
    </w:pPr>
    <w:rPr>
      <w:rFonts w:ascii="Calibri" w:eastAsia="MS Gothi" w:hAnsi="Calibri" w:cs="Times New Roman"/>
      <w:b/>
      <w:bCs/>
      <w:kern w:val="28"/>
      <w:sz w:val="32"/>
      <w:szCs w:val="32"/>
      <w:lang w:eastAsia="en-GB"/>
    </w:rPr>
  </w:style>
  <w:style w:type="character" w:customStyle="1" w:styleId="TitleChar">
    <w:name w:val="Title Char"/>
    <w:basedOn w:val="DefaultParagraphFont"/>
    <w:link w:val="Title"/>
    <w:uiPriority w:val="99"/>
    <w:rsid w:val="00EB0545"/>
    <w:rPr>
      <w:rFonts w:ascii="Calibri" w:eastAsia="MS Gothi" w:hAnsi="Calibri" w:cs="Times New Roman"/>
      <w:b/>
      <w:bCs/>
      <w:kern w:val="28"/>
      <w:sz w:val="32"/>
      <w:szCs w:val="32"/>
      <w:lang w:val="en-GB" w:eastAsia="en-GB"/>
    </w:rPr>
  </w:style>
  <w:style w:type="character" w:styleId="FollowedHyperlink">
    <w:name w:val="FollowedHyperlink"/>
    <w:basedOn w:val="DefaultParagraphFont"/>
    <w:uiPriority w:val="99"/>
    <w:rsid w:val="00EB0545"/>
    <w:rPr>
      <w:color w:val="800080" w:themeColor="followedHyperlink"/>
      <w:u w:val="single"/>
    </w:rPr>
  </w:style>
  <w:style w:type="character" w:styleId="LineNumber">
    <w:name w:val="line number"/>
    <w:basedOn w:val="DefaultParagraphFont"/>
    <w:uiPriority w:val="99"/>
    <w:rsid w:val="00EB0545"/>
  </w:style>
  <w:style w:type="character" w:customStyle="1" w:styleId="apple-converted-space">
    <w:name w:val="apple-converted-space"/>
    <w:basedOn w:val="DefaultParagraphFont"/>
    <w:rsid w:val="00EB0545"/>
  </w:style>
  <w:style w:type="paragraph" w:styleId="Header">
    <w:name w:val="header"/>
    <w:basedOn w:val="Normal"/>
    <w:link w:val="HeaderChar"/>
    <w:uiPriority w:val="99"/>
    <w:rsid w:val="00EB0545"/>
    <w:pPr>
      <w:tabs>
        <w:tab w:val="center" w:pos="4320"/>
        <w:tab w:val="right" w:pos="8640"/>
      </w:tabs>
    </w:pPr>
    <w:rPr>
      <w:rFonts w:ascii="Times New Roman" w:eastAsia="Times New Roman" w:hAnsi="Times New Roman" w:cs="Times New Roman"/>
      <w:lang w:eastAsia="en-GB"/>
    </w:rPr>
  </w:style>
  <w:style w:type="character" w:customStyle="1" w:styleId="HeaderChar">
    <w:name w:val="Header Char"/>
    <w:basedOn w:val="DefaultParagraphFont"/>
    <w:link w:val="Header"/>
    <w:uiPriority w:val="99"/>
    <w:rsid w:val="00EB0545"/>
    <w:rPr>
      <w:rFonts w:ascii="Times New Roman" w:eastAsia="Times New Roman" w:hAnsi="Times New Roman" w:cs="Times New Roman"/>
      <w:lang w:val="en-GB" w:eastAsia="en-GB"/>
    </w:rPr>
  </w:style>
  <w:style w:type="table" w:styleId="TableGrid">
    <w:name w:val="Table Grid"/>
    <w:basedOn w:val="TableNormal"/>
    <w:uiPriority w:val="59"/>
    <w:rsid w:val="008954C5"/>
    <w:rPr>
      <w:rFonts w:ascii="Times New Roman" w:eastAsia="Times New Roman" w:hAnsi="Times New Roman" w:cs="Times New Roman"/>
      <w:sz w:val="20"/>
      <w:szCs w:val="20"/>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link w:val="SubtitleChar"/>
    <w:uiPriority w:val="99"/>
    <w:qFormat/>
    <w:rsid w:val="008954C5"/>
    <w:pPr>
      <w:spacing w:after="60"/>
      <w:jc w:val="center"/>
      <w:outlineLvl w:val="1"/>
    </w:pPr>
    <w:rPr>
      <w:rFonts w:ascii="Calibri" w:eastAsia="MS Gothi" w:hAnsi="Calibri" w:cs="Times New Roman"/>
      <w:lang w:eastAsia="en-GB"/>
    </w:rPr>
  </w:style>
  <w:style w:type="character" w:customStyle="1" w:styleId="SubtitleChar">
    <w:name w:val="Subtitle Char"/>
    <w:basedOn w:val="DefaultParagraphFont"/>
    <w:link w:val="Subtitle"/>
    <w:uiPriority w:val="99"/>
    <w:rsid w:val="008954C5"/>
    <w:rPr>
      <w:rFonts w:ascii="Calibri" w:eastAsia="MS Gothi" w:hAnsi="Calibri" w:cs="Times New Roman"/>
      <w:lang w:val="en-GB" w:eastAsia="en-GB"/>
    </w:rPr>
  </w:style>
  <w:style w:type="character" w:styleId="IntenseReference">
    <w:name w:val="Intense Reference"/>
    <w:basedOn w:val="DefaultParagraphFont"/>
    <w:uiPriority w:val="32"/>
    <w:qFormat/>
    <w:rsid w:val="008954C5"/>
    <w:rPr>
      <w:b/>
      <w:bCs/>
      <w:smallCaps/>
      <w:color w:val="C0504D" w:themeColor="accent2"/>
      <w:spacing w:val="5"/>
      <w:u w:val="single"/>
    </w:rPr>
  </w:style>
  <w:style w:type="table" w:styleId="LightShading-Accent1">
    <w:name w:val="Light Shading Accent 1"/>
    <w:basedOn w:val="TableNormal"/>
    <w:uiPriority w:val="60"/>
    <w:rsid w:val="008954C5"/>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PlaceholderText">
    <w:name w:val="Placeholder Text"/>
    <w:basedOn w:val="DefaultParagraphFont"/>
    <w:uiPriority w:val="99"/>
    <w:semiHidden/>
    <w:rsid w:val="008954C5"/>
    <w:rPr>
      <w:color w:val="808080"/>
    </w:rPr>
  </w:style>
  <w:style w:type="paragraph" w:styleId="Revision">
    <w:name w:val="Revision"/>
    <w:hidden/>
    <w:uiPriority w:val="99"/>
    <w:semiHidden/>
    <w:rsid w:val="008954C5"/>
    <w:rPr>
      <w:rFonts w:ascii="Times New Roman" w:eastAsia="Times New Roman" w:hAnsi="Times New Roman" w:cs="Times New Roman"/>
      <w:lang w:val="en-GB" w:eastAsia="en-GB"/>
    </w:rPr>
  </w:style>
  <w:style w:type="character" w:customStyle="1" w:styleId="Heading2Char">
    <w:name w:val="Heading 2 Char"/>
    <w:basedOn w:val="DefaultParagraphFont"/>
    <w:link w:val="Heading2"/>
    <w:uiPriority w:val="9"/>
    <w:rsid w:val="000A6E7F"/>
    <w:rPr>
      <w:rFonts w:asciiTheme="majorHAnsi" w:eastAsiaTheme="majorEastAsia" w:hAnsiTheme="majorHAnsi" w:cstheme="majorBidi"/>
      <w:b/>
      <w:bCs/>
      <w:color w:val="4F81BD" w:themeColor="accent1"/>
      <w:sz w:val="26"/>
      <w:szCs w:val="26"/>
      <w:lang w:val="en-GB"/>
    </w:rPr>
  </w:style>
  <w:style w:type="paragraph" w:customStyle="1" w:styleId="xl63">
    <w:name w:val="xl63"/>
    <w:basedOn w:val="Normal"/>
    <w:rsid w:val="00F26016"/>
    <w:pPr>
      <w:spacing w:before="100" w:beforeAutospacing="1" w:after="100" w:afterAutospacing="1"/>
      <w:jc w:val="center"/>
      <w:textAlignment w:val="top"/>
    </w:pPr>
    <w:rPr>
      <w:rFonts w:ascii="Times" w:hAnsi="Times"/>
      <w:sz w:val="20"/>
      <w:szCs w:val="20"/>
    </w:rPr>
  </w:style>
  <w:style w:type="paragraph" w:customStyle="1" w:styleId="xl65">
    <w:name w:val="xl65"/>
    <w:basedOn w:val="Normal"/>
    <w:rsid w:val="00F26016"/>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rFonts w:ascii="Calibri" w:hAnsi="Calibri"/>
      <w:b/>
      <w:bCs/>
      <w:sz w:val="16"/>
      <w:szCs w:val="16"/>
    </w:rPr>
  </w:style>
  <w:style w:type="paragraph" w:customStyle="1" w:styleId="xl66">
    <w:name w:val="xl66"/>
    <w:basedOn w:val="Normal"/>
    <w:rsid w:val="00F26016"/>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pPr>
    <w:rPr>
      <w:rFonts w:ascii="Calibri" w:hAnsi="Calibri"/>
      <w:b/>
      <w:bCs/>
      <w:sz w:val="16"/>
      <w:szCs w:val="16"/>
    </w:rPr>
  </w:style>
  <w:style w:type="paragraph" w:customStyle="1" w:styleId="xl67">
    <w:name w:val="xl67"/>
    <w:basedOn w:val="Normal"/>
    <w:rsid w:val="00F26016"/>
    <w:pPr>
      <w:pBdr>
        <w:left w:val="single" w:sz="8" w:space="0" w:color="auto"/>
        <w:bottom w:val="single" w:sz="8" w:space="0" w:color="auto"/>
      </w:pBdr>
      <w:shd w:val="clear" w:color="000000" w:fill="C5D9F1"/>
      <w:spacing w:before="100" w:beforeAutospacing="1" w:after="100" w:afterAutospacing="1"/>
      <w:jc w:val="center"/>
      <w:textAlignment w:val="top"/>
    </w:pPr>
    <w:rPr>
      <w:rFonts w:ascii="Calibri" w:hAnsi="Calibri"/>
      <w:b/>
      <w:bCs/>
      <w:sz w:val="16"/>
      <w:szCs w:val="16"/>
    </w:rPr>
  </w:style>
  <w:style w:type="paragraph" w:customStyle="1" w:styleId="xl68">
    <w:name w:val="xl68"/>
    <w:basedOn w:val="Normal"/>
    <w:rsid w:val="00F26016"/>
    <w:pPr>
      <w:pBdr>
        <w:bottom w:val="single" w:sz="8" w:space="0" w:color="auto"/>
      </w:pBdr>
      <w:shd w:val="clear" w:color="000000" w:fill="C5D9F1"/>
      <w:spacing w:before="100" w:beforeAutospacing="1" w:after="100" w:afterAutospacing="1"/>
      <w:jc w:val="center"/>
      <w:textAlignment w:val="top"/>
    </w:pPr>
    <w:rPr>
      <w:rFonts w:ascii="Calibri" w:hAnsi="Calibri"/>
      <w:b/>
      <w:bCs/>
      <w:sz w:val="16"/>
      <w:szCs w:val="16"/>
    </w:rPr>
  </w:style>
  <w:style w:type="paragraph" w:customStyle="1" w:styleId="xl69">
    <w:name w:val="xl69"/>
    <w:basedOn w:val="Normal"/>
    <w:rsid w:val="00F26016"/>
    <w:pPr>
      <w:spacing w:before="100" w:beforeAutospacing="1" w:after="100" w:afterAutospacing="1"/>
      <w:jc w:val="center"/>
      <w:textAlignment w:val="top"/>
    </w:pPr>
    <w:rPr>
      <w:rFonts w:ascii="Calibri" w:hAnsi="Calibri"/>
      <w:sz w:val="16"/>
      <w:szCs w:val="16"/>
    </w:rPr>
  </w:style>
  <w:style w:type="paragraph" w:customStyle="1" w:styleId="xl70">
    <w:name w:val="xl70"/>
    <w:basedOn w:val="Normal"/>
    <w:rsid w:val="00F26016"/>
    <w:pPr>
      <w:spacing w:before="100" w:beforeAutospacing="1" w:after="100" w:afterAutospacing="1"/>
    </w:pPr>
    <w:rPr>
      <w:rFonts w:ascii="Calibri" w:hAnsi="Calibri"/>
      <w:sz w:val="16"/>
      <w:szCs w:val="16"/>
    </w:rPr>
  </w:style>
  <w:style w:type="paragraph" w:customStyle="1" w:styleId="xl71">
    <w:name w:val="xl71"/>
    <w:basedOn w:val="Normal"/>
    <w:rsid w:val="00F26016"/>
    <w:pPr>
      <w:pBdr>
        <w:left w:val="single" w:sz="4" w:space="0" w:color="auto"/>
        <w:bottom w:val="single" w:sz="8" w:space="0" w:color="auto"/>
        <w:right w:val="single" w:sz="4" w:space="0" w:color="auto"/>
      </w:pBdr>
      <w:shd w:val="clear" w:color="000000" w:fill="C5D9F1"/>
      <w:spacing w:before="100" w:beforeAutospacing="1" w:after="100" w:afterAutospacing="1"/>
      <w:jc w:val="center"/>
      <w:textAlignment w:val="center"/>
    </w:pPr>
    <w:rPr>
      <w:rFonts w:ascii="Calibri" w:hAnsi="Calibri"/>
      <w:b/>
      <w:bCs/>
      <w:sz w:val="14"/>
      <w:szCs w:val="14"/>
    </w:rPr>
  </w:style>
  <w:style w:type="paragraph" w:customStyle="1" w:styleId="xl72">
    <w:name w:val="xl72"/>
    <w:basedOn w:val="Normal"/>
    <w:rsid w:val="00F26016"/>
    <w:pPr>
      <w:pBdr>
        <w:bottom w:val="single" w:sz="8" w:space="0" w:color="auto"/>
      </w:pBdr>
      <w:shd w:val="clear" w:color="000000" w:fill="C5D9F1"/>
      <w:spacing w:before="100" w:beforeAutospacing="1" w:after="100" w:afterAutospacing="1"/>
      <w:jc w:val="center"/>
      <w:textAlignment w:val="center"/>
    </w:pPr>
    <w:rPr>
      <w:rFonts w:ascii="Calibri" w:hAnsi="Calibri"/>
      <w:b/>
      <w:bCs/>
      <w:sz w:val="14"/>
      <w:szCs w:val="14"/>
    </w:rPr>
  </w:style>
  <w:style w:type="paragraph" w:customStyle="1" w:styleId="xl73">
    <w:name w:val="xl73"/>
    <w:basedOn w:val="Normal"/>
    <w:rsid w:val="00F26016"/>
    <w:pPr>
      <w:pBdr>
        <w:left w:val="single" w:sz="4" w:space="0" w:color="auto"/>
        <w:bottom w:val="single" w:sz="8" w:space="0" w:color="auto"/>
        <w:right w:val="single" w:sz="8" w:space="0" w:color="auto"/>
      </w:pBdr>
      <w:shd w:val="clear" w:color="000000" w:fill="C5D9F1"/>
      <w:spacing w:before="100" w:beforeAutospacing="1" w:after="100" w:afterAutospacing="1"/>
      <w:jc w:val="center"/>
      <w:textAlignment w:val="center"/>
    </w:pPr>
    <w:rPr>
      <w:rFonts w:ascii="Calibri" w:hAnsi="Calibri"/>
      <w:b/>
      <w:bCs/>
      <w:sz w:val="14"/>
      <w:szCs w:val="14"/>
    </w:rPr>
  </w:style>
  <w:style w:type="paragraph" w:customStyle="1" w:styleId="xl74">
    <w:name w:val="xl74"/>
    <w:basedOn w:val="Normal"/>
    <w:rsid w:val="00F26016"/>
    <w:pPr>
      <w:pBdr>
        <w:left w:val="single" w:sz="4" w:space="0" w:color="auto"/>
        <w:bottom w:val="single" w:sz="8" w:space="0" w:color="auto"/>
        <w:right w:val="single" w:sz="4" w:space="0" w:color="auto"/>
      </w:pBdr>
      <w:shd w:val="clear" w:color="000000" w:fill="C5D9F1"/>
      <w:spacing w:before="100" w:beforeAutospacing="1" w:after="100" w:afterAutospacing="1"/>
      <w:jc w:val="center"/>
      <w:textAlignment w:val="center"/>
    </w:pPr>
    <w:rPr>
      <w:rFonts w:ascii="Calibri" w:hAnsi="Calibri"/>
      <w:b/>
      <w:bCs/>
      <w:sz w:val="14"/>
      <w:szCs w:val="14"/>
    </w:rPr>
  </w:style>
  <w:style w:type="paragraph" w:styleId="DocumentMap">
    <w:name w:val="Document Map"/>
    <w:basedOn w:val="Normal"/>
    <w:link w:val="DocumentMapChar"/>
    <w:uiPriority w:val="99"/>
    <w:semiHidden/>
    <w:unhideWhenUsed/>
    <w:rsid w:val="001F4409"/>
    <w:rPr>
      <w:rFonts w:ascii="Lucida Grande" w:hAnsi="Lucida Grande" w:cs="Lucida Grande"/>
    </w:rPr>
  </w:style>
  <w:style w:type="character" w:customStyle="1" w:styleId="DocumentMapChar">
    <w:name w:val="Document Map Char"/>
    <w:basedOn w:val="DefaultParagraphFont"/>
    <w:link w:val="DocumentMap"/>
    <w:uiPriority w:val="99"/>
    <w:semiHidden/>
    <w:rsid w:val="001F4409"/>
    <w:rPr>
      <w:rFonts w:ascii="Lucida Grande" w:hAnsi="Lucida Grande" w:cs="Lucida Grande"/>
      <w:lang w:val="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caption" w:uiPriority="35" w:qFormat="1"/>
    <w:lsdException w:name="Title" w:semiHidden="0" w:unhideWhenUsed="0" w:qFormat="1"/>
    <w:lsdException w:name="Default Paragraph Font" w:uiPriority="1"/>
    <w:lsdException w:name="Subtitle" w:semiHidden="0"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paragraph" w:styleId="Heading1">
    <w:name w:val="heading 1"/>
    <w:basedOn w:val="Normal"/>
    <w:next w:val="Normal"/>
    <w:link w:val="Heading1Char"/>
    <w:uiPriority w:val="99"/>
    <w:qFormat/>
    <w:rsid w:val="00EB0545"/>
    <w:pPr>
      <w:keepNext/>
      <w:keepLines/>
      <w:spacing w:before="480"/>
      <w:outlineLvl w:val="0"/>
    </w:pPr>
    <w:rPr>
      <w:rFonts w:asciiTheme="majorHAnsi" w:eastAsiaTheme="majorEastAsia" w:hAnsiTheme="majorHAnsi" w:cstheme="majorBidi"/>
      <w:b/>
      <w:bCs/>
      <w:color w:val="345A8A" w:themeColor="accent1" w:themeShade="B5"/>
      <w:sz w:val="32"/>
      <w:szCs w:val="32"/>
      <w:lang w:eastAsia="en-GB"/>
    </w:rPr>
  </w:style>
  <w:style w:type="paragraph" w:styleId="Heading2">
    <w:name w:val="heading 2"/>
    <w:basedOn w:val="Normal"/>
    <w:next w:val="Normal"/>
    <w:link w:val="Heading2Char"/>
    <w:uiPriority w:val="9"/>
    <w:unhideWhenUsed/>
    <w:qFormat/>
    <w:rsid w:val="000A6E7F"/>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0545"/>
    <w:rPr>
      <w:rFonts w:asciiTheme="majorHAnsi" w:eastAsiaTheme="majorEastAsia" w:hAnsiTheme="majorHAnsi" w:cstheme="majorBidi"/>
      <w:b/>
      <w:bCs/>
      <w:color w:val="345A8A" w:themeColor="accent1" w:themeShade="B5"/>
      <w:sz w:val="32"/>
      <w:szCs w:val="32"/>
      <w:lang w:val="en-GB" w:eastAsia="en-GB"/>
    </w:rPr>
  </w:style>
  <w:style w:type="paragraph" w:styleId="ListParagraph">
    <w:name w:val="List Paragraph"/>
    <w:basedOn w:val="Normal"/>
    <w:uiPriority w:val="34"/>
    <w:qFormat/>
    <w:rsid w:val="00707E0D"/>
    <w:pPr>
      <w:ind w:left="720"/>
      <w:contextualSpacing/>
    </w:pPr>
  </w:style>
  <w:style w:type="paragraph" w:styleId="BalloonText">
    <w:name w:val="Balloon Text"/>
    <w:basedOn w:val="Normal"/>
    <w:link w:val="BalloonTextChar"/>
    <w:uiPriority w:val="99"/>
    <w:unhideWhenUsed/>
    <w:rsid w:val="00391E51"/>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391E51"/>
    <w:rPr>
      <w:rFonts w:ascii="Lucida Grande" w:hAnsi="Lucida Grande" w:cs="Lucida Grande"/>
      <w:sz w:val="18"/>
      <w:szCs w:val="18"/>
      <w:lang w:val="en-GB"/>
    </w:rPr>
  </w:style>
  <w:style w:type="character" w:styleId="Hyperlink">
    <w:name w:val="Hyperlink"/>
    <w:basedOn w:val="DefaultParagraphFont"/>
    <w:uiPriority w:val="99"/>
    <w:unhideWhenUsed/>
    <w:rsid w:val="00EB0545"/>
    <w:rPr>
      <w:color w:val="0000FF" w:themeColor="hyperlink"/>
      <w:u w:val="single"/>
    </w:rPr>
  </w:style>
  <w:style w:type="character" w:styleId="CommentReference">
    <w:name w:val="annotation reference"/>
    <w:basedOn w:val="DefaultParagraphFont"/>
    <w:uiPriority w:val="99"/>
    <w:unhideWhenUsed/>
    <w:rsid w:val="00EB0545"/>
    <w:rPr>
      <w:sz w:val="18"/>
      <w:szCs w:val="18"/>
    </w:rPr>
  </w:style>
  <w:style w:type="paragraph" w:styleId="CommentText">
    <w:name w:val="annotation text"/>
    <w:basedOn w:val="Normal"/>
    <w:link w:val="CommentTextChar"/>
    <w:uiPriority w:val="99"/>
    <w:unhideWhenUsed/>
    <w:rsid w:val="00EB0545"/>
  </w:style>
  <w:style w:type="character" w:customStyle="1" w:styleId="CommentTextChar">
    <w:name w:val="Comment Text Char"/>
    <w:basedOn w:val="DefaultParagraphFont"/>
    <w:link w:val="CommentText"/>
    <w:uiPriority w:val="99"/>
    <w:rsid w:val="00EB0545"/>
    <w:rPr>
      <w:lang w:val="en-GB"/>
    </w:rPr>
  </w:style>
  <w:style w:type="paragraph" w:styleId="CommentSubject">
    <w:name w:val="annotation subject"/>
    <w:basedOn w:val="CommentText"/>
    <w:next w:val="CommentText"/>
    <w:link w:val="CommentSubjectChar"/>
    <w:uiPriority w:val="99"/>
    <w:unhideWhenUsed/>
    <w:rsid w:val="00EB0545"/>
    <w:rPr>
      <w:b/>
      <w:bCs/>
      <w:sz w:val="20"/>
      <w:szCs w:val="20"/>
    </w:rPr>
  </w:style>
  <w:style w:type="character" w:customStyle="1" w:styleId="CommentSubjectChar">
    <w:name w:val="Comment Subject Char"/>
    <w:basedOn w:val="CommentTextChar"/>
    <w:link w:val="CommentSubject"/>
    <w:uiPriority w:val="99"/>
    <w:rsid w:val="00EB0545"/>
    <w:rPr>
      <w:b/>
      <w:bCs/>
      <w:sz w:val="20"/>
      <w:szCs w:val="20"/>
      <w:lang w:val="en-GB"/>
    </w:rPr>
  </w:style>
  <w:style w:type="paragraph" w:styleId="Footer">
    <w:name w:val="footer"/>
    <w:basedOn w:val="Normal"/>
    <w:link w:val="FooterChar"/>
    <w:uiPriority w:val="99"/>
    <w:unhideWhenUsed/>
    <w:rsid w:val="00EB0545"/>
    <w:pPr>
      <w:tabs>
        <w:tab w:val="center" w:pos="4320"/>
        <w:tab w:val="right" w:pos="8640"/>
      </w:tabs>
    </w:pPr>
  </w:style>
  <w:style w:type="character" w:customStyle="1" w:styleId="FooterChar">
    <w:name w:val="Footer Char"/>
    <w:basedOn w:val="DefaultParagraphFont"/>
    <w:link w:val="Footer"/>
    <w:uiPriority w:val="99"/>
    <w:rsid w:val="00EB0545"/>
    <w:rPr>
      <w:lang w:val="en-GB"/>
    </w:rPr>
  </w:style>
  <w:style w:type="character" w:styleId="PageNumber">
    <w:name w:val="page number"/>
    <w:basedOn w:val="DefaultParagraphFont"/>
    <w:uiPriority w:val="99"/>
    <w:unhideWhenUsed/>
    <w:rsid w:val="00EB0545"/>
  </w:style>
  <w:style w:type="paragraph" w:styleId="TOCHeading">
    <w:name w:val="TOC Heading"/>
    <w:basedOn w:val="Heading1"/>
    <w:next w:val="Normal"/>
    <w:uiPriority w:val="39"/>
    <w:unhideWhenUsed/>
    <w:qFormat/>
    <w:rsid w:val="00EB0545"/>
    <w:pPr>
      <w:spacing w:line="276" w:lineRule="auto"/>
      <w:outlineLvl w:val="9"/>
    </w:pPr>
    <w:rPr>
      <w:color w:val="365F91" w:themeColor="accent1" w:themeShade="BF"/>
      <w:sz w:val="28"/>
      <w:szCs w:val="28"/>
      <w:lang w:val="en-US" w:eastAsia="en-US"/>
    </w:rPr>
  </w:style>
  <w:style w:type="paragraph" w:styleId="TOC1">
    <w:name w:val="toc 1"/>
    <w:basedOn w:val="Normal"/>
    <w:next w:val="Normal"/>
    <w:autoRedefine/>
    <w:uiPriority w:val="39"/>
    <w:rsid w:val="00531789"/>
    <w:pPr>
      <w:tabs>
        <w:tab w:val="right" w:leader="dot" w:pos="8210"/>
      </w:tabs>
      <w:spacing w:before="120" w:line="360" w:lineRule="auto"/>
    </w:pPr>
    <w:rPr>
      <w:rFonts w:asciiTheme="majorHAnsi" w:hAnsiTheme="majorHAnsi"/>
      <w:b/>
      <w:color w:val="548DD4"/>
    </w:rPr>
  </w:style>
  <w:style w:type="paragraph" w:styleId="TOC2">
    <w:name w:val="toc 2"/>
    <w:basedOn w:val="Normal"/>
    <w:next w:val="Normal"/>
    <w:autoRedefine/>
    <w:uiPriority w:val="39"/>
    <w:rsid w:val="006C2303"/>
    <w:pPr>
      <w:tabs>
        <w:tab w:val="right" w:leader="dot" w:pos="8210"/>
      </w:tabs>
      <w:spacing w:line="360" w:lineRule="auto"/>
    </w:pPr>
    <w:rPr>
      <w:sz w:val="22"/>
      <w:szCs w:val="22"/>
    </w:rPr>
  </w:style>
  <w:style w:type="paragraph" w:styleId="TOC3">
    <w:name w:val="toc 3"/>
    <w:basedOn w:val="Normal"/>
    <w:next w:val="Normal"/>
    <w:autoRedefine/>
    <w:rsid w:val="00EB0545"/>
    <w:pPr>
      <w:ind w:left="240"/>
    </w:pPr>
    <w:rPr>
      <w:i/>
      <w:sz w:val="22"/>
      <w:szCs w:val="22"/>
    </w:rPr>
  </w:style>
  <w:style w:type="paragraph" w:styleId="TOC4">
    <w:name w:val="toc 4"/>
    <w:basedOn w:val="Normal"/>
    <w:next w:val="Normal"/>
    <w:autoRedefine/>
    <w:rsid w:val="00EB0545"/>
    <w:pPr>
      <w:pBdr>
        <w:between w:val="double" w:sz="6" w:space="0" w:color="auto"/>
      </w:pBdr>
      <w:ind w:left="480"/>
    </w:pPr>
    <w:rPr>
      <w:sz w:val="20"/>
      <w:szCs w:val="20"/>
    </w:rPr>
  </w:style>
  <w:style w:type="paragraph" w:styleId="TOC5">
    <w:name w:val="toc 5"/>
    <w:basedOn w:val="Normal"/>
    <w:next w:val="Normal"/>
    <w:autoRedefine/>
    <w:rsid w:val="00EB0545"/>
    <w:pPr>
      <w:pBdr>
        <w:between w:val="double" w:sz="6" w:space="0" w:color="auto"/>
      </w:pBdr>
      <w:ind w:left="720"/>
    </w:pPr>
    <w:rPr>
      <w:sz w:val="20"/>
      <w:szCs w:val="20"/>
    </w:rPr>
  </w:style>
  <w:style w:type="paragraph" w:styleId="TOC6">
    <w:name w:val="toc 6"/>
    <w:basedOn w:val="Normal"/>
    <w:next w:val="Normal"/>
    <w:autoRedefine/>
    <w:rsid w:val="00EB0545"/>
    <w:pPr>
      <w:pBdr>
        <w:between w:val="double" w:sz="6" w:space="0" w:color="auto"/>
      </w:pBdr>
      <w:ind w:left="960"/>
    </w:pPr>
    <w:rPr>
      <w:sz w:val="20"/>
      <w:szCs w:val="20"/>
    </w:rPr>
  </w:style>
  <w:style w:type="paragraph" w:styleId="TOC7">
    <w:name w:val="toc 7"/>
    <w:basedOn w:val="Normal"/>
    <w:next w:val="Normal"/>
    <w:autoRedefine/>
    <w:rsid w:val="00EB0545"/>
    <w:pPr>
      <w:pBdr>
        <w:between w:val="double" w:sz="6" w:space="0" w:color="auto"/>
      </w:pBdr>
      <w:ind w:left="1200"/>
    </w:pPr>
    <w:rPr>
      <w:sz w:val="20"/>
      <w:szCs w:val="20"/>
    </w:rPr>
  </w:style>
  <w:style w:type="paragraph" w:styleId="TOC8">
    <w:name w:val="toc 8"/>
    <w:basedOn w:val="Normal"/>
    <w:next w:val="Normal"/>
    <w:autoRedefine/>
    <w:rsid w:val="00EB0545"/>
    <w:pPr>
      <w:pBdr>
        <w:between w:val="double" w:sz="6" w:space="0" w:color="auto"/>
      </w:pBdr>
      <w:ind w:left="1440"/>
    </w:pPr>
    <w:rPr>
      <w:sz w:val="20"/>
      <w:szCs w:val="20"/>
    </w:rPr>
  </w:style>
  <w:style w:type="paragraph" w:styleId="TOC9">
    <w:name w:val="toc 9"/>
    <w:basedOn w:val="Normal"/>
    <w:next w:val="Normal"/>
    <w:autoRedefine/>
    <w:rsid w:val="00EB0545"/>
    <w:pPr>
      <w:pBdr>
        <w:between w:val="double" w:sz="6" w:space="0" w:color="auto"/>
      </w:pBdr>
      <w:ind w:left="1680"/>
    </w:pPr>
    <w:rPr>
      <w:sz w:val="20"/>
      <w:szCs w:val="20"/>
    </w:rPr>
  </w:style>
  <w:style w:type="paragraph" w:styleId="NormalWeb">
    <w:name w:val="Normal (Web)"/>
    <w:basedOn w:val="Normal"/>
    <w:uiPriority w:val="99"/>
    <w:unhideWhenUsed/>
    <w:rsid w:val="00EB0545"/>
    <w:pPr>
      <w:spacing w:before="100" w:beforeAutospacing="1" w:after="100" w:afterAutospacing="1"/>
    </w:pPr>
    <w:rPr>
      <w:rFonts w:ascii="Times" w:hAnsi="Times" w:cs="Times New Roman"/>
      <w:sz w:val="20"/>
      <w:szCs w:val="20"/>
    </w:rPr>
  </w:style>
  <w:style w:type="character" w:styleId="Strong">
    <w:name w:val="Strong"/>
    <w:basedOn w:val="DefaultParagraphFont"/>
    <w:uiPriority w:val="99"/>
    <w:qFormat/>
    <w:rsid w:val="00EB0545"/>
    <w:rPr>
      <w:rFonts w:cs="Times New Roman"/>
      <w:b/>
      <w:bCs/>
    </w:rPr>
  </w:style>
  <w:style w:type="paragraph" w:styleId="Title">
    <w:name w:val="Title"/>
    <w:basedOn w:val="Normal"/>
    <w:next w:val="Normal"/>
    <w:link w:val="TitleChar"/>
    <w:uiPriority w:val="99"/>
    <w:qFormat/>
    <w:rsid w:val="00EB0545"/>
    <w:pPr>
      <w:spacing w:before="240" w:after="60"/>
      <w:jc w:val="center"/>
      <w:outlineLvl w:val="0"/>
    </w:pPr>
    <w:rPr>
      <w:rFonts w:ascii="Calibri" w:eastAsia="MS Gothi" w:hAnsi="Calibri" w:cs="Times New Roman"/>
      <w:b/>
      <w:bCs/>
      <w:kern w:val="28"/>
      <w:sz w:val="32"/>
      <w:szCs w:val="32"/>
      <w:lang w:eastAsia="en-GB"/>
    </w:rPr>
  </w:style>
  <w:style w:type="character" w:customStyle="1" w:styleId="TitleChar">
    <w:name w:val="Title Char"/>
    <w:basedOn w:val="DefaultParagraphFont"/>
    <w:link w:val="Title"/>
    <w:uiPriority w:val="99"/>
    <w:rsid w:val="00EB0545"/>
    <w:rPr>
      <w:rFonts w:ascii="Calibri" w:eastAsia="MS Gothi" w:hAnsi="Calibri" w:cs="Times New Roman"/>
      <w:b/>
      <w:bCs/>
      <w:kern w:val="28"/>
      <w:sz w:val="32"/>
      <w:szCs w:val="32"/>
      <w:lang w:val="en-GB" w:eastAsia="en-GB"/>
    </w:rPr>
  </w:style>
  <w:style w:type="character" w:styleId="FollowedHyperlink">
    <w:name w:val="FollowedHyperlink"/>
    <w:basedOn w:val="DefaultParagraphFont"/>
    <w:uiPriority w:val="99"/>
    <w:rsid w:val="00EB0545"/>
    <w:rPr>
      <w:color w:val="800080" w:themeColor="followedHyperlink"/>
      <w:u w:val="single"/>
    </w:rPr>
  </w:style>
  <w:style w:type="character" w:styleId="LineNumber">
    <w:name w:val="line number"/>
    <w:basedOn w:val="DefaultParagraphFont"/>
    <w:uiPriority w:val="99"/>
    <w:rsid w:val="00EB0545"/>
  </w:style>
  <w:style w:type="character" w:customStyle="1" w:styleId="apple-converted-space">
    <w:name w:val="apple-converted-space"/>
    <w:basedOn w:val="DefaultParagraphFont"/>
    <w:rsid w:val="00EB0545"/>
  </w:style>
  <w:style w:type="paragraph" w:styleId="Header">
    <w:name w:val="header"/>
    <w:basedOn w:val="Normal"/>
    <w:link w:val="HeaderChar"/>
    <w:uiPriority w:val="99"/>
    <w:rsid w:val="00EB0545"/>
    <w:pPr>
      <w:tabs>
        <w:tab w:val="center" w:pos="4320"/>
        <w:tab w:val="right" w:pos="8640"/>
      </w:tabs>
    </w:pPr>
    <w:rPr>
      <w:rFonts w:ascii="Times New Roman" w:eastAsia="Times New Roman" w:hAnsi="Times New Roman" w:cs="Times New Roman"/>
      <w:lang w:eastAsia="en-GB"/>
    </w:rPr>
  </w:style>
  <w:style w:type="character" w:customStyle="1" w:styleId="HeaderChar">
    <w:name w:val="Header Char"/>
    <w:basedOn w:val="DefaultParagraphFont"/>
    <w:link w:val="Header"/>
    <w:uiPriority w:val="99"/>
    <w:rsid w:val="00EB0545"/>
    <w:rPr>
      <w:rFonts w:ascii="Times New Roman" w:eastAsia="Times New Roman" w:hAnsi="Times New Roman" w:cs="Times New Roman"/>
      <w:lang w:val="en-GB" w:eastAsia="en-GB"/>
    </w:rPr>
  </w:style>
  <w:style w:type="table" w:styleId="TableGrid">
    <w:name w:val="Table Grid"/>
    <w:basedOn w:val="TableNormal"/>
    <w:uiPriority w:val="59"/>
    <w:rsid w:val="008954C5"/>
    <w:rPr>
      <w:rFonts w:ascii="Times New Roman" w:eastAsia="Times New Roman" w:hAnsi="Times New Roman" w:cs="Times New Roman"/>
      <w:sz w:val="20"/>
      <w:szCs w:val="20"/>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link w:val="SubtitleChar"/>
    <w:uiPriority w:val="99"/>
    <w:qFormat/>
    <w:rsid w:val="008954C5"/>
    <w:pPr>
      <w:spacing w:after="60"/>
      <w:jc w:val="center"/>
      <w:outlineLvl w:val="1"/>
    </w:pPr>
    <w:rPr>
      <w:rFonts w:ascii="Calibri" w:eastAsia="MS Gothi" w:hAnsi="Calibri" w:cs="Times New Roman"/>
      <w:lang w:eastAsia="en-GB"/>
    </w:rPr>
  </w:style>
  <w:style w:type="character" w:customStyle="1" w:styleId="SubtitleChar">
    <w:name w:val="Subtitle Char"/>
    <w:basedOn w:val="DefaultParagraphFont"/>
    <w:link w:val="Subtitle"/>
    <w:uiPriority w:val="99"/>
    <w:rsid w:val="008954C5"/>
    <w:rPr>
      <w:rFonts w:ascii="Calibri" w:eastAsia="MS Gothi" w:hAnsi="Calibri" w:cs="Times New Roman"/>
      <w:lang w:val="en-GB" w:eastAsia="en-GB"/>
    </w:rPr>
  </w:style>
  <w:style w:type="character" w:styleId="IntenseReference">
    <w:name w:val="Intense Reference"/>
    <w:basedOn w:val="DefaultParagraphFont"/>
    <w:uiPriority w:val="32"/>
    <w:qFormat/>
    <w:rsid w:val="008954C5"/>
    <w:rPr>
      <w:b/>
      <w:bCs/>
      <w:smallCaps/>
      <w:color w:val="C0504D" w:themeColor="accent2"/>
      <w:spacing w:val="5"/>
      <w:u w:val="single"/>
    </w:rPr>
  </w:style>
  <w:style w:type="table" w:styleId="LightShading-Accent1">
    <w:name w:val="Light Shading Accent 1"/>
    <w:basedOn w:val="TableNormal"/>
    <w:uiPriority w:val="60"/>
    <w:rsid w:val="008954C5"/>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PlaceholderText">
    <w:name w:val="Placeholder Text"/>
    <w:basedOn w:val="DefaultParagraphFont"/>
    <w:uiPriority w:val="99"/>
    <w:semiHidden/>
    <w:rsid w:val="008954C5"/>
    <w:rPr>
      <w:color w:val="808080"/>
    </w:rPr>
  </w:style>
  <w:style w:type="paragraph" w:styleId="Revision">
    <w:name w:val="Revision"/>
    <w:hidden/>
    <w:uiPriority w:val="99"/>
    <w:semiHidden/>
    <w:rsid w:val="008954C5"/>
    <w:rPr>
      <w:rFonts w:ascii="Times New Roman" w:eastAsia="Times New Roman" w:hAnsi="Times New Roman" w:cs="Times New Roman"/>
      <w:lang w:val="en-GB" w:eastAsia="en-GB"/>
    </w:rPr>
  </w:style>
  <w:style w:type="character" w:customStyle="1" w:styleId="Heading2Char">
    <w:name w:val="Heading 2 Char"/>
    <w:basedOn w:val="DefaultParagraphFont"/>
    <w:link w:val="Heading2"/>
    <w:uiPriority w:val="9"/>
    <w:rsid w:val="000A6E7F"/>
    <w:rPr>
      <w:rFonts w:asciiTheme="majorHAnsi" w:eastAsiaTheme="majorEastAsia" w:hAnsiTheme="majorHAnsi" w:cstheme="majorBidi"/>
      <w:b/>
      <w:bCs/>
      <w:color w:val="4F81BD" w:themeColor="accent1"/>
      <w:sz w:val="26"/>
      <w:szCs w:val="26"/>
      <w:lang w:val="en-GB"/>
    </w:rPr>
  </w:style>
  <w:style w:type="paragraph" w:customStyle="1" w:styleId="xl63">
    <w:name w:val="xl63"/>
    <w:basedOn w:val="Normal"/>
    <w:rsid w:val="00F26016"/>
    <w:pPr>
      <w:spacing w:before="100" w:beforeAutospacing="1" w:after="100" w:afterAutospacing="1"/>
      <w:jc w:val="center"/>
      <w:textAlignment w:val="top"/>
    </w:pPr>
    <w:rPr>
      <w:rFonts w:ascii="Times" w:hAnsi="Times"/>
      <w:sz w:val="20"/>
      <w:szCs w:val="20"/>
    </w:rPr>
  </w:style>
  <w:style w:type="paragraph" w:customStyle="1" w:styleId="xl65">
    <w:name w:val="xl65"/>
    <w:basedOn w:val="Normal"/>
    <w:rsid w:val="00F26016"/>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rFonts w:ascii="Calibri" w:hAnsi="Calibri"/>
      <w:b/>
      <w:bCs/>
      <w:sz w:val="16"/>
      <w:szCs w:val="16"/>
    </w:rPr>
  </w:style>
  <w:style w:type="paragraph" w:customStyle="1" w:styleId="xl66">
    <w:name w:val="xl66"/>
    <w:basedOn w:val="Normal"/>
    <w:rsid w:val="00F26016"/>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pPr>
    <w:rPr>
      <w:rFonts w:ascii="Calibri" w:hAnsi="Calibri"/>
      <w:b/>
      <w:bCs/>
      <w:sz w:val="16"/>
      <w:szCs w:val="16"/>
    </w:rPr>
  </w:style>
  <w:style w:type="paragraph" w:customStyle="1" w:styleId="xl67">
    <w:name w:val="xl67"/>
    <w:basedOn w:val="Normal"/>
    <w:rsid w:val="00F26016"/>
    <w:pPr>
      <w:pBdr>
        <w:left w:val="single" w:sz="8" w:space="0" w:color="auto"/>
        <w:bottom w:val="single" w:sz="8" w:space="0" w:color="auto"/>
      </w:pBdr>
      <w:shd w:val="clear" w:color="000000" w:fill="C5D9F1"/>
      <w:spacing w:before="100" w:beforeAutospacing="1" w:after="100" w:afterAutospacing="1"/>
      <w:jc w:val="center"/>
      <w:textAlignment w:val="top"/>
    </w:pPr>
    <w:rPr>
      <w:rFonts w:ascii="Calibri" w:hAnsi="Calibri"/>
      <w:b/>
      <w:bCs/>
      <w:sz w:val="16"/>
      <w:szCs w:val="16"/>
    </w:rPr>
  </w:style>
  <w:style w:type="paragraph" w:customStyle="1" w:styleId="xl68">
    <w:name w:val="xl68"/>
    <w:basedOn w:val="Normal"/>
    <w:rsid w:val="00F26016"/>
    <w:pPr>
      <w:pBdr>
        <w:bottom w:val="single" w:sz="8" w:space="0" w:color="auto"/>
      </w:pBdr>
      <w:shd w:val="clear" w:color="000000" w:fill="C5D9F1"/>
      <w:spacing w:before="100" w:beforeAutospacing="1" w:after="100" w:afterAutospacing="1"/>
      <w:jc w:val="center"/>
      <w:textAlignment w:val="top"/>
    </w:pPr>
    <w:rPr>
      <w:rFonts w:ascii="Calibri" w:hAnsi="Calibri"/>
      <w:b/>
      <w:bCs/>
      <w:sz w:val="16"/>
      <w:szCs w:val="16"/>
    </w:rPr>
  </w:style>
  <w:style w:type="paragraph" w:customStyle="1" w:styleId="xl69">
    <w:name w:val="xl69"/>
    <w:basedOn w:val="Normal"/>
    <w:rsid w:val="00F26016"/>
    <w:pPr>
      <w:spacing w:before="100" w:beforeAutospacing="1" w:after="100" w:afterAutospacing="1"/>
      <w:jc w:val="center"/>
      <w:textAlignment w:val="top"/>
    </w:pPr>
    <w:rPr>
      <w:rFonts w:ascii="Calibri" w:hAnsi="Calibri"/>
      <w:sz w:val="16"/>
      <w:szCs w:val="16"/>
    </w:rPr>
  </w:style>
  <w:style w:type="paragraph" w:customStyle="1" w:styleId="xl70">
    <w:name w:val="xl70"/>
    <w:basedOn w:val="Normal"/>
    <w:rsid w:val="00F26016"/>
    <w:pPr>
      <w:spacing w:before="100" w:beforeAutospacing="1" w:after="100" w:afterAutospacing="1"/>
    </w:pPr>
    <w:rPr>
      <w:rFonts w:ascii="Calibri" w:hAnsi="Calibri"/>
      <w:sz w:val="16"/>
      <w:szCs w:val="16"/>
    </w:rPr>
  </w:style>
  <w:style w:type="paragraph" w:customStyle="1" w:styleId="xl71">
    <w:name w:val="xl71"/>
    <w:basedOn w:val="Normal"/>
    <w:rsid w:val="00F26016"/>
    <w:pPr>
      <w:pBdr>
        <w:left w:val="single" w:sz="4" w:space="0" w:color="auto"/>
        <w:bottom w:val="single" w:sz="8" w:space="0" w:color="auto"/>
        <w:right w:val="single" w:sz="4" w:space="0" w:color="auto"/>
      </w:pBdr>
      <w:shd w:val="clear" w:color="000000" w:fill="C5D9F1"/>
      <w:spacing w:before="100" w:beforeAutospacing="1" w:after="100" w:afterAutospacing="1"/>
      <w:jc w:val="center"/>
      <w:textAlignment w:val="center"/>
    </w:pPr>
    <w:rPr>
      <w:rFonts w:ascii="Calibri" w:hAnsi="Calibri"/>
      <w:b/>
      <w:bCs/>
      <w:sz w:val="14"/>
      <w:szCs w:val="14"/>
    </w:rPr>
  </w:style>
  <w:style w:type="paragraph" w:customStyle="1" w:styleId="xl72">
    <w:name w:val="xl72"/>
    <w:basedOn w:val="Normal"/>
    <w:rsid w:val="00F26016"/>
    <w:pPr>
      <w:pBdr>
        <w:bottom w:val="single" w:sz="8" w:space="0" w:color="auto"/>
      </w:pBdr>
      <w:shd w:val="clear" w:color="000000" w:fill="C5D9F1"/>
      <w:spacing w:before="100" w:beforeAutospacing="1" w:after="100" w:afterAutospacing="1"/>
      <w:jc w:val="center"/>
      <w:textAlignment w:val="center"/>
    </w:pPr>
    <w:rPr>
      <w:rFonts w:ascii="Calibri" w:hAnsi="Calibri"/>
      <w:b/>
      <w:bCs/>
      <w:sz w:val="14"/>
      <w:szCs w:val="14"/>
    </w:rPr>
  </w:style>
  <w:style w:type="paragraph" w:customStyle="1" w:styleId="xl73">
    <w:name w:val="xl73"/>
    <w:basedOn w:val="Normal"/>
    <w:rsid w:val="00F26016"/>
    <w:pPr>
      <w:pBdr>
        <w:left w:val="single" w:sz="4" w:space="0" w:color="auto"/>
        <w:bottom w:val="single" w:sz="8" w:space="0" w:color="auto"/>
        <w:right w:val="single" w:sz="8" w:space="0" w:color="auto"/>
      </w:pBdr>
      <w:shd w:val="clear" w:color="000000" w:fill="C5D9F1"/>
      <w:spacing w:before="100" w:beforeAutospacing="1" w:after="100" w:afterAutospacing="1"/>
      <w:jc w:val="center"/>
      <w:textAlignment w:val="center"/>
    </w:pPr>
    <w:rPr>
      <w:rFonts w:ascii="Calibri" w:hAnsi="Calibri"/>
      <w:b/>
      <w:bCs/>
      <w:sz w:val="14"/>
      <w:szCs w:val="14"/>
    </w:rPr>
  </w:style>
  <w:style w:type="paragraph" w:customStyle="1" w:styleId="xl74">
    <w:name w:val="xl74"/>
    <w:basedOn w:val="Normal"/>
    <w:rsid w:val="00F26016"/>
    <w:pPr>
      <w:pBdr>
        <w:left w:val="single" w:sz="4" w:space="0" w:color="auto"/>
        <w:bottom w:val="single" w:sz="8" w:space="0" w:color="auto"/>
        <w:right w:val="single" w:sz="4" w:space="0" w:color="auto"/>
      </w:pBdr>
      <w:shd w:val="clear" w:color="000000" w:fill="C5D9F1"/>
      <w:spacing w:before="100" w:beforeAutospacing="1" w:after="100" w:afterAutospacing="1"/>
      <w:jc w:val="center"/>
      <w:textAlignment w:val="center"/>
    </w:pPr>
    <w:rPr>
      <w:rFonts w:ascii="Calibri" w:hAnsi="Calibri"/>
      <w:b/>
      <w:bCs/>
      <w:sz w:val="14"/>
      <w:szCs w:val="14"/>
    </w:rPr>
  </w:style>
  <w:style w:type="paragraph" w:styleId="DocumentMap">
    <w:name w:val="Document Map"/>
    <w:basedOn w:val="Normal"/>
    <w:link w:val="DocumentMapChar"/>
    <w:uiPriority w:val="99"/>
    <w:semiHidden/>
    <w:unhideWhenUsed/>
    <w:rsid w:val="001F4409"/>
    <w:rPr>
      <w:rFonts w:ascii="Lucida Grande" w:hAnsi="Lucida Grande" w:cs="Lucida Grande"/>
    </w:rPr>
  </w:style>
  <w:style w:type="character" w:customStyle="1" w:styleId="DocumentMapChar">
    <w:name w:val="Document Map Char"/>
    <w:basedOn w:val="DefaultParagraphFont"/>
    <w:link w:val="DocumentMap"/>
    <w:uiPriority w:val="99"/>
    <w:semiHidden/>
    <w:rsid w:val="001F4409"/>
    <w:rPr>
      <w:rFonts w:ascii="Lucida Grande" w:hAnsi="Lucida Grande" w:cs="Lucida Grande"/>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0387728">
      <w:bodyDiv w:val="1"/>
      <w:marLeft w:val="0"/>
      <w:marRight w:val="0"/>
      <w:marTop w:val="0"/>
      <w:marBottom w:val="0"/>
      <w:divBdr>
        <w:top w:val="none" w:sz="0" w:space="0" w:color="auto"/>
        <w:left w:val="none" w:sz="0" w:space="0" w:color="auto"/>
        <w:bottom w:val="none" w:sz="0" w:space="0" w:color="auto"/>
        <w:right w:val="none" w:sz="0" w:space="0" w:color="auto"/>
      </w:divBdr>
    </w:div>
    <w:div w:id="210661445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84.png"/><Relationship Id="rId102" Type="http://schemas.openxmlformats.org/officeDocument/2006/relationships/image" Target="media/image85.png"/><Relationship Id="rId103" Type="http://schemas.openxmlformats.org/officeDocument/2006/relationships/image" Target="media/image86.jpeg"/><Relationship Id="rId104" Type="http://schemas.openxmlformats.org/officeDocument/2006/relationships/fontTable" Target="fontTable.xml"/><Relationship Id="rId105"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10" Type="http://schemas.openxmlformats.org/officeDocument/2006/relationships/footer" Target="footer2.xml"/><Relationship Id="rId11" Type="http://schemas.openxmlformats.org/officeDocument/2006/relationships/footer" Target="footer3.xml"/><Relationship Id="rId12" Type="http://schemas.openxmlformats.org/officeDocument/2006/relationships/image" Target="media/image1.emf"/><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30" Type="http://schemas.openxmlformats.org/officeDocument/2006/relationships/image" Target="media/image19.emf"/><Relationship Id="rId31" Type="http://schemas.openxmlformats.org/officeDocument/2006/relationships/image" Target="media/image20.png"/><Relationship Id="rId32" Type="http://schemas.openxmlformats.org/officeDocument/2006/relationships/image" Target="media/image21.png"/><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image" Target="media/image24.png"/><Relationship Id="rId36" Type="http://schemas.openxmlformats.org/officeDocument/2006/relationships/image" Target="media/image25.png"/><Relationship Id="rId37" Type="http://schemas.openxmlformats.org/officeDocument/2006/relationships/image" Target="media/image26.png"/><Relationship Id="rId38" Type="http://schemas.openxmlformats.org/officeDocument/2006/relationships/image" Target="media/image27.png"/><Relationship Id="rId39" Type="http://schemas.openxmlformats.org/officeDocument/2006/relationships/image" Target="media/image28.png"/><Relationship Id="rId50" Type="http://schemas.openxmlformats.org/officeDocument/2006/relationships/header" Target="header1.xml"/><Relationship Id="rId51" Type="http://schemas.openxmlformats.org/officeDocument/2006/relationships/header" Target="header2.xml"/><Relationship Id="rId52" Type="http://schemas.openxmlformats.org/officeDocument/2006/relationships/footer" Target="footer4.xml"/><Relationship Id="rId53" Type="http://schemas.openxmlformats.org/officeDocument/2006/relationships/footer" Target="footer5.xml"/><Relationship Id="rId54" Type="http://schemas.openxmlformats.org/officeDocument/2006/relationships/header" Target="header3.xml"/><Relationship Id="rId55" Type="http://schemas.openxmlformats.org/officeDocument/2006/relationships/footer" Target="footer6.xml"/><Relationship Id="rId56" Type="http://schemas.openxmlformats.org/officeDocument/2006/relationships/image" Target="media/image39.png"/><Relationship Id="rId57" Type="http://schemas.openxmlformats.org/officeDocument/2006/relationships/image" Target="media/image40.png"/><Relationship Id="rId58" Type="http://schemas.openxmlformats.org/officeDocument/2006/relationships/image" Target="media/image41.png"/><Relationship Id="rId59" Type="http://schemas.openxmlformats.org/officeDocument/2006/relationships/image" Target="media/image42.png"/><Relationship Id="rId70" Type="http://schemas.openxmlformats.org/officeDocument/2006/relationships/image" Target="media/image53.png"/><Relationship Id="rId71" Type="http://schemas.openxmlformats.org/officeDocument/2006/relationships/image" Target="media/image54.png"/><Relationship Id="rId72" Type="http://schemas.openxmlformats.org/officeDocument/2006/relationships/image" Target="media/image55.png"/><Relationship Id="rId73" Type="http://schemas.openxmlformats.org/officeDocument/2006/relationships/image" Target="media/image56.png"/><Relationship Id="rId74" Type="http://schemas.openxmlformats.org/officeDocument/2006/relationships/image" Target="media/image57.png"/><Relationship Id="rId75" Type="http://schemas.openxmlformats.org/officeDocument/2006/relationships/image" Target="media/image58.png"/><Relationship Id="rId76" Type="http://schemas.openxmlformats.org/officeDocument/2006/relationships/image" Target="media/image59.png"/><Relationship Id="rId77" Type="http://schemas.openxmlformats.org/officeDocument/2006/relationships/image" Target="media/image60.png"/><Relationship Id="rId78" Type="http://schemas.openxmlformats.org/officeDocument/2006/relationships/image" Target="media/image61.png"/><Relationship Id="rId79" Type="http://schemas.openxmlformats.org/officeDocument/2006/relationships/image" Target="media/image62.png"/><Relationship Id="rId90" Type="http://schemas.openxmlformats.org/officeDocument/2006/relationships/image" Target="media/image73.png"/><Relationship Id="rId91" Type="http://schemas.openxmlformats.org/officeDocument/2006/relationships/image" Target="media/image74.png"/><Relationship Id="rId92" Type="http://schemas.openxmlformats.org/officeDocument/2006/relationships/image" Target="media/image75.png"/><Relationship Id="rId93" Type="http://schemas.openxmlformats.org/officeDocument/2006/relationships/image" Target="media/image76.png"/><Relationship Id="rId94" Type="http://schemas.openxmlformats.org/officeDocument/2006/relationships/image" Target="media/image77.png"/><Relationship Id="rId95" Type="http://schemas.openxmlformats.org/officeDocument/2006/relationships/image" Target="media/image78.png"/><Relationship Id="rId96" Type="http://schemas.openxmlformats.org/officeDocument/2006/relationships/image" Target="media/image79.png"/><Relationship Id="rId97" Type="http://schemas.openxmlformats.org/officeDocument/2006/relationships/image" Target="media/image80.png"/><Relationship Id="rId98" Type="http://schemas.openxmlformats.org/officeDocument/2006/relationships/image" Target="media/image81.png"/><Relationship Id="rId99" Type="http://schemas.openxmlformats.org/officeDocument/2006/relationships/image" Target="media/image82.png"/><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emf"/><Relationship Id="rId29" Type="http://schemas.openxmlformats.org/officeDocument/2006/relationships/image" Target="media/image18.emf"/><Relationship Id="rId40" Type="http://schemas.openxmlformats.org/officeDocument/2006/relationships/image" Target="media/image29.png"/><Relationship Id="rId41" Type="http://schemas.openxmlformats.org/officeDocument/2006/relationships/image" Target="media/image30.png"/><Relationship Id="rId42" Type="http://schemas.openxmlformats.org/officeDocument/2006/relationships/image" Target="media/image31.png"/><Relationship Id="rId43" Type="http://schemas.openxmlformats.org/officeDocument/2006/relationships/image" Target="media/image32.png"/><Relationship Id="rId44" Type="http://schemas.openxmlformats.org/officeDocument/2006/relationships/image" Target="media/image33.png"/><Relationship Id="rId45" Type="http://schemas.openxmlformats.org/officeDocument/2006/relationships/image" Target="media/image34.jpeg"/><Relationship Id="rId46" Type="http://schemas.openxmlformats.org/officeDocument/2006/relationships/image" Target="media/image35.png"/><Relationship Id="rId47" Type="http://schemas.openxmlformats.org/officeDocument/2006/relationships/image" Target="media/image36.emf"/><Relationship Id="rId48" Type="http://schemas.openxmlformats.org/officeDocument/2006/relationships/image" Target="media/image37.png"/><Relationship Id="rId49" Type="http://schemas.openxmlformats.org/officeDocument/2006/relationships/image" Target="media/image38.png"/><Relationship Id="rId60" Type="http://schemas.openxmlformats.org/officeDocument/2006/relationships/image" Target="media/image43.png"/><Relationship Id="rId61" Type="http://schemas.openxmlformats.org/officeDocument/2006/relationships/image" Target="media/image44.png"/><Relationship Id="rId62" Type="http://schemas.openxmlformats.org/officeDocument/2006/relationships/image" Target="media/image45.png"/><Relationship Id="rId63" Type="http://schemas.openxmlformats.org/officeDocument/2006/relationships/image" Target="media/image46.png"/><Relationship Id="rId64" Type="http://schemas.openxmlformats.org/officeDocument/2006/relationships/image" Target="media/image47.png"/><Relationship Id="rId65" Type="http://schemas.openxmlformats.org/officeDocument/2006/relationships/image" Target="media/image48.png"/><Relationship Id="rId66" Type="http://schemas.openxmlformats.org/officeDocument/2006/relationships/image" Target="media/image49.png"/><Relationship Id="rId67" Type="http://schemas.openxmlformats.org/officeDocument/2006/relationships/image" Target="media/image50.png"/><Relationship Id="rId68" Type="http://schemas.openxmlformats.org/officeDocument/2006/relationships/image" Target="media/image51.png"/><Relationship Id="rId69" Type="http://schemas.openxmlformats.org/officeDocument/2006/relationships/image" Target="media/image52.png"/><Relationship Id="rId100" Type="http://schemas.openxmlformats.org/officeDocument/2006/relationships/image" Target="media/image83.png"/><Relationship Id="rId80" Type="http://schemas.openxmlformats.org/officeDocument/2006/relationships/image" Target="media/image63.png"/><Relationship Id="rId81" Type="http://schemas.openxmlformats.org/officeDocument/2006/relationships/image" Target="media/image64.png"/><Relationship Id="rId82" Type="http://schemas.openxmlformats.org/officeDocument/2006/relationships/image" Target="media/image65.png"/><Relationship Id="rId83" Type="http://schemas.openxmlformats.org/officeDocument/2006/relationships/image" Target="media/image66.png"/><Relationship Id="rId84" Type="http://schemas.openxmlformats.org/officeDocument/2006/relationships/image" Target="media/image67.png"/><Relationship Id="rId85" Type="http://schemas.openxmlformats.org/officeDocument/2006/relationships/image" Target="media/image68.png"/><Relationship Id="rId86" Type="http://schemas.openxmlformats.org/officeDocument/2006/relationships/image" Target="media/image69.png"/><Relationship Id="rId87" Type="http://schemas.openxmlformats.org/officeDocument/2006/relationships/image" Target="media/image70.png"/><Relationship Id="rId88" Type="http://schemas.openxmlformats.org/officeDocument/2006/relationships/image" Target="media/image71.png"/><Relationship Id="rId89" Type="http://schemas.openxmlformats.org/officeDocument/2006/relationships/image" Target="media/image7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071D6F-2113-A342-AB32-2AEB6CBE4D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183</Pages>
  <Words>216670</Words>
  <Characters>1235025</Characters>
  <Application>Microsoft Macintosh Word</Application>
  <DocSecurity>0</DocSecurity>
  <Lines>10291</Lines>
  <Paragraphs>2897</Paragraphs>
  <ScaleCrop>false</ScaleCrop>
  <Company/>
  <LinksUpToDate>false</LinksUpToDate>
  <CharactersWithSpaces>1448798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Angie</dc:creator>
  <cp:keywords/>
  <dc:description/>
  <cp:lastModifiedBy>Angie</cp:lastModifiedBy>
  <cp:revision>7</cp:revision>
  <cp:lastPrinted>2016-07-27T14:46:00Z</cp:lastPrinted>
  <dcterms:created xsi:type="dcterms:W3CDTF">2016-07-27T14:46:00Z</dcterms:created>
  <dcterms:modified xsi:type="dcterms:W3CDTF">2016-07-28T15:53:00Z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avenetianmorning@gmail.com@www.mendeley.com</vt:lpwstr>
  </property>
  <property fmtid="{D5CDD505-2E9C-101B-9397-08002B2CF9AE}" pid="4" name="Mendeley Citation Style_1">
    <vt:lpwstr>http://www.zotero.org/styles/journal-of-experimental-botany</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http://www.zotero.org/styles/journal-of-experimental-botany</vt:lpwstr>
  </property>
  <property fmtid="{D5CDD505-2E9C-101B-9397-08002B2CF9AE}" pid="20" name="Mendeley Recent Style Name 7_1">
    <vt:lpwstr>Journal of Experimental Botany</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http://www.zotero.org/styles/plant-physiology</vt:lpwstr>
  </property>
  <property fmtid="{D5CDD505-2E9C-101B-9397-08002B2CF9AE}" pid="24" name="Mendeley Recent Style Name 9_1">
    <vt:lpwstr>Plant Physiology</vt:lpwstr>
  </property>
</Properties>
</file>